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4623" w:rsidP="00E536D6">
      <w:pPr>
        <w:pStyle w:val="LabTitle"/>
      </w:pPr>
      <w:r>
        <w:t>Packet Tracer –</w:t>
      </w:r>
      <w:r w:rsidR="002D6C2A" w:rsidRPr="00FD4A68">
        <w:t xml:space="preserve"> </w:t>
      </w:r>
      <w:r w:rsidR="00A31672">
        <w:t>Configuring Basic EIGRP with IPv6</w:t>
      </w:r>
    </w:p>
    <w:p w:rsidR="008C4307" w:rsidRDefault="001E38E0" w:rsidP="004174A6">
      <w:pPr>
        <w:pStyle w:val="LabSection"/>
      </w:pPr>
      <w:r>
        <w:t>Topology</w:t>
      </w:r>
    </w:p>
    <w:p w:rsidR="004174A6" w:rsidRPr="004174A6" w:rsidRDefault="00FC3010" w:rsidP="004174A6">
      <w:pPr>
        <w:pStyle w:val="BodyText1"/>
        <w:jc w:val="center"/>
      </w:pPr>
      <w:r>
        <w:rPr>
          <w:noProof/>
        </w:rPr>
        <w:drawing>
          <wp:inline distT="0" distB="0" distL="0" distR="0">
            <wp:extent cx="5428572" cy="1990476"/>
            <wp:effectExtent l="19050" t="0" r="678" b="0"/>
            <wp:docPr id="1" name="Picture 0" descr="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572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BB73FF" w:rsidRDefault="00AE56C0" w:rsidP="00A31672">
      <w:pPr>
        <w:pStyle w:val="LabSection"/>
        <w:numPr>
          <w:ilvl w:val="0"/>
          <w:numId w:val="0"/>
        </w:numPr>
      </w:pPr>
      <w:r w:rsidRPr="00BB73FF">
        <w:t>Addressing Table</w:t>
      </w:r>
    </w:p>
    <w:tbl>
      <w:tblPr>
        <w:tblW w:w="680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7"/>
        <w:gridCol w:w="1175"/>
        <w:gridCol w:w="2838"/>
        <w:gridCol w:w="1800"/>
      </w:tblGrid>
      <w:tr w:rsidR="00A31672" w:rsidTr="007F58BE">
        <w:trPr>
          <w:cantSplit/>
          <w:jc w:val="center"/>
        </w:trPr>
        <w:tc>
          <w:tcPr>
            <w:tcW w:w="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31672" w:rsidRPr="00E87D62" w:rsidRDefault="00A31672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31672" w:rsidRPr="00E87D62" w:rsidRDefault="00A31672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2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31672" w:rsidRPr="00E87D62" w:rsidRDefault="00A31672" w:rsidP="00E87D62">
            <w:pPr>
              <w:pStyle w:val="TableHeading"/>
            </w:pPr>
            <w:r w:rsidRPr="00E87D62">
              <w:t>IP</w:t>
            </w:r>
            <w:r>
              <w:t>v6</w:t>
            </w:r>
            <w:r w:rsidRPr="00E87D62">
              <w:t xml:space="preserve">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31672" w:rsidRPr="00E87D62" w:rsidRDefault="00A31672" w:rsidP="00E87D62">
            <w:pPr>
              <w:pStyle w:val="TableHeading"/>
            </w:pPr>
            <w:r w:rsidRPr="00E87D62">
              <w:t>Default Gateway</w:t>
            </w:r>
          </w:p>
        </w:tc>
      </w:tr>
      <w:tr w:rsidR="00313D95" w:rsidRPr="007F58BE" w:rsidTr="007F58BE">
        <w:trPr>
          <w:cantSplit/>
          <w:jc w:val="center"/>
        </w:trPr>
        <w:tc>
          <w:tcPr>
            <w:tcW w:w="987" w:type="dxa"/>
            <w:vMerge w:val="restart"/>
            <w:vAlign w:val="center"/>
          </w:tcPr>
          <w:p w:rsidR="00313D95" w:rsidRPr="007F58BE" w:rsidRDefault="00313D95" w:rsidP="007F58BE">
            <w:pPr>
              <w:pStyle w:val="TableText"/>
            </w:pPr>
            <w:r w:rsidRPr="007F58BE">
              <w:t>R1</w:t>
            </w:r>
          </w:p>
        </w:tc>
        <w:tc>
          <w:tcPr>
            <w:tcW w:w="1175" w:type="dxa"/>
            <w:vAlign w:val="bottom"/>
          </w:tcPr>
          <w:p w:rsidR="00313D95" w:rsidRPr="007F58BE" w:rsidRDefault="00313D95" w:rsidP="007F58BE">
            <w:pPr>
              <w:pStyle w:val="TableText"/>
            </w:pPr>
            <w:r w:rsidRPr="007F58BE">
              <w:t>G0/0</w:t>
            </w:r>
          </w:p>
        </w:tc>
        <w:tc>
          <w:tcPr>
            <w:tcW w:w="2838" w:type="dxa"/>
            <w:vAlign w:val="bottom"/>
          </w:tcPr>
          <w:p w:rsidR="00313D95" w:rsidRPr="007F58BE" w:rsidRDefault="00313D95" w:rsidP="007F58BE">
            <w:pPr>
              <w:pStyle w:val="TableText"/>
            </w:pPr>
            <w:r w:rsidRPr="007F58BE">
              <w:t>2001:</w:t>
            </w:r>
            <w:r w:rsidR="007F58BE">
              <w:t>DB8</w:t>
            </w:r>
            <w:r w:rsidRPr="007F58BE">
              <w:t>:</w:t>
            </w:r>
            <w:r w:rsidR="007F58BE" w:rsidRPr="007F58BE">
              <w:t>CAFE</w:t>
            </w:r>
            <w:r w:rsidRPr="007F58BE">
              <w:t>:</w:t>
            </w:r>
            <w:r w:rsidR="007F58BE" w:rsidRPr="007F58BE">
              <w:t>1:</w:t>
            </w:r>
            <w:r w:rsidRPr="007F58BE">
              <w:t>:1/64</w:t>
            </w:r>
          </w:p>
        </w:tc>
        <w:tc>
          <w:tcPr>
            <w:tcW w:w="1800" w:type="dxa"/>
            <w:vAlign w:val="bottom"/>
          </w:tcPr>
          <w:p w:rsidR="00313D95" w:rsidRPr="007F58BE" w:rsidRDefault="00313D95" w:rsidP="007F58BE">
            <w:pPr>
              <w:pStyle w:val="TableText"/>
            </w:pPr>
            <w:r w:rsidRPr="007F58BE">
              <w:t>N/A</w:t>
            </w:r>
          </w:p>
        </w:tc>
      </w:tr>
      <w:tr w:rsidR="00313D95" w:rsidRPr="007F58BE" w:rsidTr="007F58BE">
        <w:trPr>
          <w:cantSplit/>
          <w:jc w:val="center"/>
        </w:trPr>
        <w:tc>
          <w:tcPr>
            <w:tcW w:w="987" w:type="dxa"/>
            <w:vMerge/>
            <w:vAlign w:val="center"/>
          </w:tcPr>
          <w:p w:rsidR="00313D95" w:rsidRPr="007F58BE" w:rsidRDefault="00313D95" w:rsidP="007F58BE">
            <w:pPr>
              <w:pStyle w:val="TableText"/>
            </w:pPr>
          </w:p>
        </w:tc>
        <w:tc>
          <w:tcPr>
            <w:tcW w:w="1175" w:type="dxa"/>
            <w:vAlign w:val="bottom"/>
          </w:tcPr>
          <w:p w:rsidR="00313D95" w:rsidRPr="007F58BE" w:rsidRDefault="00313D95" w:rsidP="007F58BE">
            <w:pPr>
              <w:pStyle w:val="TableText"/>
            </w:pPr>
            <w:r w:rsidRPr="007F58BE">
              <w:t>S0/0/0</w:t>
            </w:r>
          </w:p>
        </w:tc>
        <w:tc>
          <w:tcPr>
            <w:tcW w:w="2838" w:type="dxa"/>
            <w:vAlign w:val="bottom"/>
          </w:tcPr>
          <w:p w:rsidR="00313D95" w:rsidRPr="007F58BE" w:rsidRDefault="00313D95" w:rsidP="007F58BE">
            <w:pPr>
              <w:pStyle w:val="TableText"/>
            </w:pPr>
            <w:r w:rsidRPr="007F58BE">
              <w:t>2001:</w:t>
            </w:r>
            <w:r w:rsidR="007F58BE">
              <w:t>DB8</w:t>
            </w:r>
            <w:r w:rsidRPr="007F58BE">
              <w:t>:</w:t>
            </w:r>
            <w:r w:rsidR="007F58BE" w:rsidRPr="007F58BE">
              <w:t>CAFE:A001</w:t>
            </w:r>
            <w:r w:rsidR="007F58BE">
              <w:t>::1</w:t>
            </w:r>
            <w:r w:rsidRPr="007F58BE">
              <w:t>/</w:t>
            </w:r>
            <w:r w:rsidR="007F58BE" w:rsidRPr="007F58BE">
              <w:t>64</w:t>
            </w:r>
          </w:p>
        </w:tc>
        <w:tc>
          <w:tcPr>
            <w:tcW w:w="1800" w:type="dxa"/>
            <w:vAlign w:val="bottom"/>
          </w:tcPr>
          <w:p w:rsidR="00313D95" w:rsidRPr="007F58BE" w:rsidRDefault="00313D95" w:rsidP="007F58BE">
            <w:pPr>
              <w:pStyle w:val="TableText"/>
            </w:pPr>
            <w:r w:rsidRPr="007F58BE">
              <w:t>N/A</w:t>
            </w:r>
          </w:p>
        </w:tc>
      </w:tr>
      <w:tr w:rsidR="00313D95" w:rsidRPr="007F58BE" w:rsidTr="007F58BE">
        <w:trPr>
          <w:cantSplit/>
          <w:jc w:val="center"/>
        </w:trPr>
        <w:tc>
          <w:tcPr>
            <w:tcW w:w="987" w:type="dxa"/>
            <w:vMerge/>
            <w:vAlign w:val="center"/>
          </w:tcPr>
          <w:p w:rsidR="00313D95" w:rsidRPr="007F58BE" w:rsidRDefault="00313D95" w:rsidP="007F58BE">
            <w:pPr>
              <w:pStyle w:val="TableText"/>
            </w:pPr>
          </w:p>
        </w:tc>
        <w:tc>
          <w:tcPr>
            <w:tcW w:w="1175" w:type="dxa"/>
            <w:vAlign w:val="bottom"/>
          </w:tcPr>
          <w:p w:rsidR="00313D95" w:rsidRPr="007F58BE" w:rsidRDefault="00313D95" w:rsidP="007F58BE">
            <w:pPr>
              <w:pStyle w:val="TableText"/>
            </w:pPr>
            <w:r w:rsidRPr="007F58BE">
              <w:t>S0/0/1</w:t>
            </w:r>
          </w:p>
        </w:tc>
        <w:tc>
          <w:tcPr>
            <w:tcW w:w="2838" w:type="dxa"/>
            <w:vAlign w:val="bottom"/>
          </w:tcPr>
          <w:p w:rsidR="00313D95" w:rsidRPr="007F58BE" w:rsidRDefault="00313D95" w:rsidP="007F58BE">
            <w:pPr>
              <w:pStyle w:val="TableText"/>
            </w:pPr>
            <w:r w:rsidRPr="007F58BE">
              <w:t>2001:</w:t>
            </w:r>
            <w:r w:rsidR="007F58BE">
              <w:t>DB8:CAFE</w:t>
            </w:r>
            <w:r w:rsidRPr="007F58BE">
              <w:t>:</w:t>
            </w:r>
            <w:r w:rsidR="007F58BE">
              <w:t>A003::1/64</w:t>
            </w:r>
          </w:p>
        </w:tc>
        <w:tc>
          <w:tcPr>
            <w:tcW w:w="1800" w:type="dxa"/>
            <w:vAlign w:val="bottom"/>
          </w:tcPr>
          <w:p w:rsidR="00313D95" w:rsidRPr="007F58BE" w:rsidRDefault="00313D95" w:rsidP="007F58BE">
            <w:pPr>
              <w:pStyle w:val="TableText"/>
            </w:pPr>
            <w:r w:rsidRPr="007F58BE">
              <w:t>N/A</w:t>
            </w:r>
          </w:p>
        </w:tc>
      </w:tr>
      <w:tr w:rsidR="00313D95" w:rsidRPr="007F58BE" w:rsidTr="007F58BE">
        <w:trPr>
          <w:cantSplit/>
          <w:jc w:val="center"/>
        </w:trPr>
        <w:tc>
          <w:tcPr>
            <w:tcW w:w="987" w:type="dxa"/>
            <w:vMerge/>
            <w:vAlign w:val="center"/>
          </w:tcPr>
          <w:p w:rsidR="00313D95" w:rsidRPr="007F58BE" w:rsidRDefault="00313D95" w:rsidP="007F58BE">
            <w:pPr>
              <w:pStyle w:val="TableText"/>
            </w:pPr>
          </w:p>
        </w:tc>
        <w:tc>
          <w:tcPr>
            <w:tcW w:w="1175" w:type="dxa"/>
            <w:vAlign w:val="bottom"/>
          </w:tcPr>
          <w:p w:rsidR="00313D95" w:rsidRPr="007F58BE" w:rsidRDefault="00313D95" w:rsidP="007F58BE">
            <w:pPr>
              <w:pStyle w:val="TableText"/>
            </w:pPr>
            <w:r w:rsidRPr="007F58BE">
              <w:t>Link-local</w:t>
            </w:r>
          </w:p>
        </w:tc>
        <w:tc>
          <w:tcPr>
            <w:tcW w:w="2838" w:type="dxa"/>
            <w:vAlign w:val="bottom"/>
          </w:tcPr>
          <w:p w:rsidR="00313D95" w:rsidRPr="007F58BE" w:rsidRDefault="007F58BE" w:rsidP="007F58BE">
            <w:pPr>
              <w:pStyle w:val="TableText"/>
            </w:pPr>
            <w:r>
              <w:t>FE</w:t>
            </w:r>
            <w:r w:rsidR="00313D95" w:rsidRPr="007F58BE">
              <w:t>80::1</w:t>
            </w:r>
          </w:p>
        </w:tc>
        <w:tc>
          <w:tcPr>
            <w:tcW w:w="1800" w:type="dxa"/>
            <w:vAlign w:val="bottom"/>
          </w:tcPr>
          <w:p w:rsidR="00313D95" w:rsidRPr="007F58BE" w:rsidRDefault="00313D95" w:rsidP="007F58BE">
            <w:pPr>
              <w:pStyle w:val="TableText"/>
            </w:pPr>
            <w:r w:rsidRPr="007F58BE">
              <w:t>N/A</w:t>
            </w:r>
          </w:p>
        </w:tc>
      </w:tr>
      <w:tr w:rsidR="00313D95" w:rsidRPr="007F58BE" w:rsidTr="007F58BE">
        <w:trPr>
          <w:cantSplit/>
          <w:jc w:val="center"/>
        </w:trPr>
        <w:tc>
          <w:tcPr>
            <w:tcW w:w="987" w:type="dxa"/>
            <w:vMerge w:val="restart"/>
            <w:vAlign w:val="center"/>
          </w:tcPr>
          <w:p w:rsidR="00313D95" w:rsidRPr="007F58BE" w:rsidRDefault="00313D95" w:rsidP="007F58BE">
            <w:pPr>
              <w:pStyle w:val="TableText"/>
            </w:pPr>
            <w:r w:rsidRPr="007F58BE">
              <w:t>R2</w:t>
            </w:r>
          </w:p>
        </w:tc>
        <w:tc>
          <w:tcPr>
            <w:tcW w:w="1175" w:type="dxa"/>
            <w:vAlign w:val="bottom"/>
          </w:tcPr>
          <w:p w:rsidR="00313D95" w:rsidRPr="007F58BE" w:rsidRDefault="00313D95" w:rsidP="007F58BE">
            <w:pPr>
              <w:pStyle w:val="TableText"/>
            </w:pPr>
            <w:r w:rsidRPr="007F58BE">
              <w:t>G0/0</w:t>
            </w:r>
          </w:p>
        </w:tc>
        <w:tc>
          <w:tcPr>
            <w:tcW w:w="2838" w:type="dxa"/>
            <w:vAlign w:val="bottom"/>
          </w:tcPr>
          <w:p w:rsidR="00313D95" w:rsidRPr="007F58BE" w:rsidRDefault="00313D95" w:rsidP="007F58BE">
            <w:pPr>
              <w:pStyle w:val="TableText"/>
            </w:pPr>
            <w:r w:rsidRPr="007F58BE">
              <w:t>2001:</w:t>
            </w:r>
            <w:r w:rsidR="007F58BE">
              <w:t>DB8:CAFE</w:t>
            </w:r>
            <w:r w:rsidRPr="007F58BE">
              <w:t>:</w:t>
            </w:r>
            <w:r w:rsidR="007F58BE">
              <w:t>2</w:t>
            </w:r>
            <w:r w:rsidRPr="007F58BE">
              <w:t>::1/64</w:t>
            </w:r>
          </w:p>
        </w:tc>
        <w:tc>
          <w:tcPr>
            <w:tcW w:w="1800" w:type="dxa"/>
            <w:vAlign w:val="bottom"/>
          </w:tcPr>
          <w:p w:rsidR="00313D95" w:rsidRPr="007F58BE" w:rsidRDefault="00313D95" w:rsidP="007F58BE">
            <w:pPr>
              <w:pStyle w:val="TableText"/>
            </w:pPr>
            <w:r w:rsidRPr="007F58BE">
              <w:t>N/A</w:t>
            </w:r>
          </w:p>
        </w:tc>
      </w:tr>
      <w:tr w:rsidR="00313D95" w:rsidRPr="007F58BE" w:rsidTr="007F58BE">
        <w:trPr>
          <w:cantSplit/>
          <w:jc w:val="center"/>
        </w:trPr>
        <w:tc>
          <w:tcPr>
            <w:tcW w:w="987" w:type="dxa"/>
            <w:vMerge/>
            <w:vAlign w:val="center"/>
          </w:tcPr>
          <w:p w:rsidR="00313D95" w:rsidRPr="007F58BE" w:rsidRDefault="00313D95" w:rsidP="007F58BE">
            <w:pPr>
              <w:pStyle w:val="TableText"/>
            </w:pPr>
          </w:p>
        </w:tc>
        <w:tc>
          <w:tcPr>
            <w:tcW w:w="1175" w:type="dxa"/>
            <w:vAlign w:val="bottom"/>
          </w:tcPr>
          <w:p w:rsidR="00313D95" w:rsidRPr="007F58BE" w:rsidRDefault="00313D95" w:rsidP="007F58BE">
            <w:pPr>
              <w:pStyle w:val="TableText"/>
            </w:pPr>
            <w:r w:rsidRPr="007F58BE">
              <w:t>S0/0/0</w:t>
            </w:r>
          </w:p>
        </w:tc>
        <w:tc>
          <w:tcPr>
            <w:tcW w:w="2838" w:type="dxa"/>
            <w:vAlign w:val="bottom"/>
          </w:tcPr>
          <w:p w:rsidR="00313D95" w:rsidRPr="007F58BE" w:rsidRDefault="00313D95" w:rsidP="007F58BE">
            <w:pPr>
              <w:pStyle w:val="TableText"/>
            </w:pPr>
            <w:r w:rsidRPr="007F58BE">
              <w:t>2001:</w:t>
            </w:r>
            <w:r w:rsidR="007F58BE">
              <w:t>DB8:CAFE</w:t>
            </w:r>
            <w:r w:rsidRPr="007F58BE">
              <w:t>:</w:t>
            </w:r>
            <w:r w:rsidR="007F58BE" w:rsidRPr="007F58BE">
              <w:t>A001</w:t>
            </w:r>
            <w:r w:rsidRPr="007F58BE">
              <w:t>::</w:t>
            </w:r>
            <w:r w:rsidR="007F58BE">
              <w:t>2/64</w:t>
            </w:r>
          </w:p>
        </w:tc>
        <w:tc>
          <w:tcPr>
            <w:tcW w:w="1800" w:type="dxa"/>
            <w:vAlign w:val="bottom"/>
          </w:tcPr>
          <w:p w:rsidR="00313D95" w:rsidRPr="007F58BE" w:rsidRDefault="00313D95" w:rsidP="007F58BE">
            <w:pPr>
              <w:pStyle w:val="TableText"/>
            </w:pPr>
            <w:r w:rsidRPr="007F58BE">
              <w:t>N/A</w:t>
            </w:r>
          </w:p>
        </w:tc>
      </w:tr>
      <w:tr w:rsidR="00313D95" w:rsidRPr="007F58BE" w:rsidTr="007F58BE">
        <w:trPr>
          <w:cantSplit/>
          <w:jc w:val="center"/>
        </w:trPr>
        <w:tc>
          <w:tcPr>
            <w:tcW w:w="987" w:type="dxa"/>
            <w:vMerge/>
            <w:vAlign w:val="center"/>
          </w:tcPr>
          <w:p w:rsidR="00313D95" w:rsidRPr="007F58BE" w:rsidRDefault="00313D95" w:rsidP="007F58BE">
            <w:pPr>
              <w:pStyle w:val="TableText"/>
            </w:pPr>
          </w:p>
        </w:tc>
        <w:tc>
          <w:tcPr>
            <w:tcW w:w="1175" w:type="dxa"/>
            <w:vAlign w:val="bottom"/>
          </w:tcPr>
          <w:p w:rsidR="00313D95" w:rsidRPr="007F58BE" w:rsidRDefault="00313D95" w:rsidP="007F58BE">
            <w:pPr>
              <w:pStyle w:val="TableText"/>
            </w:pPr>
            <w:r w:rsidRPr="007F58BE">
              <w:t>S0/0/1</w:t>
            </w:r>
          </w:p>
        </w:tc>
        <w:tc>
          <w:tcPr>
            <w:tcW w:w="2838" w:type="dxa"/>
            <w:vAlign w:val="bottom"/>
          </w:tcPr>
          <w:p w:rsidR="00313D95" w:rsidRPr="007F58BE" w:rsidRDefault="00313D95" w:rsidP="007F58BE">
            <w:pPr>
              <w:pStyle w:val="TableText"/>
            </w:pPr>
            <w:r w:rsidRPr="007F58BE">
              <w:t>2001:</w:t>
            </w:r>
            <w:r w:rsidR="007F58BE">
              <w:t>DB8:CAFE</w:t>
            </w:r>
            <w:r w:rsidRPr="007F58BE">
              <w:t>:</w:t>
            </w:r>
            <w:r w:rsidR="007F58BE">
              <w:t>A002::1/64</w:t>
            </w:r>
          </w:p>
        </w:tc>
        <w:tc>
          <w:tcPr>
            <w:tcW w:w="1800" w:type="dxa"/>
            <w:vAlign w:val="bottom"/>
          </w:tcPr>
          <w:p w:rsidR="00313D95" w:rsidRPr="007F58BE" w:rsidRDefault="00313D95" w:rsidP="007F58BE">
            <w:pPr>
              <w:pStyle w:val="TableText"/>
            </w:pPr>
            <w:r w:rsidRPr="007F58BE">
              <w:t>N/A</w:t>
            </w:r>
          </w:p>
        </w:tc>
      </w:tr>
      <w:tr w:rsidR="00313D95" w:rsidRPr="007F58BE" w:rsidTr="007F58BE">
        <w:trPr>
          <w:cantSplit/>
          <w:jc w:val="center"/>
        </w:trPr>
        <w:tc>
          <w:tcPr>
            <w:tcW w:w="987" w:type="dxa"/>
            <w:vMerge/>
            <w:vAlign w:val="center"/>
          </w:tcPr>
          <w:p w:rsidR="00313D95" w:rsidRPr="007F58BE" w:rsidRDefault="00313D95" w:rsidP="007F58BE">
            <w:pPr>
              <w:pStyle w:val="TableText"/>
            </w:pPr>
          </w:p>
        </w:tc>
        <w:tc>
          <w:tcPr>
            <w:tcW w:w="1175" w:type="dxa"/>
            <w:vAlign w:val="bottom"/>
          </w:tcPr>
          <w:p w:rsidR="00313D95" w:rsidRPr="007F58BE" w:rsidRDefault="00313D95" w:rsidP="007F58BE">
            <w:pPr>
              <w:pStyle w:val="TableText"/>
            </w:pPr>
            <w:r w:rsidRPr="007F58BE">
              <w:t>Link-local</w:t>
            </w:r>
          </w:p>
        </w:tc>
        <w:tc>
          <w:tcPr>
            <w:tcW w:w="2838" w:type="dxa"/>
            <w:vAlign w:val="bottom"/>
          </w:tcPr>
          <w:p w:rsidR="00313D95" w:rsidRPr="007F58BE" w:rsidRDefault="007F58BE" w:rsidP="007F58BE">
            <w:pPr>
              <w:pStyle w:val="TableText"/>
            </w:pPr>
            <w:r>
              <w:t>FE</w:t>
            </w:r>
            <w:r w:rsidR="00313D95" w:rsidRPr="007F58BE">
              <w:t>80::2</w:t>
            </w:r>
          </w:p>
        </w:tc>
        <w:tc>
          <w:tcPr>
            <w:tcW w:w="1800" w:type="dxa"/>
            <w:vAlign w:val="bottom"/>
          </w:tcPr>
          <w:p w:rsidR="00313D95" w:rsidRPr="007F58BE" w:rsidRDefault="00313D95" w:rsidP="007F58BE">
            <w:pPr>
              <w:pStyle w:val="TableText"/>
            </w:pPr>
            <w:r w:rsidRPr="007F58BE">
              <w:t>N/A</w:t>
            </w:r>
          </w:p>
        </w:tc>
      </w:tr>
      <w:tr w:rsidR="00313D95" w:rsidRPr="007F58BE" w:rsidTr="007F58BE">
        <w:trPr>
          <w:cantSplit/>
          <w:jc w:val="center"/>
        </w:trPr>
        <w:tc>
          <w:tcPr>
            <w:tcW w:w="987" w:type="dxa"/>
            <w:vMerge w:val="restart"/>
            <w:vAlign w:val="center"/>
          </w:tcPr>
          <w:p w:rsidR="00313D95" w:rsidRPr="007F58BE" w:rsidRDefault="00313D95" w:rsidP="007F58BE">
            <w:pPr>
              <w:pStyle w:val="TableText"/>
            </w:pPr>
            <w:r w:rsidRPr="007F58BE">
              <w:t>R3</w:t>
            </w:r>
          </w:p>
        </w:tc>
        <w:tc>
          <w:tcPr>
            <w:tcW w:w="1175" w:type="dxa"/>
            <w:vAlign w:val="bottom"/>
          </w:tcPr>
          <w:p w:rsidR="00313D95" w:rsidRPr="007F58BE" w:rsidRDefault="00313D95" w:rsidP="007F58BE">
            <w:pPr>
              <w:pStyle w:val="TableText"/>
            </w:pPr>
            <w:r w:rsidRPr="007F58BE">
              <w:t>G0/0</w:t>
            </w:r>
          </w:p>
        </w:tc>
        <w:tc>
          <w:tcPr>
            <w:tcW w:w="2838" w:type="dxa"/>
            <w:vAlign w:val="bottom"/>
          </w:tcPr>
          <w:p w:rsidR="00313D95" w:rsidRPr="007F58BE" w:rsidRDefault="00313D95" w:rsidP="007F58BE">
            <w:pPr>
              <w:pStyle w:val="TableText"/>
            </w:pPr>
            <w:r w:rsidRPr="007F58BE">
              <w:t>2001:</w:t>
            </w:r>
            <w:r w:rsidR="007F58BE">
              <w:t>DB8:CAFE</w:t>
            </w:r>
            <w:r w:rsidRPr="007F58BE">
              <w:t>:</w:t>
            </w:r>
            <w:r w:rsidR="007F58BE">
              <w:t>3</w:t>
            </w:r>
            <w:r w:rsidRPr="007F58BE">
              <w:t>::1/64</w:t>
            </w:r>
          </w:p>
        </w:tc>
        <w:tc>
          <w:tcPr>
            <w:tcW w:w="1800" w:type="dxa"/>
            <w:vAlign w:val="bottom"/>
          </w:tcPr>
          <w:p w:rsidR="00313D95" w:rsidRPr="007F58BE" w:rsidRDefault="00313D95" w:rsidP="007F58BE">
            <w:pPr>
              <w:pStyle w:val="TableText"/>
            </w:pPr>
            <w:r w:rsidRPr="007F58BE">
              <w:t>N/A</w:t>
            </w:r>
          </w:p>
        </w:tc>
      </w:tr>
      <w:tr w:rsidR="00313D95" w:rsidRPr="007F58BE" w:rsidTr="007F58BE">
        <w:trPr>
          <w:cantSplit/>
          <w:jc w:val="center"/>
        </w:trPr>
        <w:tc>
          <w:tcPr>
            <w:tcW w:w="987" w:type="dxa"/>
            <w:vMerge/>
            <w:vAlign w:val="bottom"/>
          </w:tcPr>
          <w:p w:rsidR="00313D95" w:rsidRPr="007F58BE" w:rsidRDefault="00313D95" w:rsidP="007F58BE">
            <w:pPr>
              <w:pStyle w:val="TableText"/>
            </w:pPr>
          </w:p>
        </w:tc>
        <w:tc>
          <w:tcPr>
            <w:tcW w:w="1175" w:type="dxa"/>
            <w:vAlign w:val="bottom"/>
          </w:tcPr>
          <w:p w:rsidR="00313D95" w:rsidRPr="007F58BE" w:rsidRDefault="00313D95" w:rsidP="007F58BE">
            <w:pPr>
              <w:pStyle w:val="TableText"/>
            </w:pPr>
            <w:r w:rsidRPr="007F58BE">
              <w:t>S0/0/0</w:t>
            </w:r>
          </w:p>
        </w:tc>
        <w:tc>
          <w:tcPr>
            <w:tcW w:w="2838" w:type="dxa"/>
            <w:vAlign w:val="bottom"/>
          </w:tcPr>
          <w:p w:rsidR="00313D95" w:rsidRPr="007F58BE" w:rsidRDefault="00313D95" w:rsidP="007F58BE">
            <w:pPr>
              <w:pStyle w:val="TableText"/>
            </w:pPr>
            <w:r w:rsidRPr="007F58BE">
              <w:t>2001:</w:t>
            </w:r>
            <w:r w:rsidR="007F58BE">
              <w:t>DB8:CAFE</w:t>
            </w:r>
            <w:r w:rsidRPr="007F58BE">
              <w:t>:</w:t>
            </w:r>
            <w:r w:rsidR="007F58BE">
              <w:t>A003::2</w:t>
            </w:r>
            <w:r w:rsidRPr="007F58BE">
              <w:t>/</w:t>
            </w:r>
            <w:r w:rsidR="007F58BE">
              <w:t>64</w:t>
            </w:r>
          </w:p>
        </w:tc>
        <w:tc>
          <w:tcPr>
            <w:tcW w:w="1800" w:type="dxa"/>
            <w:vAlign w:val="bottom"/>
          </w:tcPr>
          <w:p w:rsidR="00313D95" w:rsidRPr="007F58BE" w:rsidRDefault="00313D95" w:rsidP="007F58BE">
            <w:pPr>
              <w:pStyle w:val="TableText"/>
            </w:pPr>
            <w:r w:rsidRPr="007F58BE">
              <w:t>N/A</w:t>
            </w:r>
          </w:p>
        </w:tc>
      </w:tr>
      <w:tr w:rsidR="00313D95" w:rsidRPr="007F58BE" w:rsidTr="007F58BE">
        <w:trPr>
          <w:cantSplit/>
          <w:jc w:val="center"/>
        </w:trPr>
        <w:tc>
          <w:tcPr>
            <w:tcW w:w="987" w:type="dxa"/>
            <w:vMerge/>
            <w:vAlign w:val="bottom"/>
          </w:tcPr>
          <w:p w:rsidR="00313D95" w:rsidRPr="007F58BE" w:rsidRDefault="00313D95" w:rsidP="007F58BE">
            <w:pPr>
              <w:pStyle w:val="TableText"/>
            </w:pPr>
          </w:p>
        </w:tc>
        <w:tc>
          <w:tcPr>
            <w:tcW w:w="1175" w:type="dxa"/>
            <w:vAlign w:val="bottom"/>
          </w:tcPr>
          <w:p w:rsidR="00313D95" w:rsidRPr="007F58BE" w:rsidRDefault="00313D95" w:rsidP="007F58BE">
            <w:pPr>
              <w:pStyle w:val="TableText"/>
            </w:pPr>
            <w:r w:rsidRPr="007F58BE">
              <w:t>S0/0/1</w:t>
            </w:r>
          </w:p>
        </w:tc>
        <w:tc>
          <w:tcPr>
            <w:tcW w:w="2838" w:type="dxa"/>
            <w:vAlign w:val="bottom"/>
          </w:tcPr>
          <w:p w:rsidR="00313D95" w:rsidRPr="007F58BE" w:rsidRDefault="00313D95" w:rsidP="007F58BE">
            <w:pPr>
              <w:pStyle w:val="TableText"/>
            </w:pPr>
            <w:r w:rsidRPr="007F58BE">
              <w:t>2001:</w:t>
            </w:r>
            <w:r w:rsidR="007F58BE">
              <w:t>DB8:CAFE</w:t>
            </w:r>
            <w:r w:rsidRPr="007F58BE">
              <w:t>:</w:t>
            </w:r>
            <w:r w:rsidR="007F58BE">
              <w:t>A002::2/64</w:t>
            </w:r>
          </w:p>
        </w:tc>
        <w:tc>
          <w:tcPr>
            <w:tcW w:w="1800" w:type="dxa"/>
            <w:vAlign w:val="bottom"/>
          </w:tcPr>
          <w:p w:rsidR="00313D95" w:rsidRPr="007F58BE" w:rsidRDefault="00313D95" w:rsidP="007F58BE">
            <w:pPr>
              <w:pStyle w:val="TableText"/>
            </w:pPr>
            <w:r w:rsidRPr="007F58BE">
              <w:t>N/A</w:t>
            </w:r>
          </w:p>
        </w:tc>
      </w:tr>
      <w:tr w:rsidR="00313D95" w:rsidRPr="007F58BE" w:rsidTr="007F58BE">
        <w:trPr>
          <w:cantSplit/>
          <w:jc w:val="center"/>
        </w:trPr>
        <w:tc>
          <w:tcPr>
            <w:tcW w:w="987" w:type="dxa"/>
            <w:vMerge/>
            <w:vAlign w:val="bottom"/>
          </w:tcPr>
          <w:p w:rsidR="00313D95" w:rsidRPr="007F58BE" w:rsidRDefault="00313D95" w:rsidP="007F58BE">
            <w:pPr>
              <w:pStyle w:val="TableText"/>
            </w:pPr>
          </w:p>
        </w:tc>
        <w:tc>
          <w:tcPr>
            <w:tcW w:w="1175" w:type="dxa"/>
            <w:vAlign w:val="bottom"/>
          </w:tcPr>
          <w:p w:rsidR="00313D95" w:rsidRPr="007F58BE" w:rsidRDefault="00313D95" w:rsidP="007F58BE">
            <w:pPr>
              <w:pStyle w:val="TableText"/>
            </w:pPr>
            <w:r w:rsidRPr="007F58BE">
              <w:t>Link-local</w:t>
            </w:r>
          </w:p>
        </w:tc>
        <w:tc>
          <w:tcPr>
            <w:tcW w:w="2838" w:type="dxa"/>
            <w:vAlign w:val="bottom"/>
          </w:tcPr>
          <w:p w:rsidR="00313D95" w:rsidRPr="007F58BE" w:rsidRDefault="007F58BE" w:rsidP="007F58BE">
            <w:pPr>
              <w:pStyle w:val="TableText"/>
            </w:pPr>
            <w:r>
              <w:t>FE</w:t>
            </w:r>
            <w:r w:rsidR="00313D95" w:rsidRPr="007F58BE">
              <w:t>80::3</w:t>
            </w:r>
          </w:p>
        </w:tc>
        <w:tc>
          <w:tcPr>
            <w:tcW w:w="1800" w:type="dxa"/>
            <w:vAlign w:val="bottom"/>
          </w:tcPr>
          <w:p w:rsidR="00313D95" w:rsidRPr="007F58BE" w:rsidRDefault="00313D95" w:rsidP="007F58BE">
            <w:pPr>
              <w:pStyle w:val="TableText"/>
            </w:pPr>
            <w:r w:rsidRPr="007F58BE">
              <w:t>N/A</w:t>
            </w:r>
          </w:p>
        </w:tc>
      </w:tr>
      <w:tr w:rsidR="00A31672" w:rsidRPr="007F58BE" w:rsidTr="007F58BE">
        <w:trPr>
          <w:cantSplit/>
          <w:jc w:val="center"/>
        </w:trPr>
        <w:tc>
          <w:tcPr>
            <w:tcW w:w="987" w:type="dxa"/>
            <w:vAlign w:val="bottom"/>
          </w:tcPr>
          <w:p w:rsidR="00A31672" w:rsidRPr="007F58BE" w:rsidRDefault="00A31672" w:rsidP="007F58BE">
            <w:pPr>
              <w:pStyle w:val="TableText"/>
            </w:pPr>
            <w:r w:rsidRPr="007F58BE">
              <w:t>PC</w:t>
            </w:r>
            <w:r w:rsidR="007F58BE">
              <w:t>1</w:t>
            </w:r>
          </w:p>
        </w:tc>
        <w:tc>
          <w:tcPr>
            <w:tcW w:w="1175" w:type="dxa"/>
            <w:vAlign w:val="bottom"/>
          </w:tcPr>
          <w:p w:rsidR="00A31672" w:rsidRPr="007F58BE" w:rsidRDefault="00A31672" w:rsidP="007F58BE">
            <w:pPr>
              <w:pStyle w:val="TableText"/>
            </w:pPr>
            <w:r w:rsidRPr="007F58BE">
              <w:t>NIC</w:t>
            </w:r>
          </w:p>
        </w:tc>
        <w:tc>
          <w:tcPr>
            <w:tcW w:w="2838" w:type="dxa"/>
            <w:vAlign w:val="bottom"/>
          </w:tcPr>
          <w:p w:rsidR="00A31672" w:rsidRPr="007F58BE" w:rsidRDefault="00313D95" w:rsidP="007F58BE">
            <w:pPr>
              <w:pStyle w:val="TableText"/>
            </w:pPr>
            <w:r w:rsidRPr="007F58BE">
              <w:t>2001:</w:t>
            </w:r>
            <w:r w:rsidR="007F58BE">
              <w:t>DB8:CAFE</w:t>
            </w:r>
            <w:r w:rsidR="00A31672" w:rsidRPr="007F58BE">
              <w:t>:</w:t>
            </w:r>
            <w:r w:rsidR="007F58BE">
              <w:t>1</w:t>
            </w:r>
            <w:r w:rsidR="00D43514" w:rsidRPr="007F58BE">
              <w:t>::3</w:t>
            </w:r>
            <w:r w:rsidR="00A31672" w:rsidRPr="007F58BE">
              <w:t>/64</w:t>
            </w:r>
          </w:p>
        </w:tc>
        <w:tc>
          <w:tcPr>
            <w:tcW w:w="1800" w:type="dxa"/>
            <w:vAlign w:val="bottom"/>
          </w:tcPr>
          <w:p w:rsidR="00A31672" w:rsidRPr="007F58BE" w:rsidRDefault="00313D95" w:rsidP="007F58BE">
            <w:pPr>
              <w:pStyle w:val="TableText"/>
            </w:pPr>
            <w:r w:rsidRPr="007F58BE">
              <w:t>Fe80::1</w:t>
            </w:r>
          </w:p>
        </w:tc>
      </w:tr>
      <w:tr w:rsidR="00A31672" w:rsidRPr="007F58BE" w:rsidTr="007F58BE">
        <w:trPr>
          <w:cantSplit/>
          <w:jc w:val="center"/>
        </w:trPr>
        <w:tc>
          <w:tcPr>
            <w:tcW w:w="987" w:type="dxa"/>
            <w:vAlign w:val="bottom"/>
          </w:tcPr>
          <w:p w:rsidR="00A31672" w:rsidRPr="007F58BE" w:rsidRDefault="00A31672" w:rsidP="007F58BE">
            <w:pPr>
              <w:pStyle w:val="TableText"/>
            </w:pPr>
            <w:r w:rsidRPr="007F58BE">
              <w:t>PC</w:t>
            </w:r>
            <w:r w:rsidR="007F58BE">
              <w:t>2</w:t>
            </w:r>
          </w:p>
        </w:tc>
        <w:tc>
          <w:tcPr>
            <w:tcW w:w="1175" w:type="dxa"/>
            <w:vAlign w:val="bottom"/>
          </w:tcPr>
          <w:p w:rsidR="00A31672" w:rsidRPr="007F58BE" w:rsidRDefault="00A31672" w:rsidP="007F58BE">
            <w:pPr>
              <w:pStyle w:val="TableText"/>
            </w:pPr>
            <w:r w:rsidRPr="007F58BE">
              <w:t>NIC</w:t>
            </w:r>
          </w:p>
        </w:tc>
        <w:tc>
          <w:tcPr>
            <w:tcW w:w="2838" w:type="dxa"/>
            <w:vAlign w:val="bottom"/>
          </w:tcPr>
          <w:p w:rsidR="00A31672" w:rsidRPr="007F58BE" w:rsidRDefault="00313D95" w:rsidP="007F58BE">
            <w:pPr>
              <w:pStyle w:val="TableText"/>
            </w:pPr>
            <w:r w:rsidRPr="007F58BE">
              <w:t>2001:</w:t>
            </w:r>
            <w:r w:rsidR="007F58BE">
              <w:t>DB8:CAFE:2</w:t>
            </w:r>
            <w:r w:rsidR="00D43514" w:rsidRPr="007F58BE">
              <w:t>::3</w:t>
            </w:r>
            <w:r w:rsidR="00A31672" w:rsidRPr="007F58BE">
              <w:t>/64</w:t>
            </w:r>
          </w:p>
        </w:tc>
        <w:tc>
          <w:tcPr>
            <w:tcW w:w="1800" w:type="dxa"/>
            <w:vAlign w:val="bottom"/>
          </w:tcPr>
          <w:p w:rsidR="00A31672" w:rsidRPr="007F58BE" w:rsidRDefault="00313D95" w:rsidP="007F58BE">
            <w:pPr>
              <w:pStyle w:val="TableText"/>
            </w:pPr>
            <w:r w:rsidRPr="007F58BE">
              <w:t>Fe80::2</w:t>
            </w:r>
          </w:p>
        </w:tc>
      </w:tr>
      <w:tr w:rsidR="00A31672" w:rsidRPr="007F58BE" w:rsidTr="007F58BE">
        <w:trPr>
          <w:cantSplit/>
          <w:jc w:val="center"/>
        </w:trPr>
        <w:tc>
          <w:tcPr>
            <w:tcW w:w="987" w:type="dxa"/>
            <w:vAlign w:val="bottom"/>
          </w:tcPr>
          <w:p w:rsidR="00A31672" w:rsidRPr="007F58BE" w:rsidRDefault="007F58BE" w:rsidP="007F58BE">
            <w:pPr>
              <w:pStyle w:val="TableText"/>
            </w:pPr>
            <w:r>
              <w:t>PC3</w:t>
            </w:r>
          </w:p>
        </w:tc>
        <w:tc>
          <w:tcPr>
            <w:tcW w:w="1175" w:type="dxa"/>
            <w:vAlign w:val="bottom"/>
          </w:tcPr>
          <w:p w:rsidR="00A31672" w:rsidRPr="007F58BE" w:rsidRDefault="00A31672" w:rsidP="007F58BE">
            <w:pPr>
              <w:pStyle w:val="TableText"/>
            </w:pPr>
            <w:r w:rsidRPr="007F58BE">
              <w:t>NIC</w:t>
            </w:r>
          </w:p>
        </w:tc>
        <w:tc>
          <w:tcPr>
            <w:tcW w:w="2838" w:type="dxa"/>
            <w:vAlign w:val="bottom"/>
          </w:tcPr>
          <w:p w:rsidR="00A31672" w:rsidRPr="007F58BE" w:rsidRDefault="00313D95" w:rsidP="007F58BE">
            <w:pPr>
              <w:pStyle w:val="TableText"/>
            </w:pPr>
            <w:r w:rsidRPr="007F58BE">
              <w:t>2001:</w:t>
            </w:r>
            <w:r w:rsidR="007F58BE">
              <w:t>DB8:CAFE</w:t>
            </w:r>
            <w:r w:rsidR="00A31672" w:rsidRPr="007F58BE">
              <w:t>:</w:t>
            </w:r>
            <w:r w:rsidR="007F58BE">
              <w:t>3</w:t>
            </w:r>
            <w:r w:rsidR="00D43514" w:rsidRPr="007F58BE">
              <w:t>::3</w:t>
            </w:r>
            <w:r w:rsidR="00A31672" w:rsidRPr="007F58BE">
              <w:t>/64</w:t>
            </w:r>
          </w:p>
        </w:tc>
        <w:tc>
          <w:tcPr>
            <w:tcW w:w="1800" w:type="dxa"/>
            <w:vAlign w:val="bottom"/>
          </w:tcPr>
          <w:p w:rsidR="00A31672" w:rsidRPr="007F58BE" w:rsidRDefault="00313D95" w:rsidP="007F58BE">
            <w:pPr>
              <w:pStyle w:val="TableText"/>
            </w:pPr>
            <w:r w:rsidRPr="007F58BE">
              <w:t>Fe80::3</w:t>
            </w:r>
          </w:p>
        </w:tc>
      </w:tr>
    </w:tbl>
    <w:p w:rsidR="009D2C27" w:rsidRPr="00BB73FF" w:rsidRDefault="009D2C27" w:rsidP="00DF0295">
      <w:pPr>
        <w:pStyle w:val="LabSection"/>
      </w:pPr>
      <w:r w:rsidRPr="00BB73FF">
        <w:t>Objective</w:t>
      </w:r>
      <w:r w:rsidR="006E6581">
        <w:t>s</w:t>
      </w:r>
    </w:p>
    <w:p w:rsidR="00554B4E" w:rsidRDefault="00963E34" w:rsidP="00963E34">
      <w:pPr>
        <w:pStyle w:val="BodyTextL25Bold"/>
      </w:pPr>
      <w:r>
        <w:t xml:space="preserve">Part 1: </w:t>
      </w:r>
      <w:r w:rsidR="00A31672">
        <w:t>Configure EIGRP for IPv6 Routing</w:t>
      </w:r>
    </w:p>
    <w:p w:rsidR="00A31672" w:rsidRDefault="00A31672" w:rsidP="00A31672">
      <w:pPr>
        <w:pStyle w:val="BodyTextL25Bold"/>
      </w:pPr>
      <w:r>
        <w:t xml:space="preserve">Part 2: Verify </w:t>
      </w:r>
      <w:r w:rsidR="00873DA1">
        <w:t xml:space="preserve">IPv6 </w:t>
      </w:r>
      <w:r w:rsidR="00045169">
        <w:t>EIGRP</w:t>
      </w:r>
      <w:r w:rsidR="00F757EF">
        <w:t xml:space="preserve"> </w:t>
      </w:r>
      <w:r w:rsidR="00BD4F4F">
        <w:t>for IPv6 Routing</w:t>
      </w:r>
    </w:p>
    <w:p w:rsidR="00C07FD9" w:rsidRDefault="00672919" w:rsidP="0014219C">
      <w:pPr>
        <w:pStyle w:val="LabSection"/>
      </w:pPr>
      <w:r>
        <w:lastRenderedPageBreak/>
        <w:t>Scenario</w:t>
      </w:r>
    </w:p>
    <w:p w:rsidR="00A31672" w:rsidRPr="00314FF1" w:rsidRDefault="00045169" w:rsidP="00A31672">
      <w:pPr>
        <w:pStyle w:val="BodyTextL25"/>
      </w:pPr>
      <w:r>
        <w:t>In this activity</w:t>
      </w:r>
      <w:r w:rsidR="00A31672">
        <w:t>, you will configure the network with EIGRP routing for IPv6. You will also assign router IDs, configure passive interfaces, verify the network is fully converged, and di</w:t>
      </w:r>
      <w:r w:rsidR="002C3732">
        <w:t>splay routing information using</w:t>
      </w:r>
      <w:r w:rsidR="00A31672">
        <w:t xml:space="preserve"> </w:t>
      </w:r>
      <w:r w:rsidR="00A31672" w:rsidRPr="00A51231">
        <w:rPr>
          <w:b/>
        </w:rPr>
        <w:t>show</w:t>
      </w:r>
      <w:r w:rsidR="00A31672">
        <w:t xml:space="preserve"> commands.</w:t>
      </w:r>
    </w:p>
    <w:p w:rsidR="00A31672" w:rsidRDefault="00A31672" w:rsidP="00A31672">
      <w:pPr>
        <w:pStyle w:val="BodyTextL25"/>
      </w:pPr>
      <w:r>
        <w:t>EIGRP for IPv6 has the same overall operation and features as EIGRP for IPv4. There are a few major differences between them:</w:t>
      </w:r>
    </w:p>
    <w:p w:rsidR="00A31672" w:rsidRDefault="00A31672" w:rsidP="00A31672">
      <w:pPr>
        <w:pStyle w:val="Bulletlevel2"/>
        <w:numPr>
          <w:ilvl w:val="0"/>
          <w:numId w:val="5"/>
        </w:numPr>
      </w:pPr>
      <w:r>
        <w:t>EIGRP for IPv6 is configured directly on the router interfaces.</w:t>
      </w:r>
    </w:p>
    <w:p w:rsidR="00A31672" w:rsidRDefault="00A31672" w:rsidP="00A31672">
      <w:pPr>
        <w:pStyle w:val="Bulletlevel2"/>
        <w:numPr>
          <w:ilvl w:val="0"/>
          <w:numId w:val="5"/>
        </w:numPr>
      </w:pPr>
      <w:r>
        <w:t>With EIGRP for IPv6, a router-id is required on each router or the routing process will not start.</w:t>
      </w:r>
    </w:p>
    <w:p w:rsidR="00A31672" w:rsidRDefault="00A31672" w:rsidP="00A31672">
      <w:pPr>
        <w:pStyle w:val="Bulletlevel2"/>
        <w:numPr>
          <w:ilvl w:val="0"/>
          <w:numId w:val="5"/>
        </w:numPr>
      </w:pPr>
      <w:r>
        <w:t>The EIGRP for IPv6 routing process uses a “shutdown” feature.</w:t>
      </w:r>
    </w:p>
    <w:p w:rsidR="00A31672" w:rsidRDefault="002C3732" w:rsidP="00D43514">
      <w:pPr>
        <w:pStyle w:val="PartHead"/>
      </w:pPr>
      <w:r>
        <w:t>Configure EIGRP for IPv6 R</w:t>
      </w:r>
      <w:r w:rsidR="00D43514">
        <w:t>outing</w:t>
      </w:r>
    </w:p>
    <w:p w:rsidR="00D43514" w:rsidRDefault="00026820" w:rsidP="00D43514">
      <w:pPr>
        <w:pStyle w:val="StepHead"/>
      </w:pPr>
      <w:r>
        <w:t>Enable IPv6 routing on each router</w:t>
      </w:r>
      <w:r w:rsidR="00D43514">
        <w:t>.</w:t>
      </w:r>
    </w:p>
    <w:p w:rsidR="00026820" w:rsidRDefault="00026820" w:rsidP="00D43514">
      <w:pPr>
        <w:pStyle w:val="StepHead"/>
      </w:pPr>
      <w:r>
        <w:t>Enable EIGRP for IPv6 routing on each router.</w:t>
      </w:r>
    </w:p>
    <w:p w:rsidR="00026820" w:rsidRPr="00026820" w:rsidRDefault="00026820" w:rsidP="00026820">
      <w:pPr>
        <w:pStyle w:val="BodyTextL25"/>
      </w:pPr>
      <w:r>
        <w:t>The IPv6 routing process is shutdown by default. Issue a command that will enable EIGRP for IPv6 routing in R1, R2 and R3.</w:t>
      </w:r>
    </w:p>
    <w:p w:rsidR="00130CD0" w:rsidRDefault="00026820" w:rsidP="00524C38">
      <w:pPr>
        <w:pStyle w:val="BodyTextL25"/>
      </w:pPr>
      <w:r>
        <w:t>Enable</w:t>
      </w:r>
      <w:r w:rsidR="00130CD0">
        <w:t xml:space="preserve"> the EIGRP process on all routers and use </w:t>
      </w:r>
      <w:r w:rsidR="00130CD0">
        <w:rPr>
          <w:b/>
        </w:rPr>
        <w:t xml:space="preserve">1 </w:t>
      </w:r>
      <w:r w:rsidR="00130CD0">
        <w:t>as the Autonomous System number.</w:t>
      </w:r>
    </w:p>
    <w:p w:rsidR="00026820" w:rsidRDefault="00026820" w:rsidP="00026820">
      <w:pPr>
        <w:pStyle w:val="StepHead"/>
      </w:pPr>
      <w:r>
        <w:t>Assign a router ID to each router.</w:t>
      </w:r>
    </w:p>
    <w:p w:rsidR="00130CD0" w:rsidRDefault="002C3732" w:rsidP="00342C30">
      <w:pPr>
        <w:pStyle w:val="BodyTextL50"/>
        <w:ind w:left="360"/>
      </w:pPr>
      <w:r>
        <w:t>The router IDs are as follows:</w:t>
      </w:r>
    </w:p>
    <w:p w:rsidR="002C3732" w:rsidRDefault="002C3732" w:rsidP="002C3732">
      <w:pPr>
        <w:pStyle w:val="Bulletlevel1"/>
      </w:pPr>
      <w:r>
        <w:t>R1: 1.1.1.1</w:t>
      </w:r>
    </w:p>
    <w:p w:rsidR="002C3732" w:rsidRDefault="002C3732" w:rsidP="002C3732">
      <w:pPr>
        <w:pStyle w:val="Bulletlevel1"/>
      </w:pPr>
      <w:r>
        <w:t>R2: 2.2.2.2</w:t>
      </w:r>
    </w:p>
    <w:p w:rsidR="002C3732" w:rsidRPr="002C3732" w:rsidRDefault="002C3732" w:rsidP="002C3732">
      <w:pPr>
        <w:pStyle w:val="Bulletlevel1"/>
      </w:pPr>
      <w:r>
        <w:t>R3: 3.3.3.3</w:t>
      </w:r>
    </w:p>
    <w:p w:rsidR="00F50A42" w:rsidRDefault="002C3732" w:rsidP="00F50A42">
      <w:pPr>
        <w:pStyle w:val="StepHead"/>
      </w:pPr>
      <w:r>
        <w:t>Using AS 1, c</w:t>
      </w:r>
      <w:r w:rsidR="00F50A42">
        <w:t>onfigure EI</w:t>
      </w:r>
      <w:r w:rsidR="00045169">
        <w:t xml:space="preserve">GRP for IPv6 </w:t>
      </w:r>
      <w:r>
        <w:t>on each interface</w:t>
      </w:r>
      <w:r w:rsidR="00026820">
        <w:t>.</w:t>
      </w:r>
    </w:p>
    <w:p w:rsidR="00873DA1" w:rsidRDefault="00461D85" w:rsidP="00873DA1">
      <w:pPr>
        <w:pStyle w:val="PartHead"/>
      </w:pPr>
      <w:bookmarkStart w:id="0" w:name="_GoBack"/>
      <w:bookmarkEnd w:id="0"/>
      <w:r>
        <w:t xml:space="preserve">Verify </w:t>
      </w:r>
      <w:r w:rsidR="00045169">
        <w:t>EIGRP</w:t>
      </w:r>
      <w:r w:rsidR="00DF0295">
        <w:t xml:space="preserve"> for IPv6 Routing</w:t>
      </w:r>
    </w:p>
    <w:p w:rsidR="00873DA1" w:rsidRDefault="00873DA1" w:rsidP="00873DA1">
      <w:pPr>
        <w:pStyle w:val="StepHead"/>
      </w:pPr>
      <w:r>
        <w:t>Examine neighbor adjacencies.</w:t>
      </w:r>
    </w:p>
    <w:p w:rsidR="00873DA1" w:rsidRDefault="002C3732" w:rsidP="00C939EF">
      <w:pPr>
        <w:pStyle w:val="BodyTextL25"/>
      </w:pPr>
      <w:r>
        <w:t>Use</w:t>
      </w:r>
      <w:r w:rsidR="00873DA1">
        <w:t xml:space="preserve"> the command </w:t>
      </w:r>
      <w:r w:rsidR="00873DA1">
        <w:rPr>
          <w:b/>
        </w:rPr>
        <w:t xml:space="preserve">show ipv6 </w:t>
      </w:r>
      <w:proofErr w:type="spellStart"/>
      <w:r w:rsidR="00873DA1">
        <w:rPr>
          <w:b/>
        </w:rPr>
        <w:t>eigrp</w:t>
      </w:r>
      <w:proofErr w:type="spellEnd"/>
      <w:r w:rsidR="00873DA1">
        <w:rPr>
          <w:b/>
        </w:rPr>
        <w:t xml:space="preserve"> neighbors</w:t>
      </w:r>
      <w:r w:rsidR="00873DA1">
        <w:t xml:space="preserve"> to verify that the adjacency has been established with it</w:t>
      </w:r>
      <w:r w:rsidR="00342C30">
        <w:t>s neighboring routers. The link-</w:t>
      </w:r>
      <w:r w:rsidR="00873DA1">
        <w:t>local addresses of the neighboring routers are displayed in the adjacency table.</w:t>
      </w:r>
    </w:p>
    <w:p w:rsidR="00873DA1" w:rsidRDefault="00873DA1" w:rsidP="00873DA1">
      <w:pPr>
        <w:pStyle w:val="StepHead"/>
      </w:pPr>
      <w:r>
        <w:t>Examine the IPv6 EIGRP routing table.</w:t>
      </w:r>
    </w:p>
    <w:p w:rsidR="00873DA1" w:rsidRDefault="00524C38" w:rsidP="00873DA1">
      <w:pPr>
        <w:pStyle w:val="BodyTextL25"/>
      </w:pPr>
      <w:r w:rsidRPr="00524C38">
        <w:t xml:space="preserve">Use the </w:t>
      </w:r>
      <w:r w:rsidRPr="00524C38">
        <w:rPr>
          <w:b/>
        </w:rPr>
        <w:t>show ipv6 route</w:t>
      </w:r>
      <w:r w:rsidRPr="00524C38">
        <w:t xml:space="preserve"> command to display the IPv6 routing table on all routers. EIGRP for IPv6 routes are denoted in the routing table with a </w:t>
      </w:r>
      <w:r w:rsidRPr="00524C38">
        <w:rPr>
          <w:b/>
        </w:rPr>
        <w:t>D</w:t>
      </w:r>
      <w:r w:rsidRPr="00524C38">
        <w:t>.</w:t>
      </w:r>
    </w:p>
    <w:p w:rsidR="00F757EF" w:rsidRDefault="00F757EF" w:rsidP="00F757EF">
      <w:pPr>
        <w:pStyle w:val="StepHead"/>
      </w:pPr>
      <w:r>
        <w:t>Verify the parameters and current state of the active IPv6 routing protocol processes.</w:t>
      </w:r>
    </w:p>
    <w:p w:rsidR="00F757EF" w:rsidRDefault="002C3732" w:rsidP="00F757EF">
      <w:pPr>
        <w:pStyle w:val="BodyTextL25"/>
      </w:pPr>
      <w:r>
        <w:t>Use</w:t>
      </w:r>
      <w:r w:rsidR="00F757EF">
        <w:t xml:space="preserve"> the command </w:t>
      </w:r>
      <w:r w:rsidR="00F757EF">
        <w:rPr>
          <w:b/>
        </w:rPr>
        <w:t>show ipv6 protocols</w:t>
      </w:r>
      <w:r w:rsidR="00F757EF">
        <w:t xml:space="preserve"> to verify the configured parameter.</w:t>
      </w:r>
    </w:p>
    <w:p w:rsidR="00DF0295" w:rsidRDefault="00DF0295" w:rsidP="00DF0295">
      <w:pPr>
        <w:pStyle w:val="StepHead"/>
      </w:pPr>
      <w:r>
        <w:t>Verify end-to-end connectivity.</w:t>
      </w:r>
    </w:p>
    <w:p w:rsidR="00130CD0" w:rsidRPr="00130CD0" w:rsidRDefault="002C3732" w:rsidP="00934613">
      <w:pPr>
        <w:pStyle w:val="BodyTextL25"/>
      </w:pPr>
      <w:r>
        <w:t>PC1, PC2</w:t>
      </w:r>
      <w:r w:rsidR="00342C30">
        <w:t>,</w:t>
      </w:r>
      <w:r>
        <w:t xml:space="preserve"> and PC3 should now be able to ping each other. If not, troubleshoot your EIGRP configurations.</w:t>
      </w:r>
    </w:p>
    <w:p w:rsidR="00A31672" w:rsidRDefault="00A31672" w:rsidP="00A31672">
      <w:pPr>
        <w:pStyle w:val="BodyText1"/>
      </w:pPr>
    </w:p>
    <w:sectPr w:rsidR="00A31672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516" w:rsidRDefault="00250516" w:rsidP="0090659A">
      <w:pPr>
        <w:spacing w:after="0" w:line="240" w:lineRule="auto"/>
      </w:pPr>
      <w:r>
        <w:separator/>
      </w:r>
    </w:p>
    <w:p w:rsidR="00250516" w:rsidRDefault="00250516"/>
    <w:p w:rsidR="00250516" w:rsidRDefault="00250516"/>
    <w:p w:rsidR="00250516" w:rsidRDefault="00250516"/>
    <w:p w:rsidR="00250516" w:rsidRDefault="00250516"/>
  </w:endnote>
  <w:endnote w:type="continuationSeparator" w:id="0">
    <w:p w:rsidR="00250516" w:rsidRDefault="00250516" w:rsidP="0090659A">
      <w:pPr>
        <w:spacing w:after="0" w:line="240" w:lineRule="auto"/>
      </w:pPr>
      <w:r>
        <w:continuationSeparator/>
      </w:r>
    </w:p>
    <w:p w:rsidR="00250516" w:rsidRDefault="00250516"/>
    <w:p w:rsidR="00250516" w:rsidRDefault="00250516"/>
    <w:p w:rsidR="00250516" w:rsidRDefault="00250516"/>
    <w:p w:rsidR="00250516" w:rsidRDefault="002505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FE00A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E00A3" w:rsidRPr="0090659A">
      <w:rPr>
        <w:b/>
        <w:szCs w:val="16"/>
      </w:rPr>
      <w:fldChar w:fldCharType="separate"/>
    </w:r>
    <w:r w:rsidR="00E536D6">
      <w:rPr>
        <w:b/>
        <w:noProof/>
        <w:szCs w:val="16"/>
      </w:rPr>
      <w:t>2</w:t>
    </w:r>
    <w:r w:rsidR="00FE00A3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E00A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E00A3" w:rsidRPr="0090659A">
      <w:rPr>
        <w:b/>
        <w:szCs w:val="16"/>
      </w:rPr>
      <w:fldChar w:fldCharType="separate"/>
    </w:r>
    <w:r w:rsidR="00E536D6">
      <w:rPr>
        <w:b/>
        <w:noProof/>
        <w:szCs w:val="16"/>
      </w:rPr>
      <w:t>3</w:t>
    </w:r>
    <w:r w:rsidR="00FE00A3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FE00A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E00A3" w:rsidRPr="0090659A">
      <w:rPr>
        <w:b/>
        <w:szCs w:val="16"/>
      </w:rPr>
      <w:fldChar w:fldCharType="separate"/>
    </w:r>
    <w:r w:rsidR="00E536D6">
      <w:rPr>
        <w:b/>
        <w:noProof/>
        <w:szCs w:val="16"/>
      </w:rPr>
      <w:t>1</w:t>
    </w:r>
    <w:r w:rsidR="00FE00A3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E00A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E00A3" w:rsidRPr="0090659A">
      <w:rPr>
        <w:b/>
        <w:szCs w:val="16"/>
      </w:rPr>
      <w:fldChar w:fldCharType="separate"/>
    </w:r>
    <w:r w:rsidR="00E536D6">
      <w:rPr>
        <w:b/>
        <w:noProof/>
        <w:szCs w:val="16"/>
      </w:rPr>
      <w:t>2</w:t>
    </w:r>
    <w:r w:rsidR="00FE00A3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516" w:rsidRDefault="00250516" w:rsidP="0090659A">
      <w:pPr>
        <w:spacing w:after="0" w:line="240" w:lineRule="auto"/>
      </w:pPr>
      <w:r>
        <w:separator/>
      </w:r>
    </w:p>
    <w:p w:rsidR="00250516" w:rsidRDefault="00250516"/>
    <w:p w:rsidR="00250516" w:rsidRDefault="00250516"/>
    <w:p w:rsidR="00250516" w:rsidRDefault="00250516"/>
    <w:p w:rsidR="00250516" w:rsidRDefault="00250516"/>
  </w:footnote>
  <w:footnote w:type="continuationSeparator" w:id="0">
    <w:p w:rsidR="00250516" w:rsidRDefault="00250516" w:rsidP="0090659A">
      <w:pPr>
        <w:spacing w:after="0" w:line="240" w:lineRule="auto"/>
      </w:pPr>
      <w:r>
        <w:continuationSeparator/>
      </w:r>
    </w:p>
    <w:p w:rsidR="00250516" w:rsidRDefault="00250516"/>
    <w:p w:rsidR="00250516" w:rsidRDefault="00250516"/>
    <w:p w:rsidR="00250516" w:rsidRDefault="00250516"/>
    <w:p w:rsidR="00250516" w:rsidRDefault="0025051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EF4623" w:rsidP="00C52BA6">
    <w:pPr>
      <w:pStyle w:val="PageHead"/>
    </w:pPr>
    <w:r>
      <w:t>Packet Tracer –</w:t>
    </w:r>
    <w:r w:rsidRPr="00FD4A68">
      <w:t xml:space="preserve"> </w:t>
    </w:r>
    <w:r w:rsidR="00A31672">
      <w:t>Configuring Basic EIGRP with IPv6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54B564B1"/>
    <w:multiLevelType w:val="hybridMultilevel"/>
    <w:tmpl w:val="3FAC1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 w:numId="6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26820"/>
    <w:rsid w:val="00041AF6"/>
    <w:rsid w:val="00044E62"/>
    <w:rsid w:val="00045169"/>
    <w:rsid w:val="00050BA4"/>
    <w:rsid w:val="00051738"/>
    <w:rsid w:val="00052548"/>
    <w:rsid w:val="0005415A"/>
    <w:rsid w:val="00060696"/>
    <w:rsid w:val="000769CF"/>
    <w:rsid w:val="000815D8"/>
    <w:rsid w:val="000816A6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0CD0"/>
    <w:rsid w:val="001366EC"/>
    <w:rsid w:val="0014219C"/>
    <w:rsid w:val="001425ED"/>
    <w:rsid w:val="00154E3A"/>
    <w:rsid w:val="00163164"/>
    <w:rsid w:val="001710C0"/>
    <w:rsid w:val="00172478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427D"/>
    <w:rsid w:val="001A69AC"/>
    <w:rsid w:val="001B67D8"/>
    <w:rsid w:val="001B6F95"/>
    <w:rsid w:val="001C05A1"/>
    <w:rsid w:val="001C1D9E"/>
    <w:rsid w:val="001C6125"/>
    <w:rsid w:val="001C6B29"/>
    <w:rsid w:val="001C7C3B"/>
    <w:rsid w:val="001D5B6F"/>
    <w:rsid w:val="001E0AB8"/>
    <w:rsid w:val="001E38E0"/>
    <w:rsid w:val="001E4E72"/>
    <w:rsid w:val="001E5639"/>
    <w:rsid w:val="001E62B3"/>
    <w:rsid w:val="001F0171"/>
    <w:rsid w:val="001F0D77"/>
    <w:rsid w:val="001F7DD8"/>
    <w:rsid w:val="00201928"/>
    <w:rsid w:val="00203E26"/>
    <w:rsid w:val="0020449C"/>
    <w:rsid w:val="002113B8"/>
    <w:rsid w:val="00212926"/>
    <w:rsid w:val="00215665"/>
    <w:rsid w:val="0021792C"/>
    <w:rsid w:val="002240AB"/>
    <w:rsid w:val="00225E37"/>
    <w:rsid w:val="00242E3A"/>
    <w:rsid w:val="002434B7"/>
    <w:rsid w:val="00250516"/>
    <w:rsid w:val="002506CF"/>
    <w:rsid w:val="0025107F"/>
    <w:rsid w:val="00260CD4"/>
    <w:rsid w:val="002639D8"/>
    <w:rsid w:val="00263E94"/>
    <w:rsid w:val="00265F77"/>
    <w:rsid w:val="00266C83"/>
    <w:rsid w:val="002768DC"/>
    <w:rsid w:val="002A6C56"/>
    <w:rsid w:val="002B4842"/>
    <w:rsid w:val="002C090C"/>
    <w:rsid w:val="002C1243"/>
    <w:rsid w:val="002C1815"/>
    <w:rsid w:val="002C3732"/>
    <w:rsid w:val="002C475E"/>
    <w:rsid w:val="002C6AD6"/>
    <w:rsid w:val="002D6C2A"/>
    <w:rsid w:val="002D7A86"/>
    <w:rsid w:val="002E65B3"/>
    <w:rsid w:val="002E7852"/>
    <w:rsid w:val="002F45FF"/>
    <w:rsid w:val="002F6D17"/>
    <w:rsid w:val="00302887"/>
    <w:rsid w:val="003056EB"/>
    <w:rsid w:val="003071FF"/>
    <w:rsid w:val="00310652"/>
    <w:rsid w:val="0031371D"/>
    <w:rsid w:val="00313D95"/>
    <w:rsid w:val="0031789F"/>
    <w:rsid w:val="00320788"/>
    <w:rsid w:val="003233A3"/>
    <w:rsid w:val="00342C30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B30B4"/>
    <w:rsid w:val="003B46FC"/>
    <w:rsid w:val="003B5767"/>
    <w:rsid w:val="003B7605"/>
    <w:rsid w:val="003C6BCA"/>
    <w:rsid w:val="003C7902"/>
    <w:rsid w:val="003D0BFF"/>
    <w:rsid w:val="003E5BE5"/>
    <w:rsid w:val="003F176D"/>
    <w:rsid w:val="003F18D1"/>
    <w:rsid w:val="003F4F0E"/>
    <w:rsid w:val="003F6E06"/>
    <w:rsid w:val="00403C7A"/>
    <w:rsid w:val="004057A6"/>
    <w:rsid w:val="00406554"/>
    <w:rsid w:val="00412E36"/>
    <w:rsid w:val="004131B0"/>
    <w:rsid w:val="004140C9"/>
    <w:rsid w:val="00416C42"/>
    <w:rsid w:val="004174A6"/>
    <w:rsid w:val="00422476"/>
    <w:rsid w:val="0042385C"/>
    <w:rsid w:val="00431654"/>
    <w:rsid w:val="00434926"/>
    <w:rsid w:val="00444217"/>
    <w:rsid w:val="00446511"/>
    <w:rsid w:val="004478F4"/>
    <w:rsid w:val="00450F7A"/>
    <w:rsid w:val="00452C6D"/>
    <w:rsid w:val="00455E0B"/>
    <w:rsid w:val="00461D85"/>
    <w:rsid w:val="004659EE"/>
    <w:rsid w:val="004919F0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0C2F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24C38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3643"/>
    <w:rsid w:val="00624198"/>
    <w:rsid w:val="006428E5"/>
    <w:rsid w:val="00644958"/>
    <w:rsid w:val="00672919"/>
    <w:rsid w:val="00680FA5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A0"/>
    <w:rsid w:val="006E6581"/>
    <w:rsid w:val="006E71DF"/>
    <w:rsid w:val="006F1CC4"/>
    <w:rsid w:val="006F2A86"/>
    <w:rsid w:val="006F3163"/>
    <w:rsid w:val="006F5E53"/>
    <w:rsid w:val="00705FEC"/>
    <w:rsid w:val="0071147A"/>
    <w:rsid w:val="0071185D"/>
    <w:rsid w:val="007222AD"/>
    <w:rsid w:val="007267CF"/>
    <w:rsid w:val="007312EB"/>
    <w:rsid w:val="00731F3F"/>
    <w:rsid w:val="00733BAB"/>
    <w:rsid w:val="00735BA3"/>
    <w:rsid w:val="007436BF"/>
    <w:rsid w:val="007443E9"/>
    <w:rsid w:val="00745DCE"/>
    <w:rsid w:val="00746DC1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9FA"/>
    <w:rsid w:val="007C0EE0"/>
    <w:rsid w:val="007C1B71"/>
    <w:rsid w:val="007C2FBB"/>
    <w:rsid w:val="007C7164"/>
    <w:rsid w:val="007D1984"/>
    <w:rsid w:val="007D2AFE"/>
    <w:rsid w:val="007D5124"/>
    <w:rsid w:val="007E3FEA"/>
    <w:rsid w:val="007F0A0B"/>
    <w:rsid w:val="007F3A60"/>
    <w:rsid w:val="007F3D0B"/>
    <w:rsid w:val="007F58BE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6EC0"/>
    <w:rsid w:val="00857CF6"/>
    <w:rsid w:val="008610ED"/>
    <w:rsid w:val="00861C6A"/>
    <w:rsid w:val="0086214D"/>
    <w:rsid w:val="00865199"/>
    <w:rsid w:val="00867EAF"/>
    <w:rsid w:val="0087245F"/>
    <w:rsid w:val="00873C6B"/>
    <w:rsid w:val="00873DA1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3A08"/>
    <w:rsid w:val="00915986"/>
    <w:rsid w:val="00917624"/>
    <w:rsid w:val="00930386"/>
    <w:rsid w:val="009309F5"/>
    <w:rsid w:val="00933237"/>
    <w:rsid w:val="00933F28"/>
    <w:rsid w:val="00934613"/>
    <w:rsid w:val="009476C0"/>
    <w:rsid w:val="00963E34"/>
    <w:rsid w:val="00964DFA"/>
    <w:rsid w:val="0098155C"/>
    <w:rsid w:val="00983B77"/>
    <w:rsid w:val="00996053"/>
    <w:rsid w:val="00996CA7"/>
    <w:rsid w:val="009A0B2F"/>
    <w:rsid w:val="009A1CF4"/>
    <w:rsid w:val="009A37D7"/>
    <w:rsid w:val="009A4E17"/>
    <w:rsid w:val="009A6955"/>
    <w:rsid w:val="009B13F4"/>
    <w:rsid w:val="009B341C"/>
    <w:rsid w:val="009B5747"/>
    <w:rsid w:val="009D2C27"/>
    <w:rsid w:val="009E2309"/>
    <w:rsid w:val="009E42B9"/>
    <w:rsid w:val="00A014A3"/>
    <w:rsid w:val="00A0412D"/>
    <w:rsid w:val="00A21211"/>
    <w:rsid w:val="00A31672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5A5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4F4F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39EF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3514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DF0295"/>
    <w:rsid w:val="00E037D9"/>
    <w:rsid w:val="00E130EB"/>
    <w:rsid w:val="00E162CD"/>
    <w:rsid w:val="00E17FA5"/>
    <w:rsid w:val="00E26930"/>
    <w:rsid w:val="00E27257"/>
    <w:rsid w:val="00E449D0"/>
    <w:rsid w:val="00E4506A"/>
    <w:rsid w:val="00E536D6"/>
    <w:rsid w:val="00E53F99"/>
    <w:rsid w:val="00E56510"/>
    <w:rsid w:val="00E62EA8"/>
    <w:rsid w:val="00E67A6E"/>
    <w:rsid w:val="00E71B43"/>
    <w:rsid w:val="00E762DF"/>
    <w:rsid w:val="00E81612"/>
    <w:rsid w:val="00E86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50A42"/>
    <w:rsid w:val="00F60BE0"/>
    <w:rsid w:val="00F6280E"/>
    <w:rsid w:val="00F7050A"/>
    <w:rsid w:val="00F75533"/>
    <w:rsid w:val="00F757EF"/>
    <w:rsid w:val="00F87CFA"/>
    <w:rsid w:val="00FA3811"/>
    <w:rsid w:val="00FA3B9F"/>
    <w:rsid w:val="00FA3F06"/>
    <w:rsid w:val="00FA4A26"/>
    <w:rsid w:val="00FA7084"/>
    <w:rsid w:val="00FA7BEF"/>
    <w:rsid w:val="00FB1929"/>
    <w:rsid w:val="00FB5FD9"/>
    <w:rsid w:val="00FC3010"/>
    <w:rsid w:val="00FD33AB"/>
    <w:rsid w:val="00FD4724"/>
    <w:rsid w:val="00FD4A68"/>
    <w:rsid w:val="00FD68ED"/>
    <w:rsid w:val="00FE00A3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odyText2">
    <w:name w:val="Body Text2"/>
    <w:basedOn w:val="Normal"/>
    <w:qFormat/>
    <w:rsid w:val="00FC3010"/>
    <w:pPr>
      <w:spacing w:line="240" w:lineRule="auto"/>
    </w:pPr>
    <w:rPr>
      <w:sz w:val="20"/>
    </w:rPr>
  </w:style>
  <w:style w:type="paragraph" w:customStyle="1" w:styleId="BodyText3">
    <w:name w:val="Body Text3"/>
    <w:basedOn w:val="Normal"/>
    <w:qFormat/>
    <w:rsid w:val="00342C30"/>
    <w:pPr>
      <w:spacing w:line="240" w:lineRule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odyText2">
    <w:name w:val="Body Text2"/>
    <w:basedOn w:val="Normal"/>
    <w:qFormat/>
    <w:rsid w:val="00FC3010"/>
    <w:pPr>
      <w:spacing w:line="240" w:lineRule="auto"/>
    </w:pPr>
    <w:rPr>
      <w:sz w:val="20"/>
    </w:rPr>
  </w:style>
  <w:style w:type="paragraph" w:customStyle="1" w:styleId="BodyText3">
    <w:name w:val="Body Text3"/>
    <w:basedOn w:val="Normal"/>
    <w:qFormat/>
    <w:rsid w:val="00342C30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333684-0BE5-4068-8FCB-B70C04B3E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3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3</cp:revision>
  <dcterms:created xsi:type="dcterms:W3CDTF">2013-07-15T00:01:00Z</dcterms:created>
  <dcterms:modified xsi:type="dcterms:W3CDTF">2013-07-15T00:04:00Z</dcterms:modified>
</cp:coreProperties>
</file>