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Default="0023110F" w:rsidP="00780A17">
      <w:pPr>
        <w:pStyle w:val="LabTitle"/>
      </w:pPr>
      <w:r>
        <w:t>Packet Tracer - Skills Integration Challenge</w:t>
      </w:r>
      <w:r w:rsidR="00EB60AE" w:rsidRPr="00FD4A68">
        <w:t xml:space="preserve"> </w:t>
      </w:r>
    </w:p>
    <w:p w:rsidR="00EB60AE" w:rsidRDefault="00EB60AE" w:rsidP="00EB60AE">
      <w:pPr>
        <w:pStyle w:val="LabSection"/>
      </w:pPr>
      <w:r>
        <w:t>Topology</w:t>
      </w:r>
    </w:p>
    <w:p w:rsidR="00364A96" w:rsidRPr="00364A96" w:rsidRDefault="00861751" w:rsidP="00364A96">
      <w:pPr>
        <w:pStyle w:val="BodyText1"/>
      </w:pPr>
      <w:r>
        <w:rPr>
          <w:noProof/>
        </w:rPr>
        <w:drawing>
          <wp:inline distT="0" distB="0" distL="0" distR="0">
            <wp:extent cx="6400800" cy="3028950"/>
            <wp:effectExtent l="19050" t="0" r="0" b="0"/>
            <wp:docPr id="4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9" w:rsidRPr="00BB73FF" w:rsidRDefault="00FA6FB9" w:rsidP="00265C9C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5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11"/>
        <w:gridCol w:w="1107"/>
        <w:gridCol w:w="1734"/>
        <w:gridCol w:w="1790"/>
      </w:tblGrid>
      <w:tr w:rsidR="00AF7B45" w:rsidTr="007D6D0D">
        <w:trPr>
          <w:cantSplit/>
          <w:trHeight w:val="518"/>
          <w:jc w:val="center"/>
        </w:trPr>
        <w:tc>
          <w:tcPr>
            <w:tcW w:w="121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F7B45" w:rsidRPr="00E87D62" w:rsidRDefault="00AF7B45" w:rsidP="00FC15D5">
            <w:pPr>
              <w:pStyle w:val="TableHeading"/>
            </w:pPr>
            <w:r w:rsidRPr="00E87D62">
              <w:t>Device</w:t>
            </w:r>
          </w:p>
        </w:tc>
        <w:tc>
          <w:tcPr>
            <w:tcW w:w="110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F7B45" w:rsidRPr="00E87D62" w:rsidRDefault="00AF7B45" w:rsidP="00FC15D5">
            <w:pPr>
              <w:pStyle w:val="TableHeading"/>
            </w:pPr>
            <w:r w:rsidRPr="00E87D62">
              <w:t>Interface</w:t>
            </w:r>
          </w:p>
        </w:tc>
        <w:tc>
          <w:tcPr>
            <w:tcW w:w="1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F7B45" w:rsidRPr="00E87D62" w:rsidRDefault="00AF7B45" w:rsidP="00FC15D5">
            <w:pPr>
              <w:pStyle w:val="TableHeading"/>
            </w:pPr>
            <w:r>
              <w:t>IPv4 Address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F7B45" w:rsidRPr="00E87D62" w:rsidRDefault="00AF7B45" w:rsidP="00FC15D5">
            <w:pPr>
              <w:pStyle w:val="TableHeading"/>
            </w:pPr>
            <w:r>
              <w:t>Subnet Mask</w:t>
            </w:r>
          </w:p>
        </w:tc>
      </w:tr>
      <w:tr w:rsidR="00AF7B45" w:rsidTr="007D6D0D">
        <w:trPr>
          <w:cantSplit/>
          <w:trHeight w:val="517"/>
          <w:jc w:val="center"/>
        </w:trPr>
        <w:tc>
          <w:tcPr>
            <w:tcW w:w="121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F7B45" w:rsidRPr="00E87D62" w:rsidRDefault="00AF7B45" w:rsidP="00FC15D5">
            <w:pPr>
              <w:pStyle w:val="TableHeading"/>
            </w:pPr>
          </w:p>
        </w:tc>
        <w:tc>
          <w:tcPr>
            <w:tcW w:w="110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F7B45" w:rsidRPr="00E87D62" w:rsidRDefault="00AF7B45" w:rsidP="00FC15D5">
            <w:pPr>
              <w:pStyle w:val="TableHeading"/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F7B45" w:rsidRPr="00E87D62" w:rsidRDefault="00AF7B45" w:rsidP="00FC15D5">
            <w:pPr>
              <w:pStyle w:val="TableHeading"/>
            </w:pPr>
            <w:r>
              <w:t>IPv6 Address/Prefix</w:t>
            </w:r>
          </w:p>
        </w:tc>
      </w:tr>
      <w:tr w:rsidR="00AF7B45" w:rsidRPr="007D6D0D" w:rsidTr="007D6D0D">
        <w:trPr>
          <w:cantSplit/>
          <w:jc w:val="center"/>
        </w:trPr>
        <w:tc>
          <w:tcPr>
            <w:tcW w:w="1211" w:type="dxa"/>
            <w:vMerge w:val="restart"/>
            <w:vAlign w:val="center"/>
          </w:tcPr>
          <w:p w:rsidR="00AF7B45" w:rsidRPr="007D6D0D" w:rsidRDefault="00AF7B45" w:rsidP="007D6D0D">
            <w:pPr>
              <w:pStyle w:val="TableText"/>
            </w:pPr>
            <w:r w:rsidRPr="007D6D0D">
              <w:t>IPv4-Edge</w:t>
            </w:r>
          </w:p>
        </w:tc>
        <w:tc>
          <w:tcPr>
            <w:tcW w:w="1107" w:type="dxa"/>
            <w:vAlign w:val="center"/>
          </w:tcPr>
          <w:p w:rsidR="00AF7B45" w:rsidRPr="007D6D0D" w:rsidRDefault="00AF7B45" w:rsidP="007D6D0D">
            <w:pPr>
              <w:pStyle w:val="TableText"/>
            </w:pPr>
            <w:r w:rsidRPr="007D6D0D">
              <w:t>S0/0/0</w:t>
            </w:r>
          </w:p>
        </w:tc>
        <w:tc>
          <w:tcPr>
            <w:tcW w:w="1734" w:type="dxa"/>
            <w:vAlign w:val="center"/>
          </w:tcPr>
          <w:p w:rsidR="00AF7B45" w:rsidRPr="007D6D0D" w:rsidRDefault="00990DEE" w:rsidP="007D6D0D">
            <w:pPr>
              <w:pStyle w:val="TableText"/>
              <w:rPr>
                <w:rStyle w:val="AnswerGray"/>
              </w:rPr>
            </w:pPr>
            <w:r>
              <w:t>172.31.</w:t>
            </w:r>
            <w:r w:rsidR="00AF7B45" w:rsidRPr="007D6D0D">
              <w:t>6.1</w:t>
            </w:r>
          </w:p>
        </w:tc>
        <w:tc>
          <w:tcPr>
            <w:tcW w:w="1790" w:type="dxa"/>
            <w:vAlign w:val="center"/>
          </w:tcPr>
          <w:p w:rsidR="00AF7B45" w:rsidRPr="007D6D0D" w:rsidRDefault="00AF7B45" w:rsidP="007D6D0D">
            <w:pPr>
              <w:pStyle w:val="TableText"/>
              <w:rPr>
                <w:rStyle w:val="AnswerGray"/>
              </w:rPr>
            </w:pPr>
            <w:r w:rsidRPr="007D6D0D">
              <w:t>255.255.255.</w:t>
            </w:r>
            <w:r w:rsidR="00F62DDF">
              <w:t>252</w:t>
            </w:r>
          </w:p>
        </w:tc>
      </w:tr>
      <w:tr w:rsidR="00AF7B45" w:rsidRPr="007D6D0D" w:rsidTr="007D6D0D">
        <w:trPr>
          <w:cantSplit/>
          <w:jc w:val="center"/>
        </w:trPr>
        <w:tc>
          <w:tcPr>
            <w:tcW w:w="1211" w:type="dxa"/>
            <w:vMerge/>
            <w:vAlign w:val="center"/>
          </w:tcPr>
          <w:p w:rsidR="00AF7B45" w:rsidRPr="007D6D0D" w:rsidRDefault="00AF7B45" w:rsidP="007D6D0D">
            <w:pPr>
              <w:pStyle w:val="TableText"/>
            </w:pPr>
          </w:p>
        </w:tc>
        <w:tc>
          <w:tcPr>
            <w:tcW w:w="1107" w:type="dxa"/>
            <w:vAlign w:val="center"/>
          </w:tcPr>
          <w:p w:rsidR="00AF7B45" w:rsidRPr="007D6D0D" w:rsidRDefault="00AF7B45" w:rsidP="007D6D0D">
            <w:pPr>
              <w:pStyle w:val="TableText"/>
            </w:pPr>
            <w:r w:rsidRPr="007D6D0D">
              <w:t>S0/0/1</w:t>
            </w:r>
          </w:p>
        </w:tc>
        <w:tc>
          <w:tcPr>
            <w:tcW w:w="1734" w:type="dxa"/>
            <w:vAlign w:val="center"/>
          </w:tcPr>
          <w:p w:rsidR="00AF7B45" w:rsidRPr="007D6D0D" w:rsidRDefault="00590141" w:rsidP="007D6D0D">
            <w:pPr>
              <w:pStyle w:val="TableText"/>
              <w:rPr>
                <w:rStyle w:val="AnswerGray"/>
              </w:rPr>
            </w:pPr>
            <w:r>
              <w:t>10.10</w:t>
            </w:r>
            <w:r w:rsidR="00990DEE">
              <w:t>.8</w:t>
            </w:r>
            <w:r w:rsidR="00AF7B45" w:rsidRPr="007D6D0D">
              <w:t>.1</w:t>
            </w:r>
          </w:p>
        </w:tc>
        <w:tc>
          <w:tcPr>
            <w:tcW w:w="1790" w:type="dxa"/>
            <w:vAlign w:val="center"/>
          </w:tcPr>
          <w:p w:rsidR="00AF7B45" w:rsidRPr="007D6D0D" w:rsidRDefault="00AF7B45" w:rsidP="007D6D0D">
            <w:pPr>
              <w:pStyle w:val="TableText"/>
              <w:rPr>
                <w:rStyle w:val="AnswerGray"/>
              </w:rPr>
            </w:pPr>
            <w:r w:rsidRPr="007D6D0D">
              <w:t>255.255.255.</w:t>
            </w:r>
            <w:r w:rsidR="00F62DDF">
              <w:t>252</w:t>
            </w:r>
          </w:p>
        </w:tc>
      </w:tr>
      <w:tr w:rsidR="00AF7B45" w:rsidRPr="007D6D0D" w:rsidTr="007D6D0D">
        <w:trPr>
          <w:cantSplit/>
          <w:jc w:val="center"/>
        </w:trPr>
        <w:tc>
          <w:tcPr>
            <w:tcW w:w="1211" w:type="dxa"/>
            <w:vMerge/>
            <w:vAlign w:val="center"/>
          </w:tcPr>
          <w:p w:rsidR="00AF7B45" w:rsidRPr="007D6D0D" w:rsidRDefault="00AF7B45" w:rsidP="007D6D0D">
            <w:pPr>
              <w:pStyle w:val="TableText"/>
            </w:pPr>
          </w:p>
        </w:tc>
        <w:tc>
          <w:tcPr>
            <w:tcW w:w="1107" w:type="dxa"/>
            <w:vAlign w:val="center"/>
          </w:tcPr>
          <w:p w:rsidR="00AF7B45" w:rsidRPr="007D6D0D" w:rsidRDefault="00AF7B45" w:rsidP="007D6D0D">
            <w:pPr>
              <w:pStyle w:val="TableText"/>
            </w:pPr>
            <w:r w:rsidRPr="007D6D0D">
              <w:t>S0/1/0</w:t>
            </w:r>
          </w:p>
        </w:tc>
        <w:tc>
          <w:tcPr>
            <w:tcW w:w="1734" w:type="dxa"/>
            <w:vAlign w:val="center"/>
          </w:tcPr>
          <w:p w:rsidR="00AF7B45" w:rsidRPr="007D6D0D" w:rsidRDefault="00AF7B45" w:rsidP="007D6D0D">
            <w:pPr>
              <w:pStyle w:val="TableText"/>
              <w:rPr>
                <w:rStyle w:val="AnswerGray"/>
              </w:rPr>
            </w:pPr>
            <w:r w:rsidRPr="007D6D0D">
              <w:t>209.165.200.226</w:t>
            </w:r>
          </w:p>
        </w:tc>
        <w:tc>
          <w:tcPr>
            <w:tcW w:w="1790" w:type="dxa"/>
            <w:vAlign w:val="center"/>
          </w:tcPr>
          <w:p w:rsidR="00AF7B45" w:rsidRPr="007D6D0D" w:rsidRDefault="00AF7B45" w:rsidP="007D6D0D">
            <w:pPr>
              <w:pStyle w:val="TableText"/>
              <w:rPr>
                <w:rStyle w:val="AnswerGray"/>
              </w:rPr>
            </w:pPr>
            <w:r w:rsidRPr="007D6D0D">
              <w:t>255.255.255.224</w:t>
            </w:r>
          </w:p>
        </w:tc>
      </w:tr>
      <w:tr w:rsidR="007D6D0D" w:rsidRPr="007D6D0D" w:rsidTr="007D6D0D">
        <w:trPr>
          <w:cantSplit/>
          <w:jc w:val="center"/>
        </w:trPr>
        <w:tc>
          <w:tcPr>
            <w:tcW w:w="1211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R1</w:t>
            </w:r>
          </w:p>
        </w:tc>
        <w:tc>
          <w:tcPr>
            <w:tcW w:w="1107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S0/0/0</w:t>
            </w:r>
          </w:p>
        </w:tc>
        <w:tc>
          <w:tcPr>
            <w:tcW w:w="1734" w:type="dxa"/>
            <w:vAlign w:val="center"/>
          </w:tcPr>
          <w:p w:rsidR="007D6D0D" w:rsidRPr="007D6D0D" w:rsidRDefault="007D6D0D" w:rsidP="00AD6B43">
            <w:pPr>
              <w:pStyle w:val="TableText"/>
              <w:rPr>
                <w:rStyle w:val="AnswerGray"/>
              </w:rPr>
            </w:pPr>
            <w:r w:rsidRPr="007D6D0D">
              <w:t>172.31.6.2</w:t>
            </w:r>
          </w:p>
        </w:tc>
        <w:tc>
          <w:tcPr>
            <w:tcW w:w="1790" w:type="dxa"/>
            <w:vAlign w:val="center"/>
          </w:tcPr>
          <w:p w:rsidR="007D6D0D" w:rsidRPr="007D6D0D" w:rsidRDefault="007D6D0D" w:rsidP="00AD6B43">
            <w:pPr>
              <w:pStyle w:val="TableText"/>
              <w:rPr>
                <w:rStyle w:val="AnswerGray"/>
              </w:rPr>
            </w:pPr>
            <w:r w:rsidRPr="007D6D0D">
              <w:t>255.255.255.</w:t>
            </w:r>
            <w:r w:rsidR="00F62DDF">
              <w:t>252</w:t>
            </w:r>
          </w:p>
        </w:tc>
      </w:tr>
      <w:tr w:rsidR="007D6D0D" w:rsidRPr="007D6D0D" w:rsidTr="007D6D0D">
        <w:trPr>
          <w:cantSplit/>
          <w:jc w:val="center"/>
        </w:trPr>
        <w:tc>
          <w:tcPr>
            <w:tcW w:w="1211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R2</w:t>
            </w:r>
          </w:p>
        </w:tc>
        <w:tc>
          <w:tcPr>
            <w:tcW w:w="1107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S0/0/1</w:t>
            </w:r>
          </w:p>
        </w:tc>
        <w:tc>
          <w:tcPr>
            <w:tcW w:w="1734" w:type="dxa"/>
            <w:vAlign w:val="center"/>
          </w:tcPr>
          <w:p w:rsidR="007D6D0D" w:rsidRPr="007D6D0D" w:rsidRDefault="00590141" w:rsidP="00AD6B43">
            <w:pPr>
              <w:pStyle w:val="TableText"/>
              <w:rPr>
                <w:rStyle w:val="AnswerGray"/>
              </w:rPr>
            </w:pPr>
            <w:r>
              <w:t>10.10</w:t>
            </w:r>
            <w:r w:rsidR="00990DEE">
              <w:t>.8</w:t>
            </w:r>
            <w:r w:rsidR="007D6D0D" w:rsidRPr="007D6D0D">
              <w:t>.2</w:t>
            </w:r>
          </w:p>
        </w:tc>
        <w:tc>
          <w:tcPr>
            <w:tcW w:w="1790" w:type="dxa"/>
            <w:vAlign w:val="center"/>
          </w:tcPr>
          <w:p w:rsidR="007D6D0D" w:rsidRPr="007D6D0D" w:rsidRDefault="007D6D0D" w:rsidP="00AD6B43">
            <w:pPr>
              <w:pStyle w:val="TableText"/>
              <w:rPr>
                <w:rStyle w:val="AnswerGray"/>
              </w:rPr>
            </w:pPr>
            <w:r w:rsidRPr="007D6D0D">
              <w:t>255.255.255.</w:t>
            </w:r>
            <w:r w:rsidR="00F62DDF">
              <w:t>252</w:t>
            </w:r>
          </w:p>
        </w:tc>
      </w:tr>
      <w:tr w:rsidR="00265C9C" w:rsidRPr="007D6D0D" w:rsidTr="007D6D0D">
        <w:trPr>
          <w:cantSplit/>
          <w:jc w:val="center"/>
        </w:trPr>
        <w:tc>
          <w:tcPr>
            <w:tcW w:w="1211" w:type="dxa"/>
            <w:vMerge w:val="restart"/>
            <w:vAlign w:val="center"/>
          </w:tcPr>
          <w:p w:rsidR="00265C9C" w:rsidRPr="007D6D0D" w:rsidRDefault="00265C9C" w:rsidP="007D6D0D">
            <w:pPr>
              <w:pStyle w:val="TableText"/>
            </w:pPr>
            <w:r w:rsidRPr="007D6D0D">
              <w:t>IPv6-Edge</w:t>
            </w:r>
          </w:p>
        </w:tc>
        <w:tc>
          <w:tcPr>
            <w:tcW w:w="1107" w:type="dxa"/>
            <w:vAlign w:val="center"/>
          </w:tcPr>
          <w:p w:rsidR="00265C9C" w:rsidRPr="007D6D0D" w:rsidRDefault="00265C9C" w:rsidP="007D6D0D">
            <w:pPr>
              <w:pStyle w:val="TableText"/>
            </w:pPr>
            <w:r w:rsidRPr="007D6D0D">
              <w:t>S0/0/0</w:t>
            </w:r>
          </w:p>
        </w:tc>
        <w:tc>
          <w:tcPr>
            <w:tcW w:w="3524" w:type="dxa"/>
            <w:gridSpan w:val="2"/>
            <w:vAlign w:val="center"/>
          </w:tcPr>
          <w:p w:rsidR="00265C9C" w:rsidRPr="007D6D0D" w:rsidRDefault="00265C9C" w:rsidP="007D6D0D">
            <w:pPr>
              <w:pStyle w:val="TableText"/>
              <w:rPr>
                <w:rStyle w:val="AnswerGray"/>
              </w:rPr>
            </w:pPr>
            <w:r w:rsidRPr="007D6D0D">
              <w:t>2001:</w:t>
            </w:r>
            <w:r w:rsidR="007D6D0D">
              <w:t>DB8</w:t>
            </w:r>
            <w:r w:rsidRPr="007D6D0D">
              <w:t>:</w:t>
            </w:r>
            <w:r w:rsidR="007D6D0D">
              <w:t>A001:</w:t>
            </w:r>
            <w:r w:rsidRPr="007D6D0D">
              <w:t>6::1/64</w:t>
            </w:r>
          </w:p>
        </w:tc>
      </w:tr>
      <w:tr w:rsidR="00265C9C" w:rsidRPr="007D6D0D" w:rsidTr="007D6D0D">
        <w:trPr>
          <w:cantSplit/>
          <w:jc w:val="center"/>
        </w:trPr>
        <w:tc>
          <w:tcPr>
            <w:tcW w:w="1211" w:type="dxa"/>
            <w:vMerge/>
            <w:vAlign w:val="center"/>
          </w:tcPr>
          <w:p w:rsidR="00265C9C" w:rsidRPr="007D6D0D" w:rsidRDefault="00265C9C" w:rsidP="007D6D0D">
            <w:pPr>
              <w:pStyle w:val="TableText"/>
            </w:pPr>
          </w:p>
        </w:tc>
        <w:tc>
          <w:tcPr>
            <w:tcW w:w="1107" w:type="dxa"/>
            <w:vAlign w:val="center"/>
          </w:tcPr>
          <w:p w:rsidR="00265C9C" w:rsidRPr="007D6D0D" w:rsidRDefault="00265C9C" w:rsidP="007D6D0D">
            <w:pPr>
              <w:pStyle w:val="TableText"/>
            </w:pPr>
            <w:r w:rsidRPr="007D6D0D">
              <w:t>S0/0/1</w:t>
            </w:r>
          </w:p>
        </w:tc>
        <w:tc>
          <w:tcPr>
            <w:tcW w:w="3524" w:type="dxa"/>
            <w:gridSpan w:val="2"/>
            <w:vAlign w:val="center"/>
          </w:tcPr>
          <w:p w:rsidR="00265C9C" w:rsidRPr="007D6D0D" w:rsidRDefault="00265C9C" w:rsidP="007D6D0D">
            <w:pPr>
              <w:pStyle w:val="TableText"/>
              <w:rPr>
                <w:rStyle w:val="AnswerGray"/>
              </w:rPr>
            </w:pPr>
            <w:r w:rsidRPr="007D6D0D">
              <w:t>2001:</w:t>
            </w:r>
            <w:r w:rsidR="007D6D0D">
              <w:t>DB8</w:t>
            </w:r>
            <w:r w:rsidRPr="007D6D0D">
              <w:t>:</w:t>
            </w:r>
            <w:r w:rsidR="007D6D0D">
              <w:t>A001:</w:t>
            </w:r>
            <w:r w:rsidRPr="007D6D0D">
              <w:t>7::1/64</w:t>
            </w:r>
          </w:p>
        </w:tc>
      </w:tr>
      <w:tr w:rsidR="00265C9C" w:rsidRPr="007D6D0D" w:rsidTr="007D6D0D">
        <w:trPr>
          <w:cantSplit/>
          <w:jc w:val="center"/>
        </w:trPr>
        <w:tc>
          <w:tcPr>
            <w:tcW w:w="1211" w:type="dxa"/>
            <w:vMerge/>
            <w:vAlign w:val="center"/>
          </w:tcPr>
          <w:p w:rsidR="00265C9C" w:rsidRPr="007D6D0D" w:rsidRDefault="00265C9C" w:rsidP="007D6D0D">
            <w:pPr>
              <w:pStyle w:val="TableText"/>
            </w:pPr>
          </w:p>
        </w:tc>
        <w:tc>
          <w:tcPr>
            <w:tcW w:w="1107" w:type="dxa"/>
            <w:vAlign w:val="center"/>
          </w:tcPr>
          <w:p w:rsidR="00265C9C" w:rsidRPr="007D6D0D" w:rsidRDefault="00265C9C" w:rsidP="007D6D0D">
            <w:pPr>
              <w:pStyle w:val="TableText"/>
            </w:pPr>
            <w:r w:rsidRPr="007D6D0D">
              <w:t>S0/1/0</w:t>
            </w:r>
          </w:p>
        </w:tc>
        <w:tc>
          <w:tcPr>
            <w:tcW w:w="3524" w:type="dxa"/>
            <w:gridSpan w:val="2"/>
            <w:vAlign w:val="center"/>
          </w:tcPr>
          <w:p w:rsidR="00265C9C" w:rsidRPr="007D6D0D" w:rsidRDefault="00265C9C" w:rsidP="007D6D0D">
            <w:pPr>
              <w:pStyle w:val="TableText"/>
              <w:rPr>
                <w:rStyle w:val="AnswerGray"/>
              </w:rPr>
            </w:pPr>
            <w:r w:rsidRPr="007D6D0D">
              <w:t>2001:</w:t>
            </w:r>
            <w:r w:rsidR="007D6D0D">
              <w:t>DB8</w:t>
            </w:r>
            <w:r w:rsidRPr="007D6D0D">
              <w:t>:</w:t>
            </w:r>
            <w:r w:rsidR="007D6D0D">
              <w:t>CAFE:1</w:t>
            </w:r>
            <w:r w:rsidRPr="007D6D0D">
              <w:t>::</w:t>
            </w:r>
            <w:r w:rsidR="007D6D0D">
              <w:t>2</w:t>
            </w:r>
            <w:r w:rsidRPr="007D6D0D">
              <w:t>/64</w:t>
            </w:r>
          </w:p>
        </w:tc>
      </w:tr>
      <w:tr w:rsidR="007D6D0D" w:rsidRPr="007D6D0D" w:rsidTr="00AD6B43">
        <w:trPr>
          <w:cantSplit/>
          <w:jc w:val="center"/>
        </w:trPr>
        <w:tc>
          <w:tcPr>
            <w:tcW w:w="1211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R3</w:t>
            </w:r>
          </w:p>
        </w:tc>
        <w:tc>
          <w:tcPr>
            <w:tcW w:w="1107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S0/0/0</w:t>
            </w:r>
          </w:p>
        </w:tc>
        <w:tc>
          <w:tcPr>
            <w:tcW w:w="3524" w:type="dxa"/>
            <w:gridSpan w:val="2"/>
            <w:vAlign w:val="center"/>
          </w:tcPr>
          <w:p w:rsidR="007D6D0D" w:rsidRPr="007D6D0D" w:rsidRDefault="007D6D0D" w:rsidP="00AD6B43">
            <w:pPr>
              <w:pStyle w:val="TableText"/>
              <w:rPr>
                <w:rStyle w:val="AnswerGray"/>
              </w:rPr>
            </w:pPr>
            <w:r w:rsidRPr="007D6D0D">
              <w:t>2001:</w:t>
            </w:r>
            <w:r>
              <w:t>DB8</w:t>
            </w:r>
            <w:r w:rsidRPr="007D6D0D">
              <w:t>:</w:t>
            </w:r>
            <w:r>
              <w:t>A001:</w:t>
            </w:r>
            <w:r w:rsidRPr="007D6D0D">
              <w:t>7::2/64</w:t>
            </w:r>
          </w:p>
        </w:tc>
      </w:tr>
      <w:tr w:rsidR="007D6D0D" w:rsidRPr="007D6D0D" w:rsidTr="00AD6B43">
        <w:trPr>
          <w:cantSplit/>
          <w:jc w:val="center"/>
        </w:trPr>
        <w:tc>
          <w:tcPr>
            <w:tcW w:w="1211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R4</w:t>
            </w:r>
          </w:p>
        </w:tc>
        <w:tc>
          <w:tcPr>
            <w:tcW w:w="1107" w:type="dxa"/>
            <w:vAlign w:val="center"/>
          </w:tcPr>
          <w:p w:rsidR="007D6D0D" w:rsidRPr="007D6D0D" w:rsidRDefault="007D6D0D" w:rsidP="00AD6B43">
            <w:pPr>
              <w:pStyle w:val="TableText"/>
            </w:pPr>
            <w:r w:rsidRPr="007D6D0D">
              <w:t>S0/0/1</w:t>
            </w:r>
          </w:p>
        </w:tc>
        <w:tc>
          <w:tcPr>
            <w:tcW w:w="3524" w:type="dxa"/>
            <w:gridSpan w:val="2"/>
            <w:vAlign w:val="center"/>
          </w:tcPr>
          <w:p w:rsidR="007D6D0D" w:rsidRPr="007D6D0D" w:rsidRDefault="007D6D0D" w:rsidP="00AD6B43">
            <w:pPr>
              <w:pStyle w:val="TableText"/>
              <w:rPr>
                <w:rStyle w:val="AnswerGray"/>
              </w:rPr>
            </w:pPr>
            <w:r w:rsidRPr="007D6D0D">
              <w:t>2001:</w:t>
            </w:r>
            <w:r>
              <w:t>DB8</w:t>
            </w:r>
            <w:r w:rsidRPr="007D6D0D">
              <w:t>:</w:t>
            </w:r>
            <w:r>
              <w:t>A001:</w:t>
            </w:r>
            <w:r w:rsidRPr="007D6D0D">
              <w:t>6::2/64</w:t>
            </w:r>
          </w:p>
        </w:tc>
      </w:tr>
    </w:tbl>
    <w:p w:rsidR="00770E51" w:rsidRPr="00C07FD9" w:rsidRDefault="00770E51" w:rsidP="00770E51">
      <w:pPr>
        <w:pStyle w:val="LabSection"/>
      </w:pPr>
      <w:r>
        <w:t>Scenario</w:t>
      </w:r>
    </w:p>
    <w:p w:rsidR="00265C9C" w:rsidRDefault="00B72D48" w:rsidP="00265C9C">
      <w:pPr>
        <w:pStyle w:val="BodyTextL25"/>
      </w:pPr>
      <w:r>
        <w:t xml:space="preserve">In this activity, you are tasked with </w:t>
      </w:r>
      <w:r w:rsidR="00265C9C">
        <w:t>implement</w:t>
      </w:r>
      <w:r>
        <w:t>ing</w:t>
      </w:r>
      <w:r w:rsidR="00265C9C">
        <w:t xml:space="preserve"> EIGRP</w:t>
      </w:r>
      <w:r w:rsidR="00CE71D6">
        <w:t xml:space="preserve"> for</w:t>
      </w:r>
      <w:r w:rsidR="00265C9C">
        <w:t xml:space="preserve"> </w:t>
      </w:r>
      <w:r>
        <w:t xml:space="preserve">IPv4 and IPv6 on two separate networks. Your task includes enabling EIGRP, </w:t>
      </w:r>
      <w:r w:rsidR="00265C9C">
        <w:t>assign</w:t>
      </w:r>
      <w:r>
        <w:t>ing</w:t>
      </w:r>
      <w:r w:rsidR="007435D6">
        <w:t xml:space="preserve"> router-IDs, </w:t>
      </w:r>
      <w:r w:rsidR="00CE71D6">
        <w:t xml:space="preserve">changing the hello timers, </w:t>
      </w:r>
      <w:r w:rsidR="007435D6">
        <w:t>configuring</w:t>
      </w:r>
      <w:r w:rsidR="00265C9C">
        <w:t xml:space="preserve"> EIGRP summary routes and limit</w:t>
      </w:r>
      <w:r w:rsidR="007435D6">
        <w:t xml:space="preserve">ing EIGRP advertisements. </w:t>
      </w:r>
    </w:p>
    <w:p w:rsidR="004D57FA" w:rsidRDefault="00FA6FB9" w:rsidP="00265C9C">
      <w:pPr>
        <w:pStyle w:val="LabSection"/>
      </w:pPr>
      <w:r>
        <w:lastRenderedPageBreak/>
        <w:t>Requirements</w:t>
      </w:r>
    </w:p>
    <w:p w:rsidR="00987908" w:rsidRDefault="00987908" w:rsidP="00987908">
      <w:pPr>
        <w:pStyle w:val="BodyTextL25Bold"/>
      </w:pPr>
      <w:r>
        <w:t>EIGRP for IPv4</w:t>
      </w:r>
    </w:p>
    <w:p w:rsidR="00265C9C" w:rsidRDefault="00265C9C" w:rsidP="00265C9C">
      <w:pPr>
        <w:pStyle w:val="Bulletlevel1"/>
      </w:pPr>
      <w:r>
        <w:t xml:space="preserve">Implement EIGRP on </w:t>
      </w:r>
      <w:r w:rsidR="00001090">
        <w:t>IPv4 enabled routers using Autonomous System 1.</w:t>
      </w:r>
    </w:p>
    <w:p w:rsidR="00001090" w:rsidRDefault="00D417E0" w:rsidP="00001090">
      <w:pPr>
        <w:pStyle w:val="Bulletlevel2"/>
      </w:pPr>
      <w:r>
        <w:t>Use</w:t>
      </w:r>
      <w:r w:rsidR="00987908">
        <w:t xml:space="preserve"> </w:t>
      </w:r>
      <w:r w:rsidR="00590141">
        <w:t xml:space="preserve">the </w:t>
      </w:r>
      <w:proofErr w:type="spellStart"/>
      <w:r w:rsidR="00590141">
        <w:t>classful</w:t>
      </w:r>
      <w:proofErr w:type="spellEnd"/>
      <w:r w:rsidR="00590141">
        <w:t xml:space="preserve"> network address for the loopback interfaces</w:t>
      </w:r>
      <w:r w:rsidR="00001090">
        <w:t>.</w:t>
      </w:r>
    </w:p>
    <w:p w:rsidR="00590141" w:rsidRDefault="00D417E0" w:rsidP="00590141">
      <w:pPr>
        <w:pStyle w:val="Bulletlevel2"/>
      </w:pPr>
      <w:r>
        <w:t>Use the wildcard mask to a</w:t>
      </w:r>
      <w:r w:rsidR="00590141">
        <w:t>dvertise the /30 network</w:t>
      </w:r>
      <w:r>
        <w:t xml:space="preserve">s between </w:t>
      </w:r>
      <w:r w:rsidRPr="00D417E0">
        <w:rPr>
          <w:b/>
        </w:rPr>
        <w:t>R1</w:t>
      </w:r>
      <w:r>
        <w:t xml:space="preserve">, </w:t>
      </w:r>
      <w:r w:rsidRPr="00D417E0">
        <w:rPr>
          <w:b/>
        </w:rPr>
        <w:t>R2</w:t>
      </w:r>
      <w:r>
        <w:t xml:space="preserve"> and</w:t>
      </w:r>
      <w:r w:rsidR="00590141">
        <w:t xml:space="preserve"> </w:t>
      </w:r>
      <w:r w:rsidR="00590141">
        <w:rPr>
          <w:b/>
        </w:rPr>
        <w:t>IPv4-Edge</w:t>
      </w:r>
      <w:r w:rsidR="00590141">
        <w:t>.</w:t>
      </w:r>
    </w:p>
    <w:p w:rsidR="00265C9C" w:rsidRDefault="00987908" w:rsidP="00265C9C">
      <w:pPr>
        <w:pStyle w:val="Bulletlevel2"/>
      </w:pPr>
      <w:r>
        <w:t xml:space="preserve">Use the </w:t>
      </w:r>
      <w:r>
        <w:rPr>
          <w:b/>
        </w:rPr>
        <w:t>default</w:t>
      </w:r>
      <w:r>
        <w:t xml:space="preserve"> method to only allow EIGRP updates out the active </w:t>
      </w:r>
      <w:r w:rsidR="00D417E0">
        <w:t xml:space="preserve">EIGRP </w:t>
      </w:r>
      <w:r>
        <w:t>serial interfaces</w:t>
      </w:r>
      <w:r w:rsidR="00ED5C70">
        <w:t>.</w:t>
      </w:r>
    </w:p>
    <w:p w:rsidR="007F5D8A" w:rsidRPr="00780A17" w:rsidRDefault="00590141" w:rsidP="00780A17">
      <w:pPr>
        <w:pStyle w:val="Bulletlevel2"/>
        <w:rPr>
          <w:rStyle w:val="DevConfigGray"/>
          <w:rFonts w:ascii="Arial" w:hAnsi="Arial"/>
          <w:shd w:val="clear" w:color="auto" w:fill="auto"/>
        </w:rPr>
      </w:pPr>
      <w:r>
        <w:t>Advertisements</w:t>
      </w:r>
      <w:r w:rsidR="00987908">
        <w:t xml:space="preserve"> should not be summarized.</w:t>
      </w:r>
    </w:p>
    <w:p w:rsidR="007F5D8A" w:rsidRDefault="00001090" w:rsidP="00780A17">
      <w:pPr>
        <w:pStyle w:val="Bulletlevel1"/>
      </w:pPr>
      <w:r>
        <w:t xml:space="preserve">Configure a </w:t>
      </w:r>
      <w:r w:rsidR="00ED5C70">
        <w:t xml:space="preserve">directly attached </w:t>
      </w:r>
      <w:r w:rsidR="00987908">
        <w:t xml:space="preserve">default route on </w:t>
      </w:r>
      <w:r w:rsidR="00987908" w:rsidRPr="00987908">
        <w:rPr>
          <w:b/>
        </w:rPr>
        <w:t>IPv4-Edge</w:t>
      </w:r>
      <w:r>
        <w:t xml:space="preserve"> and propagate it in EIGRP updates.</w:t>
      </w:r>
    </w:p>
    <w:p w:rsidR="0099597D" w:rsidRPr="00780A17" w:rsidRDefault="00987908" w:rsidP="00780A17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Configure the serial interfaces between </w:t>
      </w:r>
      <w:r w:rsidRPr="006E04FE">
        <w:rPr>
          <w:b/>
        </w:rPr>
        <w:t>R1</w:t>
      </w:r>
      <w:r>
        <w:t xml:space="preserve">, </w:t>
      </w:r>
      <w:r w:rsidRPr="006E04FE">
        <w:rPr>
          <w:b/>
        </w:rPr>
        <w:t>R2</w:t>
      </w:r>
      <w:r w:rsidR="006E04FE">
        <w:t xml:space="preserve"> and </w:t>
      </w:r>
      <w:r w:rsidR="006E04FE" w:rsidRPr="006E04FE">
        <w:rPr>
          <w:b/>
        </w:rPr>
        <w:t>IPv4-</w:t>
      </w:r>
      <w:r w:rsidRPr="006E04FE">
        <w:rPr>
          <w:b/>
        </w:rPr>
        <w:t>Edge</w:t>
      </w:r>
      <w:r>
        <w:t xml:space="preserve"> to send hellos every 10 seconds.</w:t>
      </w:r>
    </w:p>
    <w:p w:rsidR="00ED5C70" w:rsidRDefault="00987908" w:rsidP="00ED5C70">
      <w:pPr>
        <w:pStyle w:val="Bulletlevel1"/>
      </w:pPr>
      <w:r>
        <w:t xml:space="preserve">On </w:t>
      </w:r>
      <w:r w:rsidRPr="006E04FE">
        <w:rPr>
          <w:b/>
        </w:rPr>
        <w:t>R1</w:t>
      </w:r>
      <w:r>
        <w:t xml:space="preserve"> and </w:t>
      </w:r>
      <w:r w:rsidRPr="006E04FE">
        <w:rPr>
          <w:b/>
        </w:rPr>
        <w:t>R2</w:t>
      </w:r>
      <w:r>
        <w:t>, c</w:t>
      </w:r>
      <w:r w:rsidR="00ED5C70">
        <w:t xml:space="preserve">onfigure an EIGRP summary route </w:t>
      </w:r>
      <w:r>
        <w:t>for the loopback networks</w:t>
      </w:r>
      <w:r w:rsidR="00ED5C70">
        <w:t>.</w:t>
      </w:r>
    </w:p>
    <w:tbl>
      <w:tblPr>
        <w:tblStyle w:val="LabTableStyle"/>
        <w:tblW w:w="0" w:type="auto"/>
        <w:tblInd w:w="1374" w:type="dxa"/>
        <w:tblLook w:val="04A0" w:firstRow="1" w:lastRow="0" w:firstColumn="1" w:lastColumn="0" w:noHBand="0" w:noVBand="1"/>
      </w:tblPr>
      <w:tblGrid>
        <w:gridCol w:w="3582"/>
        <w:gridCol w:w="3306"/>
      </w:tblGrid>
      <w:tr w:rsidR="00987908" w:rsidTr="0098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82" w:type="dxa"/>
          </w:tcPr>
          <w:p w:rsidR="00987908" w:rsidRDefault="00987908" w:rsidP="00987908">
            <w:pPr>
              <w:pStyle w:val="TableHeading"/>
            </w:pPr>
            <w:r>
              <w:t>R1 Loopback Networks</w:t>
            </w:r>
          </w:p>
        </w:tc>
        <w:tc>
          <w:tcPr>
            <w:tcW w:w="3306" w:type="dxa"/>
          </w:tcPr>
          <w:p w:rsidR="00987908" w:rsidRDefault="00987908" w:rsidP="00405DCF">
            <w:pPr>
              <w:pStyle w:val="TableHeading"/>
            </w:pPr>
            <w:r>
              <w:t>R2 Loopback Networks</w:t>
            </w:r>
          </w:p>
        </w:tc>
      </w:tr>
      <w:tr w:rsidR="00987908" w:rsidTr="00987908">
        <w:tc>
          <w:tcPr>
            <w:tcW w:w="3582" w:type="dxa"/>
            <w:vAlign w:val="top"/>
          </w:tcPr>
          <w:p w:rsidR="00987908" w:rsidRPr="00E162F1" w:rsidRDefault="00987908" w:rsidP="00987908">
            <w:pPr>
              <w:pStyle w:val="TableText"/>
            </w:pPr>
            <w:r>
              <w:t>172.31.0.0</w:t>
            </w:r>
            <w:r w:rsidRPr="00E162F1">
              <w:t>/25</w:t>
            </w:r>
          </w:p>
        </w:tc>
        <w:tc>
          <w:tcPr>
            <w:tcW w:w="3306" w:type="dxa"/>
            <w:vAlign w:val="top"/>
          </w:tcPr>
          <w:p w:rsidR="00987908" w:rsidRPr="00956680" w:rsidRDefault="004147BA" w:rsidP="00987908">
            <w:pPr>
              <w:pStyle w:val="TableText"/>
            </w:pPr>
            <w:r>
              <w:t>10.10</w:t>
            </w:r>
            <w:r w:rsidR="00987908">
              <w:t>.0.0</w:t>
            </w:r>
            <w:r w:rsidR="00987908" w:rsidRPr="00956680">
              <w:t>/24</w:t>
            </w:r>
          </w:p>
        </w:tc>
      </w:tr>
      <w:tr w:rsidR="00987908" w:rsidTr="00987908">
        <w:tc>
          <w:tcPr>
            <w:tcW w:w="3582" w:type="dxa"/>
            <w:vAlign w:val="top"/>
          </w:tcPr>
          <w:p w:rsidR="00987908" w:rsidRPr="00E162F1" w:rsidRDefault="00987908" w:rsidP="00987908">
            <w:pPr>
              <w:pStyle w:val="TableText"/>
            </w:pPr>
            <w:r>
              <w:t>172.31.0.128</w:t>
            </w:r>
            <w:r w:rsidRPr="00E162F1">
              <w:t>/25</w:t>
            </w:r>
          </w:p>
        </w:tc>
        <w:tc>
          <w:tcPr>
            <w:tcW w:w="3306" w:type="dxa"/>
            <w:vAlign w:val="top"/>
          </w:tcPr>
          <w:p w:rsidR="00987908" w:rsidRPr="00956680" w:rsidRDefault="004147BA" w:rsidP="00987908">
            <w:pPr>
              <w:pStyle w:val="TableText"/>
            </w:pPr>
            <w:r>
              <w:t>10.10</w:t>
            </w:r>
            <w:r w:rsidR="00987908">
              <w:t>.1.0</w:t>
            </w:r>
            <w:r w:rsidR="00987908" w:rsidRPr="00956680">
              <w:t>/24</w:t>
            </w:r>
          </w:p>
        </w:tc>
      </w:tr>
      <w:tr w:rsidR="00987908" w:rsidTr="00987908">
        <w:tc>
          <w:tcPr>
            <w:tcW w:w="3582" w:type="dxa"/>
            <w:vAlign w:val="top"/>
          </w:tcPr>
          <w:p w:rsidR="00987908" w:rsidRPr="00E162F1" w:rsidRDefault="00987908" w:rsidP="00987908">
            <w:pPr>
              <w:pStyle w:val="TableText"/>
            </w:pPr>
            <w:r>
              <w:t>172.31.1.0</w:t>
            </w:r>
            <w:r w:rsidRPr="00E162F1">
              <w:t>/25</w:t>
            </w:r>
          </w:p>
        </w:tc>
        <w:tc>
          <w:tcPr>
            <w:tcW w:w="3306" w:type="dxa"/>
            <w:vAlign w:val="top"/>
          </w:tcPr>
          <w:p w:rsidR="00987908" w:rsidRPr="00956680" w:rsidRDefault="004147BA" w:rsidP="00987908">
            <w:pPr>
              <w:pStyle w:val="TableText"/>
            </w:pPr>
            <w:r>
              <w:t>10.10</w:t>
            </w:r>
            <w:r w:rsidR="00987908">
              <w:t>.2.0</w:t>
            </w:r>
            <w:r w:rsidR="00987908" w:rsidRPr="00956680">
              <w:t>/23</w:t>
            </w:r>
          </w:p>
        </w:tc>
      </w:tr>
      <w:tr w:rsidR="00987908" w:rsidTr="00987908">
        <w:tc>
          <w:tcPr>
            <w:tcW w:w="3582" w:type="dxa"/>
            <w:vAlign w:val="top"/>
          </w:tcPr>
          <w:p w:rsidR="00987908" w:rsidRDefault="00987908" w:rsidP="00987908">
            <w:pPr>
              <w:pStyle w:val="TableText"/>
            </w:pPr>
            <w:r>
              <w:t>172.31.1.128</w:t>
            </w:r>
            <w:r w:rsidRPr="00E162F1">
              <w:t>/25</w:t>
            </w:r>
          </w:p>
        </w:tc>
        <w:tc>
          <w:tcPr>
            <w:tcW w:w="3306" w:type="dxa"/>
            <w:vAlign w:val="top"/>
          </w:tcPr>
          <w:p w:rsidR="00987908" w:rsidRDefault="004147BA" w:rsidP="00987908">
            <w:pPr>
              <w:pStyle w:val="TableText"/>
            </w:pPr>
            <w:r>
              <w:t>10.10</w:t>
            </w:r>
            <w:r w:rsidR="00987908">
              <w:t>.4.0</w:t>
            </w:r>
            <w:r w:rsidR="00987908" w:rsidRPr="00956680">
              <w:t>/22</w:t>
            </w:r>
          </w:p>
        </w:tc>
      </w:tr>
      <w:tr w:rsidR="00987908" w:rsidTr="00987908">
        <w:tc>
          <w:tcPr>
            <w:tcW w:w="3582" w:type="dxa"/>
          </w:tcPr>
          <w:p w:rsidR="00987908" w:rsidRDefault="00987908" w:rsidP="00780A17">
            <w:pPr>
              <w:pStyle w:val="TableText"/>
            </w:pPr>
            <w:r>
              <w:t xml:space="preserve">Summary: </w:t>
            </w:r>
          </w:p>
        </w:tc>
        <w:tc>
          <w:tcPr>
            <w:tcW w:w="3306" w:type="dxa"/>
          </w:tcPr>
          <w:p w:rsidR="00987908" w:rsidRDefault="00987908" w:rsidP="00780A17">
            <w:pPr>
              <w:pStyle w:val="TableText"/>
            </w:pPr>
            <w:r>
              <w:t xml:space="preserve">Summary: </w:t>
            </w:r>
          </w:p>
        </w:tc>
      </w:tr>
    </w:tbl>
    <w:p w:rsidR="00D417E0" w:rsidRDefault="00D417E0" w:rsidP="006E04FE">
      <w:pPr>
        <w:pStyle w:val="Bulletlevel1"/>
      </w:pPr>
      <w:r>
        <w:rPr>
          <w:b/>
        </w:rPr>
        <w:t xml:space="preserve">R1 </w:t>
      </w:r>
      <w:r>
        <w:t xml:space="preserve">and </w:t>
      </w:r>
      <w:r>
        <w:rPr>
          <w:b/>
        </w:rPr>
        <w:t xml:space="preserve">R2 </w:t>
      </w:r>
      <w:r>
        <w:t xml:space="preserve">should only have four EIGRP routes in the routing table, one of which is the default </w:t>
      </w:r>
      <w:r w:rsidR="0074622C">
        <w:t xml:space="preserve">route </w:t>
      </w:r>
      <w:r>
        <w:t>(</w:t>
      </w:r>
      <w:r w:rsidRPr="0074622C">
        <w:rPr>
          <w:rFonts w:ascii="Courier New" w:hAnsi="Courier New" w:cs="Courier New"/>
        </w:rPr>
        <w:t>D*EX</w:t>
      </w:r>
      <w:r>
        <w:t xml:space="preserve">). </w:t>
      </w:r>
      <w:r>
        <w:rPr>
          <w:b/>
        </w:rPr>
        <w:t xml:space="preserve">IPv4-Edge </w:t>
      </w:r>
      <w:r>
        <w:t>should only have two EIGRP routes in the routing table.</w:t>
      </w:r>
    </w:p>
    <w:p w:rsidR="006E04FE" w:rsidRDefault="006E04FE" w:rsidP="006E04FE">
      <w:pPr>
        <w:pStyle w:val="Bulletlevel1"/>
      </w:pPr>
      <w:r>
        <w:t xml:space="preserve">Verify </w:t>
      </w:r>
      <w:r w:rsidRPr="006E04FE">
        <w:rPr>
          <w:b/>
        </w:rPr>
        <w:t>R1</w:t>
      </w:r>
      <w:r>
        <w:t xml:space="preserve"> and </w:t>
      </w:r>
      <w:r w:rsidRPr="006E04FE">
        <w:rPr>
          <w:b/>
        </w:rPr>
        <w:t>R2</w:t>
      </w:r>
      <w:r>
        <w:t xml:space="preserve"> can ping the </w:t>
      </w:r>
      <w:r w:rsidRPr="006E04FE">
        <w:rPr>
          <w:b/>
        </w:rPr>
        <w:t>IPv4 Server</w:t>
      </w:r>
      <w:r>
        <w:t xml:space="preserve">. </w:t>
      </w:r>
      <w:r w:rsidRPr="006E04FE">
        <w:rPr>
          <w:b/>
        </w:rPr>
        <w:t>IPv4 Server</w:t>
      </w:r>
      <w:r>
        <w:t xml:space="preserve"> should also be able to ping every loopback address on </w:t>
      </w:r>
      <w:r w:rsidRPr="006E04FE">
        <w:rPr>
          <w:b/>
        </w:rPr>
        <w:t>R1</w:t>
      </w:r>
      <w:r>
        <w:t xml:space="preserve"> and </w:t>
      </w:r>
      <w:r w:rsidRPr="006E04FE">
        <w:rPr>
          <w:b/>
        </w:rPr>
        <w:t>R2</w:t>
      </w:r>
      <w:r>
        <w:t>.</w:t>
      </w:r>
    </w:p>
    <w:p w:rsidR="00987908" w:rsidRDefault="00987908" w:rsidP="00987908">
      <w:pPr>
        <w:pStyle w:val="BodyTextL25Bold"/>
      </w:pPr>
      <w:r>
        <w:t>EIGRP for IPv6</w:t>
      </w:r>
    </w:p>
    <w:p w:rsidR="00001090" w:rsidRDefault="00001090" w:rsidP="00001090">
      <w:pPr>
        <w:pStyle w:val="Bulletlevel1"/>
      </w:pPr>
      <w:r>
        <w:t xml:space="preserve">Implement </w:t>
      </w:r>
      <w:r w:rsidR="00ED5C70">
        <w:t xml:space="preserve">EIGRP on </w:t>
      </w:r>
      <w:r>
        <w:t xml:space="preserve">IPv6 </w:t>
      </w:r>
      <w:r w:rsidR="00ED5C70">
        <w:t>enabled routers using Autonomous System 1.</w:t>
      </w:r>
    </w:p>
    <w:p w:rsidR="006E04FE" w:rsidRDefault="006E04FE" w:rsidP="006E04FE">
      <w:pPr>
        <w:pStyle w:val="Bulletlevel2"/>
      </w:pPr>
      <w:r>
        <w:t xml:space="preserve">Assign </w:t>
      </w:r>
      <w:r w:rsidRPr="006E04FE">
        <w:rPr>
          <w:b/>
        </w:rPr>
        <w:t>IPv6-Edge</w:t>
      </w:r>
      <w:r>
        <w:t xml:space="preserve"> with the router-ID of 1.1.1.1 </w:t>
      </w:r>
    </w:p>
    <w:p w:rsidR="00001090" w:rsidRDefault="00ED5C70" w:rsidP="00001090">
      <w:pPr>
        <w:pStyle w:val="Bulletlevel2"/>
      </w:pPr>
      <w:r>
        <w:t xml:space="preserve">Assign </w:t>
      </w:r>
      <w:r w:rsidRPr="006E04FE">
        <w:rPr>
          <w:b/>
        </w:rPr>
        <w:t>R3</w:t>
      </w:r>
      <w:r>
        <w:t xml:space="preserve"> with the</w:t>
      </w:r>
      <w:r w:rsidR="00001090">
        <w:t xml:space="preserve"> router-ID of </w:t>
      </w:r>
      <w:r w:rsidR="006E04FE">
        <w:t>3.3.3.3</w:t>
      </w:r>
    </w:p>
    <w:p w:rsidR="004E609A" w:rsidRPr="00780A17" w:rsidRDefault="00ED5C70" w:rsidP="00780A17">
      <w:pPr>
        <w:pStyle w:val="Bulletlevel2"/>
        <w:rPr>
          <w:rStyle w:val="DevConfigGray"/>
          <w:rFonts w:ascii="Arial" w:hAnsi="Arial"/>
          <w:shd w:val="clear" w:color="auto" w:fill="auto"/>
        </w:rPr>
      </w:pPr>
      <w:r>
        <w:t xml:space="preserve">Assign </w:t>
      </w:r>
      <w:r w:rsidRPr="006E04FE">
        <w:rPr>
          <w:b/>
        </w:rPr>
        <w:t>R4</w:t>
      </w:r>
      <w:r w:rsidR="00001090">
        <w:t xml:space="preserve"> </w:t>
      </w:r>
      <w:r>
        <w:t xml:space="preserve">with the </w:t>
      </w:r>
      <w:r w:rsidR="00001090">
        <w:t xml:space="preserve">router-ID of </w:t>
      </w:r>
      <w:r w:rsidR="006E04FE">
        <w:t>4.4.4.4</w:t>
      </w:r>
    </w:p>
    <w:p w:rsidR="0074622C" w:rsidRPr="00780A17" w:rsidRDefault="006E04FE" w:rsidP="00780A17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Configure a directly attached default route on </w:t>
      </w:r>
      <w:r w:rsidRPr="00987908">
        <w:rPr>
          <w:b/>
        </w:rPr>
        <w:t>IPv</w:t>
      </w:r>
      <w:r>
        <w:rPr>
          <w:b/>
        </w:rPr>
        <w:t>6</w:t>
      </w:r>
      <w:r w:rsidRPr="00987908">
        <w:rPr>
          <w:b/>
        </w:rPr>
        <w:t>-Edge</w:t>
      </w:r>
      <w:r>
        <w:t xml:space="preserve"> and propagate it in EIGRP updates.</w:t>
      </w:r>
    </w:p>
    <w:p w:rsidR="006E04FE" w:rsidRDefault="006E04FE" w:rsidP="006E04FE">
      <w:pPr>
        <w:pStyle w:val="Bulletlevel1"/>
      </w:pPr>
      <w:r>
        <w:t xml:space="preserve">On </w:t>
      </w:r>
      <w:r w:rsidRPr="006E04FE">
        <w:rPr>
          <w:b/>
        </w:rPr>
        <w:t>R3</w:t>
      </w:r>
      <w:r>
        <w:t xml:space="preserve"> and </w:t>
      </w:r>
      <w:r w:rsidRPr="006E04FE">
        <w:rPr>
          <w:b/>
        </w:rPr>
        <w:t>R4</w:t>
      </w:r>
      <w:r>
        <w:t>, configure an EIGRP summary route for the loopback networks.</w:t>
      </w:r>
    </w:p>
    <w:tbl>
      <w:tblPr>
        <w:tblStyle w:val="LabTableStyle"/>
        <w:tblW w:w="0" w:type="auto"/>
        <w:tblInd w:w="1374" w:type="dxa"/>
        <w:tblLook w:val="04A0" w:firstRow="1" w:lastRow="0" w:firstColumn="1" w:lastColumn="0" w:noHBand="0" w:noVBand="1"/>
      </w:tblPr>
      <w:tblGrid>
        <w:gridCol w:w="3944"/>
        <w:gridCol w:w="3403"/>
      </w:tblGrid>
      <w:tr w:rsidR="006E04FE" w:rsidTr="00C81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44" w:type="dxa"/>
          </w:tcPr>
          <w:p w:rsidR="006E04FE" w:rsidRDefault="006E04FE" w:rsidP="00C81213">
            <w:pPr>
              <w:pStyle w:val="TableHeading"/>
            </w:pPr>
            <w:r>
              <w:t>R</w:t>
            </w:r>
            <w:r w:rsidR="00C81213">
              <w:t>3</w:t>
            </w:r>
            <w:r>
              <w:t xml:space="preserve"> Loopback Networks</w:t>
            </w:r>
          </w:p>
        </w:tc>
        <w:tc>
          <w:tcPr>
            <w:tcW w:w="3403" w:type="dxa"/>
          </w:tcPr>
          <w:p w:rsidR="006E04FE" w:rsidRDefault="006E04FE" w:rsidP="00C81213">
            <w:pPr>
              <w:pStyle w:val="TableHeading"/>
            </w:pPr>
            <w:r>
              <w:t>R</w:t>
            </w:r>
            <w:r w:rsidR="00C81213">
              <w:t>4</w:t>
            </w:r>
            <w:r>
              <w:t xml:space="preserve"> Loopback Networks</w:t>
            </w:r>
          </w:p>
        </w:tc>
      </w:tr>
      <w:tr w:rsidR="006E04FE" w:rsidTr="00C81213">
        <w:tc>
          <w:tcPr>
            <w:tcW w:w="3944" w:type="dxa"/>
            <w:vAlign w:val="top"/>
          </w:tcPr>
          <w:p w:rsidR="006E04FE" w:rsidRPr="00D3089F" w:rsidRDefault="006E04FE" w:rsidP="006E04FE">
            <w:pPr>
              <w:pStyle w:val="TableText"/>
            </w:pPr>
            <w:r w:rsidRPr="00D3089F">
              <w:t>2001:DB8:1:1:A000::1/72</w:t>
            </w:r>
          </w:p>
        </w:tc>
        <w:tc>
          <w:tcPr>
            <w:tcW w:w="3403" w:type="dxa"/>
            <w:vAlign w:val="top"/>
          </w:tcPr>
          <w:p w:rsidR="006E04FE" w:rsidRPr="00F779EA" w:rsidRDefault="006E04FE" w:rsidP="006E04FE">
            <w:pPr>
              <w:pStyle w:val="TableText"/>
            </w:pPr>
            <w:r w:rsidRPr="00F779EA">
              <w:t>2001:DB8:1:1:BB80::1/76</w:t>
            </w:r>
          </w:p>
        </w:tc>
      </w:tr>
      <w:tr w:rsidR="006E04FE" w:rsidTr="00C81213">
        <w:tc>
          <w:tcPr>
            <w:tcW w:w="3944" w:type="dxa"/>
            <w:vAlign w:val="top"/>
          </w:tcPr>
          <w:p w:rsidR="006E04FE" w:rsidRPr="00D3089F" w:rsidRDefault="006E04FE" w:rsidP="006E04FE">
            <w:pPr>
              <w:pStyle w:val="TableText"/>
            </w:pPr>
            <w:r w:rsidRPr="00D3089F">
              <w:t>2001:DB8:1:1:A100::1/72</w:t>
            </w:r>
          </w:p>
        </w:tc>
        <w:tc>
          <w:tcPr>
            <w:tcW w:w="3403" w:type="dxa"/>
            <w:vAlign w:val="top"/>
          </w:tcPr>
          <w:p w:rsidR="006E04FE" w:rsidRPr="00F779EA" w:rsidRDefault="006E04FE" w:rsidP="006E04FE">
            <w:pPr>
              <w:pStyle w:val="TableText"/>
            </w:pPr>
            <w:r w:rsidRPr="00F779EA">
              <w:t>2001:DB8:1:1:BB90::1/76</w:t>
            </w:r>
          </w:p>
        </w:tc>
      </w:tr>
      <w:tr w:rsidR="006E04FE" w:rsidTr="00C81213">
        <w:tc>
          <w:tcPr>
            <w:tcW w:w="3944" w:type="dxa"/>
            <w:vAlign w:val="top"/>
          </w:tcPr>
          <w:p w:rsidR="006E04FE" w:rsidRPr="00D3089F" w:rsidRDefault="006E04FE" w:rsidP="006E04FE">
            <w:pPr>
              <w:pStyle w:val="TableText"/>
            </w:pPr>
            <w:r w:rsidRPr="00D3089F">
              <w:t>2001:DB8:1:1:A200::1/72</w:t>
            </w:r>
          </w:p>
        </w:tc>
        <w:tc>
          <w:tcPr>
            <w:tcW w:w="3403" w:type="dxa"/>
            <w:vAlign w:val="top"/>
          </w:tcPr>
          <w:p w:rsidR="006E04FE" w:rsidRPr="00F779EA" w:rsidRDefault="006E04FE" w:rsidP="006E04FE">
            <w:pPr>
              <w:pStyle w:val="TableText"/>
            </w:pPr>
            <w:r w:rsidRPr="00F779EA">
              <w:t>2001:DB8:1:1:BBA0::1/76</w:t>
            </w:r>
          </w:p>
        </w:tc>
      </w:tr>
      <w:tr w:rsidR="006E04FE" w:rsidTr="00C81213">
        <w:tc>
          <w:tcPr>
            <w:tcW w:w="3944" w:type="dxa"/>
            <w:vAlign w:val="top"/>
          </w:tcPr>
          <w:p w:rsidR="006E04FE" w:rsidRDefault="006E04FE" w:rsidP="006E04FE">
            <w:pPr>
              <w:pStyle w:val="TableText"/>
            </w:pPr>
            <w:r w:rsidRPr="00D3089F">
              <w:t>2001:DB8:1:1:A300::1/72</w:t>
            </w:r>
          </w:p>
        </w:tc>
        <w:tc>
          <w:tcPr>
            <w:tcW w:w="3403" w:type="dxa"/>
            <w:vAlign w:val="top"/>
          </w:tcPr>
          <w:p w:rsidR="006E04FE" w:rsidRDefault="006E04FE" w:rsidP="006E04FE">
            <w:pPr>
              <w:pStyle w:val="TableText"/>
            </w:pPr>
            <w:r w:rsidRPr="00F779EA">
              <w:t>2001:DB8:1:1:BBB0::1/76</w:t>
            </w:r>
          </w:p>
        </w:tc>
      </w:tr>
      <w:tr w:rsidR="006E04FE" w:rsidTr="00C81213">
        <w:tc>
          <w:tcPr>
            <w:tcW w:w="3944" w:type="dxa"/>
          </w:tcPr>
          <w:p w:rsidR="006E04FE" w:rsidRDefault="006E04FE" w:rsidP="00780A17">
            <w:pPr>
              <w:pStyle w:val="TableText"/>
            </w:pPr>
            <w:r>
              <w:t xml:space="preserve">Summary: </w:t>
            </w:r>
          </w:p>
        </w:tc>
        <w:tc>
          <w:tcPr>
            <w:tcW w:w="3403" w:type="dxa"/>
          </w:tcPr>
          <w:p w:rsidR="006E04FE" w:rsidRDefault="006E04FE" w:rsidP="00780A17">
            <w:pPr>
              <w:pStyle w:val="TableText"/>
            </w:pPr>
            <w:r>
              <w:t xml:space="preserve">Summary: </w:t>
            </w:r>
          </w:p>
        </w:tc>
      </w:tr>
    </w:tbl>
    <w:p w:rsidR="00A81E2B" w:rsidRDefault="00A81E2B" w:rsidP="00A81E2B">
      <w:pPr>
        <w:pStyle w:val="Bulletlevel1"/>
      </w:pPr>
      <w:r>
        <w:rPr>
          <w:b/>
        </w:rPr>
        <w:t xml:space="preserve">R3 </w:t>
      </w:r>
      <w:r>
        <w:t xml:space="preserve">and </w:t>
      </w:r>
      <w:r>
        <w:rPr>
          <w:b/>
        </w:rPr>
        <w:t xml:space="preserve">R4 </w:t>
      </w:r>
      <w:r>
        <w:t xml:space="preserve">should only have </w:t>
      </w:r>
      <w:r w:rsidR="00A85B7F">
        <w:t>four</w:t>
      </w:r>
      <w:r>
        <w:t xml:space="preserve"> EIGRP routes in the routing table</w:t>
      </w:r>
      <w:r w:rsidR="00A85B7F">
        <w:t>, counting the default external route</w:t>
      </w:r>
      <w:r>
        <w:t xml:space="preserve">. </w:t>
      </w:r>
      <w:r>
        <w:rPr>
          <w:b/>
        </w:rPr>
        <w:t xml:space="preserve">IPv6-Edge </w:t>
      </w:r>
      <w:r>
        <w:t>should only have two EIGRP routes in the routing table.</w:t>
      </w:r>
    </w:p>
    <w:p w:rsidR="00A81E2B" w:rsidRDefault="00A81E2B" w:rsidP="00A81E2B">
      <w:pPr>
        <w:pStyle w:val="Bulletlevel1"/>
      </w:pPr>
      <w:r>
        <w:lastRenderedPageBreak/>
        <w:t xml:space="preserve">Verify </w:t>
      </w:r>
      <w:r>
        <w:rPr>
          <w:b/>
        </w:rPr>
        <w:t>R3</w:t>
      </w:r>
      <w:r>
        <w:t xml:space="preserve"> and </w:t>
      </w:r>
      <w:r>
        <w:rPr>
          <w:b/>
        </w:rPr>
        <w:t>R4</w:t>
      </w:r>
      <w:r>
        <w:t xml:space="preserve"> can ping the </w:t>
      </w:r>
      <w:r>
        <w:rPr>
          <w:b/>
        </w:rPr>
        <w:t>IPv6</w:t>
      </w:r>
      <w:r w:rsidRPr="006E04FE">
        <w:rPr>
          <w:b/>
        </w:rPr>
        <w:t xml:space="preserve"> Server</w:t>
      </w:r>
      <w:r>
        <w:t xml:space="preserve">. </w:t>
      </w:r>
      <w:r>
        <w:rPr>
          <w:b/>
        </w:rPr>
        <w:t>IPv6</w:t>
      </w:r>
      <w:r w:rsidRPr="006E04FE">
        <w:rPr>
          <w:b/>
        </w:rPr>
        <w:t xml:space="preserve"> Server</w:t>
      </w:r>
      <w:r>
        <w:t xml:space="preserve"> should also be able to ping every loopback address on </w:t>
      </w:r>
      <w:r>
        <w:rPr>
          <w:b/>
        </w:rPr>
        <w:t>R3</w:t>
      </w:r>
      <w:r>
        <w:t xml:space="preserve"> and </w:t>
      </w:r>
      <w:r>
        <w:rPr>
          <w:b/>
        </w:rPr>
        <w:t>R4</w:t>
      </w:r>
      <w:r>
        <w:t>.</w:t>
      </w:r>
    </w:p>
    <w:p w:rsidR="00A81E2B" w:rsidRDefault="00A81E2B" w:rsidP="00A81E2B">
      <w:pPr>
        <w:pStyle w:val="LabSection"/>
      </w:pPr>
      <w:r>
        <w:t>Suggested Scoring Rubric</w:t>
      </w:r>
    </w:p>
    <w:p w:rsidR="00A81E2B" w:rsidRPr="00A81E2B" w:rsidRDefault="00A81E2B" w:rsidP="00A81E2B">
      <w:pPr>
        <w:pStyle w:val="BodyTextL25"/>
      </w:pPr>
      <w:r w:rsidRPr="00A81E2B">
        <w:rPr>
          <w:b/>
        </w:rPr>
        <w:t xml:space="preserve">Note: </w:t>
      </w:r>
      <w:r>
        <w:t>Packet Tracer does not currently grade EIGRP for IPv6 summary routes. Therefore, part of your grade depends on routing table verification by your instructor.</w:t>
      </w:r>
    </w:p>
    <w:tbl>
      <w:tblPr>
        <w:tblW w:w="5428" w:type="dxa"/>
        <w:jc w:val="center"/>
        <w:tblInd w:w="-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04"/>
        <w:gridCol w:w="1170"/>
        <w:gridCol w:w="1254"/>
      </w:tblGrid>
      <w:tr w:rsidR="00A81E2B" w:rsidRPr="00A7189D" w:rsidTr="00A81E2B">
        <w:trPr>
          <w:cantSplit/>
          <w:jc w:val="center"/>
        </w:trPr>
        <w:tc>
          <w:tcPr>
            <w:tcW w:w="3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1E2B" w:rsidRPr="00A7189D" w:rsidRDefault="00A81E2B" w:rsidP="00405DCF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Scored Work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1E2B" w:rsidRPr="00A7189D" w:rsidRDefault="00A81E2B" w:rsidP="00405DCF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1E2B" w:rsidRPr="00A7189D" w:rsidRDefault="00A81E2B" w:rsidP="00405DCF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A81E2B" w:rsidRPr="00A7189D" w:rsidTr="00A81E2B">
        <w:trPr>
          <w:cantSplit/>
          <w:jc w:val="center"/>
        </w:trPr>
        <w:tc>
          <w:tcPr>
            <w:tcW w:w="3004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IPv6-Edge Routing Table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rPr>
                <w:rFonts w:cs="Arial"/>
                <w:b/>
              </w:rPr>
            </w:pPr>
          </w:p>
        </w:tc>
      </w:tr>
      <w:tr w:rsidR="00A81E2B" w:rsidRPr="00A7189D" w:rsidTr="00A81E2B">
        <w:trPr>
          <w:cantSplit/>
          <w:jc w:val="center"/>
        </w:trPr>
        <w:tc>
          <w:tcPr>
            <w:tcW w:w="3004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rPr>
                <w:rFonts w:cs="Arial"/>
                <w:b/>
              </w:rPr>
            </w:pPr>
          </w:p>
        </w:tc>
      </w:tr>
      <w:tr w:rsidR="00A81E2B" w:rsidRPr="00A7189D" w:rsidTr="00A81E2B">
        <w:trPr>
          <w:cantSplit/>
          <w:jc w:val="center"/>
        </w:trPr>
        <w:tc>
          <w:tcPr>
            <w:tcW w:w="3004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A81E2B" w:rsidRPr="00A7189D" w:rsidRDefault="00A81E2B" w:rsidP="00405DCF">
            <w:pPr>
              <w:pStyle w:val="TableText"/>
              <w:rPr>
                <w:rFonts w:cs="Arial"/>
                <w:b/>
              </w:rPr>
            </w:pPr>
          </w:p>
        </w:tc>
      </w:tr>
    </w:tbl>
    <w:p w:rsidR="006E45E8" w:rsidRDefault="006E45E8" w:rsidP="00DB2402">
      <w:pPr>
        <w:pStyle w:val="PartHead"/>
        <w:numPr>
          <w:ilvl w:val="0"/>
          <w:numId w:val="0"/>
        </w:numPr>
      </w:pPr>
      <w:bookmarkStart w:id="0" w:name="_GoBack"/>
      <w:bookmarkEnd w:id="0"/>
    </w:p>
    <w:sectPr w:rsidR="006E45E8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6ED" w:rsidRDefault="007946ED" w:rsidP="0090659A">
      <w:pPr>
        <w:spacing w:after="0" w:line="240" w:lineRule="auto"/>
      </w:pPr>
      <w:r>
        <w:separator/>
      </w:r>
    </w:p>
    <w:p w:rsidR="007946ED" w:rsidRDefault="007946ED"/>
    <w:p w:rsidR="007946ED" w:rsidRDefault="007946ED"/>
    <w:p w:rsidR="007946ED" w:rsidRDefault="007946ED"/>
    <w:p w:rsidR="007946ED" w:rsidRDefault="007946ED"/>
  </w:endnote>
  <w:endnote w:type="continuationSeparator" w:id="0">
    <w:p w:rsidR="007946ED" w:rsidRDefault="007946ED" w:rsidP="0090659A">
      <w:pPr>
        <w:spacing w:after="0" w:line="240" w:lineRule="auto"/>
      </w:pPr>
      <w:r>
        <w:continuationSeparator/>
      </w:r>
    </w:p>
    <w:p w:rsidR="007946ED" w:rsidRDefault="007946ED"/>
    <w:p w:rsidR="007946ED" w:rsidRDefault="007946ED"/>
    <w:p w:rsidR="007946ED" w:rsidRDefault="007946ED"/>
    <w:p w:rsidR="007946ED" w:rsidRDefault="00794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Pr="0090659A" w:rsidRDefault="00665CA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55D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55D31" w:rsidRPr="0090659A">
      <w:rPr>
        <w:b/>
        <w:szCs w:val="16"/>
      </w:rPr>
      <w:fldChar w:fldCharType="separate"/>
    </w:r>
    <w:r w:rsidR="00780A17">
      <w:rPr>
        <w:b/>
        <w:noProof/>
        <w:szCs w:val="16"/>
      </w:rPr>
      <w:t>2</w:t>
    </w:r>
    <w:r w:rsidR="00555D3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55D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55D31" w:rsidRPr="0090659A">
      <w:rPr>
        <w:b/>
        <w:szCs w:val="16"/>
      </w:rPr>
      <w:fldChar w:fldCharType="separate"/>
    </w:r>
    <w:r w:rsidR="00780A17">
      <w:rPr>
        <w:b/>
        <w:noProof/>
        <w:szCs w:val="16"/>
      </w:rPr>
      <w:t>3</w:t>
    </w:r>
    <w:r w:rsidR="00555D3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Pr="0090659A" w:rsidRDefault="00665CA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55D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55D31" w:rsidRPr="0090659A">
      <w:rPr>
        <w:b/>
        <w:szCs w:val="16"/>
      </w:rPr>
      <w:fldChar w:fldCharType="separate"/>
    </w:r>
    <w:r w:rsidR="00780A17">
      <w:rPr>
        <w:b/>
        <w:noProof/>
        <w:szCs w:val="16"/>
      </w:rPr>
      <w:t>1</w:t>
    </w:r>
    <w:r w:rsidR="00555D3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55D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55D31" w:rsidRPr="0090659A">
      <w:rPr>
        <w:b/>
        <w:szCs w:val="16"/>
      </w:rPr>
      <w:fldChar w:fldCharType="separate"/>
    </w:r>
    <w:r w:rsidR="00780A17">
      <w:rPr>
        <w:b/>
        <w:noProof/>
        <w:szCs w:val="16"/>
      </w:rPr>
      <w:t>3</w:t>
    </w:r>
    <w:r w:rsidR="00555D3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6ED" w:rsidRDefault="007946ED" w:rsidP="0090659A">
      <w:pPr>
        <w:spacing w:after="0" w:line="240" w:lineRule="auto"/>
      </w:pPr>
      <w:r>
        <w:separator/>
      </w:r>
    </w:p>
    <w:p w:rsidR="007946ED" w:rsidRDefault="007946ED"/>
    <w:p w:rsidR="007946ED" w:rsidRDefault="007946ED"/>
    <w:p w:rsidR="007946ED" w:rsidRDefault="007946ED"/>
    <w:p w:rsidR="007946ED" w:rsidRDefault="007946ED"/>
  </w:footnote>
  <w:footnote w:type="continuationSeparator" w:id="0">
    <w:p w:rsidR="007946ED" w:rsidRDefault="007946ED" w:rsidP="0090659A">
      <w:pPr>
        <w:spacing w:after="0" w:line="240" w:lineRule="auto"/>
      </w:pPr>
      <w:r>
        <w:continuationSeparator/>
      </w:r>
    </w:p>
    <w:p w:rsidR="007946ED" w:rsidRDefault="007946ED"/>
    <w:p w:rsidR="007946ED" w:rsidRDefault="007946ED"/>
    <w:p w:rsidR="007946ED" w:rsidRDefault="007946ED"/>
    <w:p w:rsidR="007946ED" w:rsidRDefault="007946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Default="00DB2402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A6" w:rsidRDefault="00665CA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090"/>
    <w:rsid w:val="00004175"/>
    <w:rsid w:val="000059C9"/>
    <w:rsid w:val="000160F7"/>
    <w:rsid w:val="0001637B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103878"/>
    <w:rsid w:val="00104950"/>
    <w:rsid w:val="001072AE"/>
    <w:rsid w:val="00107B2B"/>
    <w:rsid w:val="00112AC5"/>
    <w:rsid w:val="00112B06"/>
    <w:rsid w:val="001133DD"/>
    <w:rsid w:val="00120CBE"/>
    <w:rsid w:val="001270AF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51C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C9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368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219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195"/>
    <w:rsid w:val="003569D7"/>
    <w:rsid w:val="003608AC"/>
    <w:rsid w:val="003614BE"/>
    <w:rsid w:val="0036465A"/>
    <w:rsid w:val="00364A96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357F"/>
    <w:rsid w:val="00403C7A"/>
    <w:rsid w:val="004057A6"/>
    <w:rsid w:val="00406554"/>
    <w:rsid w:val="004131B0"/>
    <w:rsid w:val="004147BA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26B9"/>
    <w:rsid w:val="004637D1"/>
    <w:rsid w:val="0046587A"/>
    <w:rsid w:val="004659EE"/>
    <w:rsid w:val="0047628F"/>
    <w:rsid w:val="00483ED8"/>
    <w:rsid w:val="00487F0A"/>
    <w:rsid w:val="004936C2"/>
    <w:rsid w:val="0049379C"/>
    <w:rsid w:val="004A0174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09A"/>
    <w:rsid w:val="004E6152"/>
    <w:rsid w:val="004F1354"/>
    <w:rsid w:val="004F1418"/>
    <w:rsid w:val="004F344A"/>
    <w:rsid w:val="004F4F0C"/>
    <w:rsid w:val="005005E1"/>
    <w:rsid w:val="0050487E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5D31"/>
    <w:rsid w:val="00556C02"/>
    <w:rsid w:val="00563249"/>
    <w:rsid w:val="00570A65"/>
    <w:rsid w:val="0057111E"/>
    <w:rsid w:val="005762B1"/>
    <w:rsid w:val="00577197"/>
    <w:rsid w:val="00580456"/>
    <w:rsid w:val="00580E73"/>
    <w:rsid w:val="00590141"/>
    <w:rsid w:val="00593386"/>
    <w:rsid w:val="00594A68"/>
    <w:rsid w:val="00595D04"/>
    <w:rsid w:val="00596998"/>
    <w:rsid w:val="005979AE"/>
    <w:rsid w:val="005A6E62"/>
    <w:rsid w:val="005B1920"/>
    <w:rsid w:val="005B1C29"/>
    <w:rsid w:val="005B28EF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6FE1"/>
    <w:rsid w:val="00637ED1"/>
    <w:rsid w:val="00637FCF"/>
    <w:rsid w:val="00640DED"/>
    <w:rsid w:val="006428E5"/>
    <w:rsid w:val="00644958"/>
    <w:rsid w:val="0064506A"/>
    <w:rsid w:val="00652825"/>
    <w:rsid w:val="00657393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4FE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2602"/>
    <w:rsid w:val="00705FEC"/>
    <w:rsid w:val="00707CA9"/>
    <w:rsid w:val="0071147A"/>
    <w:rsid w:val="0071185D"/>
    <w:rsid w:val="00712334"/>
    <w:rsid w:val="00715C96"/>
    <w:rsid w:val="007208CC"/>
    <w:rsid w:val="007222AD"/>
    <w:rsid w:val="0072356B"/>
    <w:rsid w:val="007267CF"/>
    <w:rsid w:val="00731F3F"/>
    <w:rsid w:val="00733BAB"/>
    <w:rsid w:val="007355EB"/>
    <w:rsid w:val="0073644E"/>
    <w:rsid w:val="007435D6"/>
    <w:rsid w:val="007436BF"/>
    <w:rsid w:val="007443E9"/>
    <w:rsid w:val="00745DCE"/>
    <w:rsid w:val="0074622C"/>
    <w:rsid w:val="007529FA"/>
    <w:rsid w:val="00753D89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0A17"/>
    <w:rsid w:val="00786F58"/>
    <w:rsid w:val="00787CC1"/>
    <w:rsid w:val="00791FFE"/>
    <w:rsid w:val="00792F4E"/>
    <w:rsid w:val="0079398D"/>
    <w:rsid w:val="007946ED"/>
    <w:rsid w:val="00794C3E"/>
    <w:rsid w:val="00796C25"/>
    <w:rsid w:val="007A287C"/>
    <w:rsid w:val="007A3043"/>
    <w:rsid w:val="007A3B2A"/>
    <w:rsid w:val="007B180D"/>
    <w:rsid w:val="007B2783"/>
    <w:rsid w:val="007B5522"/>
    <w:rsid w:val="007C0EE0"/>
    <w:rsid w:val="007C1B71"/>
    <w:rsid w:val="007C1F3F"/>
    <w:rsid w:val="007C24AA"/>
    <w:rsid w:val="007C2FBB"/>
    <w:rsid w:val="007C6A86"/>
    <w:rsid w:val="007C7164"/>
    <w:rsid w:val="007D1984"/>
    <w:rsid w:val="007D230E"/>
    <w:rsid w:val="007D2AFE"/>
    <w:rsid w:val="007D6D0D"/>
    <w:rsid w:val="007E3319"/>
    <w:rsid w:val="007E3FEA"/>
    <w:rsid w:val="007F0A0B"/>
    <w:rsid w:val="007F3A60"/>
    <w:rsid w:val="007F3D0B"/>
    <w:rsid w:val="007F404D"/>
    <w:rsid w:val="007F5D8A"/>
    <w:rsid w:val="007F7C94"/>
    <w:rsid w:val="00801235"/>
    <w:rsid w:val="00806529"/>
    <w:rsid w:val="00807E4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751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0B8"/>
    <w:rsid w:val="00903523"/>
    <w:rsid w:val="0090659A"/>
    <w:rsid w:val="00911AAC"/>
    <w:rsid w:val="00911F87"/>
    <w:rsid w:val="009127CB"/>
    <w:rsid w:val="00913A34"/>
    <w:rsid w:val="00915986"/>
    <w:rsid w:val="00917602"/>
    <w:rsid w:val="00917624"/>
    <w:rsid w:val="00917A65"/>
    <w:rsid w:val="00925909"/>
    <w:rsid w:val="00930386"/>
    <w:rsid w:val="009309F5"/>
    <w:rsid w:val="00933237"/>
    <w:rsid w:val="00933450"/>
    <w:rsid w:val="00933DEE"/>
    <w:rsid w:val="00933F28"/>
    <w:rsid w:val="00937634"/>
    <w:rsid w:val="00937E8E"/>
    <w:rsid w:val="00941FCF"/>
    <w:rsid w:val="009476C0"/>
    <w:rsid w:val="009545A4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87908"/>
    <w:rsid w:val="00990DEE"/>
    <w:rsid w:val="0099597D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5350"/>
    <w:rsid w:val="00A67320"/>
    <w:rsid w:val="00A67E9E"/>
    <w:rsid w:val="00A7093A"/>
    <w:rsid w:val="00A750C6"/>
    <w:rsid w:val="00A754B4"/>
    <w:rsid w:val="00A77B01"/>
    <w:rsid w:val="00A807C1"/>
    <w:rsid w:val="00A81E2B"/>
    <w:rsid w:val="00A83374"/>
    <w:rsid w:val="00A85B7F"/>
    <w:rsid w:val="00A96172"/>
    <w:rsid w:val="00A97AC9"/>
    <w:rsid w:val="00AA13ED"/>
    <w:rsid w:val="00AA1816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4303"/>
    <w:rsid w:val="00AF7ABF"/>
    <w:rsid w:val="00AF7B45"/>
    <w:rsid w:val="00B00914"/>
    <w:rsid w:val="00B02A8E"/>
    <w:rsid w:val="00B052EE"/>
    <w:rsid w:val="00B1081F"/>
    <w:rsid w:val="00B10D31"/>
    <w:rsid w:val="00B10F42"/>
    <w:rsid w:val="00B11065"/>
    <w:rsid w:val="00B23C0F"/>
    <w:rsid w:val="00B258E1"/>
    <w:rsid w:val="00B27499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2D4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234F"/>
    <w:rsid w:val="00BB3756"/>
    <w:rsid w:val="00BB4D9B"/>
    <w:rsid w:val="00BB73FF"/>
    <w:rsid w:val="00BB7688"/>
    <w:rsid w:val="00BC221C"/>
    <w:rsid w:val="00BC7CAC"/>
    <w:rsid w:val="00BD0143"/>
    <w:rsid w:val="00BD2A86"/>
    <w:rsid w:val="00BD6D76"/>
    <w:rsid w:val="00BD737B"/>
    <w:rsid w:val="00BE56B3"/>
    <w:rsid w:val="00BF04E8"/>
    <w:rsid w:val="00BF16BF"/>
    <w:rsid w:val="00BF33B2"/>
    <w:rsid w:val="00BF39C9"/>
    <w:rsid w:val="00BF4D1F"/>
    <w:rsid w:val="00C004DC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1213"/>
    <w:rsid w:val="00C856BB"/>
    <w:rsid w:val="00C90311"/>
    <w:rsid w:val="00C91C26"/>
    <w:rsid w:val="00C929AA"/>
    <w:rsid w:val="00C956DD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E71D6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5A64"/>
    <w:rsid w:val="00D17F81"/>
    <w:rsid w:val="00D2323B"/>
    <w:rsid w:val="00D246EA"/>
    <w:rsid w:val="00D26367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17E0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216C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5C70"/>
    <w:rsid w:val="00ED6019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5093"/>
    <w:rsid w:val="00F06FDD"/>
    <w:rsid w:val="00F1081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47519"/>
    <w:rsid w:val="00F50B75"/>
    <w:rsid w:val="00F608C9"/>
    <w:rsid w:val="00F60BE0"/>
    <w:rsid w:val="00F6280E"/>
    <w:rsid w:val="00F62DDF"/>
    <w:rsid w:val="00F63BD3"/>
    <w:rsid w:val="00F64336"/>
    <w:rsid w:val="00F679EB"/>
    <w:rsid w:val="00F7050A"/>
    <w:rsid w:val="00F75533"/>
    <w:rsid w:val="00F80C20"/>
    <w:rsid w:val="00F9482F"/>
    <w:rsid w:val="00F94D8E"/>
    <w:rsid w:val="00F957E1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B625D"/>
    <w:rsid w:val="00FC1F9E"/>
    <w:rsid w:val="00FC691F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B625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FB625D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879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A81E2B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81E2B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B625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FB625D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879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A81E2B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81E2B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1CC5A-9F87-4C39-8A54-98C48C549D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CC9A91-3AB3-4B84-8F05-1BB2F79176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F90459-DE4B-4100-A3C2-2E7C555A1A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3F83C-4FCA-4408-A96B-9751E239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dcterms:created xsi:type="dcterms:W3CDTF">2013-07-11T14:42:00Z</dcterms:created>
  <dcterms:modified xsi:type="dcterms:W3CDTF">2013-07-11T14:46:00Z</dcterms:modified>
</cp:coreProperties>
</file>