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9360"/>
      </w:tblGrid>
      <w:tr>
        <w:tc>
          <w:tcPr>
            <w:tcW w:type="dxa" w:w="9360"/>
            <w:shd w:fill="1F4D78" w:val="clear"/>
            <w:tcMar>
              <w:top w:type="dxa" w:w="420"/>
              <w:left w:type="dxa" w:w="360"/>
              <w:bottom w:type="dxa" w:w="42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  <w:t xml:space="preserve">SAFEDRIVE 2.0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ACTION, EVIDENCE &amp; LAUNCH CHECKLIST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9EAF7"/>
                <w:sz w:val="23"/>
                <w:szCs w:val="23"/>
              </w:rPr>
              <w:t xml:space="preserve">Local testing → staging proof → hosting migration → live-money readiness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2F0D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Purpose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this as the working checklist for SafeDrive this week and as a thesis-defense evidence index. A checked box means the task was completed and the named proof was saved. It does not mean a provider, regulator, lawyer, accountant, or insurer has approved SafeDrive unless their written approval is attached.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Document control</w:t>
            </w:r>
          </w:p>
        </w:tc>
        <w:tc>
          <w:tcPr>
            <w:tcW w:type="dxa" w:w="636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 date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 August 2026 (Asia/Manila)</w:t>
            </w:r>
          </w:p>
        </w:tc>
      </w:tr>
      <w:tr>
        <w:trPr>
          <w:cantSplit/>
        </w:trPr>
        <w:tc>
          <w:tcPr>
            <w:tcW w:type="dxa" w:w="30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</w:t>
            </w:r>
          </w:p>
        </w:tc>
        <w:tc>
          <w:tcPr>
            <w:tcW w:type="dxa" w:w="636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Kurt Samson / SafeDrive thesis team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Companion reference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project_docs/SAFE_DRIVE_MASTER_DOCUMENTATION.docx</w:t>
            </w:r>
          </w:p>
        </w:tc>
      </w:tr>
      <w:tr>
        <w:trPr>
          <w:cantSplit/>
        </w:trPr>
        <w:tc>
          <w:tcPr>
            <w:tcW w:type="dxa" w:w="30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 source</w:t>
            </w:r>
          </w:p>
        </w:tc>
        <w:tc>
          <w:tcPr>
            <w:tcW w:type="dxa" w:w="636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database_scripts/SAFE_DRIVE_DATABASE_MASTER.sql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Meaning of DONE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Implementation + repeatable test + saved evidence + required external approval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 / sprint: 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________________________________________________________________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Checklist owner: 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________________________________________________________________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Reviewer / groupmate: 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________________________________________________________________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Target demo or launch date: 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</w:pPr>
      <w:r>
        <w:t xml:space="preserve">1. Read This First: Current SafeDrive Position</w:t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2F0D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Current result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repository is locally buildable and the automated suite has passed. Guest-inquiry email reply was demonstrated. The code now contains the requested admin work center, finance controls, agreements, trip reports, security deposits, maintenance blocks, retention requests, and role-aware screens. Public hosting, live callbacks, production secrets, Money Movement access, legal/accounting/insurance review, restore proof, and live provider evidence remain launch gates.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2100"/>
        <w:gridCol w:w="3000"/>
        <w:gridCol w:w="4260"/>
      </w:tblGrid>
      <w:tr>
        <w:trPr>
          <w:cantSplit/>
          <w:tblHeader/>
        </w:trPr>
        <w:tc>
          <w:tcPr>
            <w:tcW w:type="dxa" w:w="210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Area</w:t>
            </w:r>
          </w:p>
        </w:tc>
        <w:tc>
          <w:tcPr>
            <w:tcW w:type="dxa" w:w="300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Current state</w:t>
            </w:r>
          </w:p>
        </w:tc>
        <w:tc>
          <w:tcPr>
            <w:tcW w:type="dxa" w:w="426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What still proves completion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 application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Automated checks and clean build passed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Repeat the commands on your machine and save the terminal output</w:t>
            </w:r>
          </w:p>
        </w:tc>
      </w:tr>
      <w:tr>
        <w:trPr>
          <w:cantSplit/>
        </w:trPr>
        <w:tc>
          <w:tcPr>
            <w:tcW w:type="dxa" w:w="21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Supabase</w:t>
            </w:r>
          </w:p>
        </w:tc>
        <w:tc>
          <w:tcPr>
            <w:tcW w:type="dxa" w:w="30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 code/schema aligned; live reachability was not proven</w:t>
            </w:r>
          </w:p>
        </w:tc>
        <w:tc>
          <w:tcPr>
            <w:tcW w:type="dxa" w:w="426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Correct URL, run Chapter 14 once, run Chapter 15 read-only checks, save results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Guest inquiries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Question intake and Gmail reply demonstrated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Repeat full guest → admin → email → resolved flow and save screenshots</w:t>
            </w:r>
          </w:p>
        </w:tc>
      </w:tr>
      <w:tr>
        <w:trPr>
          <w:cantSplit/>
        </w:trPr>
        <w:tc>
          <w:tcPr>
            <w:tcW w:type="dxa" w:w="21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PayMongo checkout</w:t>
            </w:r>
          </w:p>
        </w:tc>
        <w:tc>
          <w:tcPr>
            <w:tcW w:type="dxa" w:w="30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Guarded code and local logic tests exist</w:t>
            </w:r>
          </w:p>
        </w:tc>
        <w:tc>
          <w:tcPr>
            <w:tcW w:type="dxa" w:w="426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Provider test checkout, signed webhook, refund and recovery evidence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Wallet/disbursement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 simulator only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PayMongo-approved Money Movement access and provider/bank evidence; no guessed wallet ID</w:t>
            </w:r>
          </w:p>
        </w:tc>
      </w:tr>
      <w:tr>
        <w:trPr>
          <w:cantSplit/>
        </w:trPr>
        <w:tc>
          <w:tcPr>
            <w:tcW w:type="dxa" w:w="21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Hosting</w:t>
            </w:r>
          </w:p>
        </w:tc>
        <w:tc>
          <w:tcPr>
            <w:tcW w:type="dxa" w:w="30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Deferred by decision</w:t>
            </w:r>
          </w:p>
        </w:tc>
        <w:tc>
          <w:tcPr>
            <w:tcW w:type="dxa" w:w="426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Select host, configure secrets and URLs, prove staging before public launch</w:t>
            </w:r>
          </w:p>
        </w:tc>
      </w:tr>
      <w:tr>
        <w:trPr>
          <w:cantSplit/>
        </w:trPr>
        <w:tc>
          <w:tcPr>
            <w:tcW w:type="dxa" w:w="21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Legal/compliance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Technical support and research recorded</w:t>
            </w:r>
          </w:p>
        </w:tc>
        <w:tc>
          <w:tcPr>
            <w:tcW w:type="dxa" w:w="42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Philippine lawyer, DPO/privacy lead, accountant and insurer sign-offs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CE4D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Hard stop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not use live PayMongo keys, represent simulator records as real money, publish service-role or secret keys, or call SafeDrive production-ready until every red launch gate in Chapter 15 is satisfied.</w:t>
            </w:r>
          </w:p>
        </w:tc>
      </w:tr>
    </w:tbl>
    <w:p>
      <w:pPr>
        <w:pStyle w:val="Heading2"/>
      </w:pPr>
      <w:r>
        <w:t xml:space="preserve">1.1 How to use the checklist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Complete Chapters 2–11 now; they are local/Supabase/test-mode work and do not require a final host.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Put a filename or screenshot link in the evidence field. A memory or verbal claim is not evidence.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Leave Chapters 12–15 open until a host and public HTTPS URLs are available.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After every code or SQL change, rerun the regression commands in Chapter 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When an external reviewer changes a rule, update the master documentation and this checklist together.</w:t>
      </w:r>
    </w:p>
    <w:p>
      <w:pPr>
        <w:pStyle w:val="Heading1"/>
      </w:pPr>
      <w:r>
        <w:t xml:space="preserve">2. Priority Board: What You Need to Do Next</w:t>
      </w:r>
    </w:p>
    <w:p>
      <w:pPr>
        <w:pStyle w:val="Heading2"/>
      </w:pPr>
      <w:r>
        <w:t xml:space="preserve">2.1 Do now — no final host required</w:t>
      </w:r>
    </w:p>
    <w:p>
      <w:pPr>
        <w:keepNext w:val="false"/>
        <w:spacing w:after="120" w:line="300"/>
      </w:pPr>
      <w:sdt>
        <w:sdtPr>
          <w:alias w:val="NOW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NOW-01  </w:t>
      </w:r>
      <w:r>
        <w:rPr>
          <w:rFonts w:ascii="Calibri" w:cs="Calibri" w:eastAsia="Calibri" w:hAnsi="Calibri"/>
          <w:sz w:val="22"/>
          <w:szCs w:val="22"/>
        </w:rPr>
        <w:t xml:space="preserve">Correct VITE_SUPABASE_URL and confirm that the project hostname resolves.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npm run check:live-supabase shows successful connectivity, not ENOTFOUND</w:t>
      </w:r>
    </w:p>
    <w:p>
      <w:pPr>
        <w:keepNext w:val="false"/>
        <w:spacing w:after="120" w:line="300"/>
      </w:pPr>
      <w:sdt>
        <w:sdtPr>
          <w:alias w:val="NOW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NOW-02  </w:t>
      </w:r>
      <w:r>
        <w:rPr>
          <w:rFonts w:ascii="Calibri" w:cs="Calibri" w:eastAsia="Calibri" w:hAnsi="Calibri"/>
          <w:sz w:val="22"/>
          <w:szCs w:val="22"/>
        </w:rPr>
        <w:t xml:space="preserve">Back up the current Supabase database and separately inventory Storage objects before applying schema changes.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dated dump/export plus storage inventory location</w:t>
      </w:r>
    </w:p>
    <w:p>
      <w:pPr>
        <w:keepNext w:val="false"/>
        <w:spacing w:after="120" w:line="300"/>
      </w:pPr>
      <w:sdt>
        <w:sdtPr>
          <w:alias w:val="NOW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NOW-03  </w:t>
      </w:r>
      <w:r>
        <w:rPr>
          <w:rFonts w:ascii="Calibri" w:cs="Calibri" w:eastAsia="Calibri" w:hAnsi="Calibri"/>
          <w:sz w:val="22"/>
          <w:szCs w:val="22"/>
        </w:rPr>
        <w:t xml:space="preserve">Apply only Chapter 14 of SAFE_DRIVE_DATABASE_MASTER.sql to a test/staging project first, then production when approved.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SQL Editor success result and migration date</w:t>
      </w:r>
    </w:p>
    <w:p>
      <w:pPr>
        <w:keepNext w:val="false"/>
        <w:spacing w:after="120" w:line="300"/>
      </w:pPr>
      <w:sdt>
        <w:sdtPr>
          <w:alias w:val="NOW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NOW-04  </w:t>
      </w:r>
      <w:r>
        <w:rPr>
          <w:rFonts w:ascii="Calibri" w:cs="Calibri" w:eastAsia="Calibri" w:hAnsi="Calibri"/>
          <w:sz w:val="22"/>
          <w:szCs w:val="22"/>
        </w:rPr>
        <w:t xml:space="preserve">Run only the read-only Chapter 15 verification queries after Chapter 14.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saved query results with zero unexpected findings</w:t>
      </w:r>
    </w:p>
    <w:p>
      <w:pPr>
        <w:keepNext w:val="false"/>
        <w:spacing w:after="120" w:line="300"/>
      </w:pPr>
      <w:sdt>
        <w:sdtPr>
          <w:alias w:val="NOW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NOW-05  </w:t>
      </w:r>
      <w:r>
        <w:rPr>
          <w:rFonts w:ascii="Calibri" w:cs="Calibri" w:eastAsia="Calibri" w:hAnsi="Calibri"/>
          <w:sz w:val="22"/>
          <w:szCs w:val="22"/>
        </w:rPr>
        <w:t xml:space="preserve">Run the complete local regression suite and clean build.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terminal log for npm run check:all and npm run build:clean</w:t>
      </w:r>
    </w:p>
    <w:p>
      <w:pPr>
        <w:keepNext w:val="false"/>
        <w:spacing w:after="120" w:line="300"/>
      </w:pPr>
      <w:sdt>
        <w:sdtPr>
          <w:alias w:val="NOW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NOW-06  </w:t>
      </w:r>
      <w:r>
        <w:rPr>
          <w:rFonts w:ascii="Calibri" w:cs="Calibri" w:eastAsia="Calibri" w:hAnsi="Calibri"/>
          <w:sz w:val="22"/>
          <w:szCs w:val="22"/>
        </w:rPr>
        <w:t xml:space="preserve">Repeat the guest question workflow using a new inquiry and a real test mailbox.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question, admin queue, reply email and resolved-state screenshots</w:t>
      </w:r>
    </w:p>
    <w:p>
      <w:pPr>
        <w:keepNext w:val="false"/>
        <w:spacing w:after="120" w:line="300"/>
      </w:pPr>
      <w:sdt>
        <w:sdtPr>
          <w:alias w:val="NOW-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NOW-07  </w:t>
      </w:r>
      <w:r>
        <w:rPr>
          <w:rFonts w:ascii="Calibri" w:cs="Calibri" w:eastAsia="Calibri" w:hAnsi="Calibri"/>
          <w:sz w:val="22"/>
          <w:szCs w:val="22"/>
        </w:rPr>
        <w:t xml:space="preserve">Test admin versus super-admin route permissions.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normal admin denied finance/retention; super-admin allowed</w:t>
      </w:r>
    </w:p>
    <w:p>
      <w:pPr>
        <w:keepNext w:val="false"/>
        <w:spacing w:after="120" w:line="300"/>
      </w:pPr>
      <w:sdt>
        <w:sdtPr>
          <w:alias w:val="NOW-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NOW-08  </w:t>
      </w:r>
      <w:r>
        <w:rPr>
          <w:rFonts w:ascii="Calibri" w:cs="Calibri" w:eastAsia="Calibri" w:hAnsi="Calibri"/>
          <w:sz w:val="22"/>
          <w:szCs w:val="22"/>
        </w:rPr>
        <w:t xml:space="preserve">Demonstrate the local payout simulator and security-deposit decisions without claiming wallet movement.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audit rows, notifications, balanced journals and unchanged PayMongo wallet</w:t>
      </w:r>
    </w:p>
    <w:p>
      <w:pPr>
        <w:keepNext w:val="false"/>
        <w:spacing w:after="120" w:line="300"/>
      </w:pPr>
      <w:sdt>
        <w:sdtPr>
          <w:alias w:val="NOW-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NOW-09  </w:t>
      </w:r>
      <w:r>
        <w:rPr>
          <w:rFonts w:ascii="Calibri" w:cs="Calibri" w:eastAsia="Calibri" w:hAnsi="Calibri"/>
          <w:sz w:val="22"/>
          <w:szCs w:val="22"/>
        </w:rPr>
        <w:t xml:space="preserve">Collect thesis evidence for agreement versioning, trip condition, maintenance conflict, ledger correction and reconciliation mismatch handling.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evidence folder/index</w:t>
      </w:r>
    </w:p>
    <w:p>
      <w:pPr>
        <w:keepNext w:val="false"/>
        <w:spacing w:after="120" w:line="300"/>
      </w:pPr>
      <w:sdt>
        <w:sdtPr>
          <w:alias w:val="NOW-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NOW-10  </w:t>
      </w:r>
      <w:r>
        <w:rPr>
          <w:rFonts w:ascii="Calibri" w:cs="Calibri" w:eastAsia="Calibri" w:hAnsi="Calibri"/>
          <w:sz w:val="22"/>
          <w:szCs w:val="22"/>
        </w:rPr>
        <w:t xml:space="preserve">Assign the legal, privacy, accounting, insurance and accessibility reviews to named people.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owner and target date for each review</w:t>
      </w:r>
    </w:p>
    <w:p>
      <w:pPr>
        <w:pStyle w:val="Heading2"/>
      </w:pPr>
      <w:r>
        <w:t xml:space="preserve">2.2 Wait until hosting begins</w:t>
      </w:r>
    </w:p>
    <w:p>
      <w:pPr>
        <w:keepNext w:val="false"/>
        <w:spacing w:after="120" w:line="300"/>
      </w:pPr>
      <w:sdt>
        <w:sdtPr>
          <w:alias w:val="HOST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HOST-01  </w:t>
      </w:r>
      <w:r>
        <w:rPr>
          <w:rFonts w:ascii="Calibri" w:cs="Calibri" w:eastAsia="Calibri" w:hAnsi="Calibri"/>
          <w:sz w:val="22"/>
          <w:szCs w:val="22"/>
        </w:rPr>
        <w:t xml:space="preserve">Select the host and decide how the Vite frontend, Node API handlers and cron jobs will run.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signed hosting decision record</w:t>
      </w:r>
    </w:p>
    <w:p>
      <w:pPr>
        <w:keepNext w:val="false"/>
        <w:spacing w:after="120" w:line="300"/>
      </w:pPr>
      <w:sdt>
        <w:sdtPr>
          <w:alias w:val="HOST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HOST-02  </w:t>
      </w:r>
      <w:r>
        <w:rPr>
          <w:rFonts w:ascii="Calibri" w:cs="Calibri" w:eastAsia="Calibri" w:hAnsi="Calibri"/>
          <w:sz w:val="22"/>
          <w:szCs w:val="22"/>
        </w:rPr>
        <w:t xml:space="preserve">Create a staging deployment and enter server-only secrets in the host dashboard.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staging URL and redacted environment inventory</w:t>
      </w:r>
    </w:p>
    <w:p>
      <w:pPr>
        <w:keepNext w:val="false"/>
        <w:spacing w:after="120" w:line="300"/>
      </w:pPr>
      <w:sdt>
        <w:sdtPr>
          <w:alias w:val="HOST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HOST-03  </w:t>
      </w:r>
      <w:r>
        <w:rPr>
          <w:rFonts w:ascii="Calibri" w:cs="Calibri" w:eastAsia="Calibri" w:hAnsi="Calibri"/>
          <w:sz w:val="22"/>
          <w:szCs w:val="22"/>
        </w:rPr>
        <w:t xml:space="preserve">Update Supabase Site URL and redirect allow-list for staging and production.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tested login, signup and password reset</w:t>
      </w:r>
    </w:p>
    <w:p>
      <w:pPr>
        <w:keepNext w:val="false"/>
        <w:spacing w:after="120" w:line="300"/>
      </w:pPr>
      <w:sdt>
        <w:sdtPr>
          <w:alias w:val="HOST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HOST-04  </w:t>
      </w:r>
      <w:r>
        <w:rPr>
          <w:rFonts w:ascii="Calibri" w:cs="Calibri" w:eastAsia="Calibri" w:hAnsi="Calibri"/>
          <w:sz w:val="22"/>
          <w:szCs w:val="22"/>
        </w:rPr>
        <w:t xml:space="preserve">Register public Gmail and PayMongo callback URLs and prove signed delivery/recovery.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provider dashboards, request logs and database effects</w:t>
      </w:r>
    </w:p>
    <w:p>
      <w:pPr>
        <w:keepNext w:val="false"/>
        <w:spacing w:after="120" w:line="300"/>
      </w:pPr>
      <w:sdt>
        <w:sdtPr>
          <w:alias w:val="HOST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HOST-05  </w:t>
      </w:r>
      <w:r>
        <w:rPr>
          <w:rFonts w:ascii="Calibri" w:cs="Calibri" w:eastAsia="Calibri" w:hAnsi="Calibri"/>
          <w:sz w:val="22"/>
          <w:szCs w:val="22"/>
        </w:rPr>
        <w:t xml:space="preserve">Enable real Money Movement only after PayMongo gives the wallet/capability identifiers and the team passes the PHP 100 controlled test.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provider reference + bank/recipient evidence + reconciled journal</w:t>
      </w:r>
    </w:p>
    <w:p>
      <w:pPr>
        <w:keepNext w:val="false"/>
        <w:spacing w:after="120" w:line="300"/>
      </w:pPr>
      <w:sdt>
        <w:sdtPr>
          <w:alias w:val="HOST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HOST-06  </w:t>
      </w:r>
      <w:r>
        <w:rPr>
          <w:rFonts w:ascii="Calibri" w:cs="Calibri" w:eastAsia="Calibri" w:hAnsi="Calibri"/>
          <w:sz w:val="22"/>
          <w:szCs w:val="22"/>
        </w:rPr>
        <w:t xml:space="preserve">Complete monitoring, backup/restore, privacy, legal, insurance and tax launch approvals.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signed launch packet</w:t>
      </w:r>
    </w:p>
    <w:p>
      <w:pPr>
        <w:pStyle w:val="Heading1"/>
      </w:pPr>
      <w:r>
        <w:t xml:space="preserve">3. Local Project Health and Regression Checklist</w:t>
      </w:r>
    </w:p>
    <w:p>
      <w:pPr>
        <w:pStyle w:val="Heading2"/>
      </w:pPr>
      <w:r>
        <w:t xml:space="preserve">3.1 Commands to run from the SafeDrive folder</w:t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800"/>
        <w:gridCol w:w="3650"/>
        <w:gridCol w:w="4910"/>
      </w:tblGrid>
      <w:tr>
        <w:trPr>
          <w:cantSplit/>
          <w:tblHeader/>
        </w:trPr>
        <w:tc>
          <w:tcPr>
            <w:tcW w:type="dxa" w:w="80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Order</w:t>
            </w:r>
          </w:p>
        </w:tc>
        <w:tc>
          <w:tcPr>
            <w:tcW w:type="dxa" w:w="365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Command</w:t>
            </w:r>
          </w:p>
        </w:tc>
        <w:tc>
          <w:tcPr>
            <w:tcW w:type="dxa" w:w="491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36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npm ci</w:t>
            </w:r>
          </w:p>
        </w:tc>
        <w:tc>
          <w:tcPr>
            <w:tcW w:type="dxa" w:w="491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Dependencies install from package-lock without manual version guessing</w:t>
            </w:r>
          </w:p>
        </w:tc>
      </w:tr>
      <w:tr>
        <w:trPr>
          <w:cantSplit/>
        </w:trPr>
        <w:tc>
          <w:tcPr>
            <w:tcW w:type="dxa" w:w="8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36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npm run check:all</w:t>
            </w:r>
          </w:p>
        </w:tc>
        <w:tc>
          <w:tcPr>
            <w:tcW w:type="dxa" w:w="491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Lint, frontend/API TypeScript, booking, finance, reconciliation, browser and environment checks pass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36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npm run build:clean</w:t>
            </w:r>
          </w:p>
        </w:tc>
        <w:tc>
          <w:tcPr>
            <w:tcW w:type="dxa" w:w="491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dist is rebuilt from a clean state</w:t>
            </w:r>
          </w:p>
        </w:tc>
      </w:tr>
      <w:tr>
        <w:trPr>
          <w:cantSplit/>
        </w:trPr>
        <w:tc>
          <w:tcPr>
            <w:tcW w:type="dxa" w:w="8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</w:t>
            </w:r>
          </w:p>
        </w:tc>
        <w:tc>
          <w:tcPr>
            <w:tcW w:type="dxa" w:w="36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npm audit</w:t>
            </w:r>
          </w:p>
        </w:tc>
        <w:tc>
          <w:tcPr>
            <w:tcW w:type="dxa" w:w="491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known vulnerability remains unexplained; save date and output</w:t>
            </w:r>
          </w:p>
        </w:tc>
      </w:tr>
      <w:tr>
        <w:trPr>
          <w:cantSplit/>
        </w:trPr>
        <w:tc>
          <w:tcPr>
            <w:tcW w:type="dxa" w:w="8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</w:t>
            </w:r>
          </w:p>
        </w:tc>
        <w:tc>
          <w:tcPr>
            <w:tcW w:type="dxa" w:w="36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 diff --check</w:t>
            </w:r>
          </w:p>
        </w:tc>
        <w:tc>
          <w:tcPr>
            <w:tcW w:type="dxa" w:w="491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whitespace errors or conflict artifacts</w:t>
            </w:r>
          </w:p>
        </w:tc>
      </w:tr>
      <w:tr>
        <w:trPr>
          <w:cantSplit/>
        </w:trPr>
        <w:tc>
          <w:tcPr>
            <w:tcW w:type="dxa" w:w="8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</w:t>
            </w:r>
          </w:p>
        </w:tc>
        <w:tc>
          <w:tcPr>
            <w:tcW w:type="dxa" w:w="36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npm run dev:all</w:t>
            </w:r>
          </w:p>
        </w:tc>
        <w:tc>
          <w:tcPr>
            <w:tcW w:type="dxa" w:w="491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 and local API adapter start together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 w:val="false"/>
        <w:spacing w:after="120" w:line="300"/>
      </w:pPr>
      <w:sdt>
        <w:sdtPr>
          <w:alias w:val="LOCAL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LOCAL-01  </w:t>
      </w:r>
      <w:r>
        <w:rPr>
          <w:rFonts w:ascii="Calibri" w:cs="Calibri" w:eastAsia="Calibri" w:hAnsi="Calibri"/>
          <w:sz w:val="22"/>
          <w:szCs w:val="22"/>
        </w:rPr>
        <w:t xml:space="preserve">Run all six commands above after pulling or changing code.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dated terminal transcript</w:t>
      </w:r>
    </w:p>
    <w:p>
      <w:pPr>
        <w:keepNext w:val="false"/>
        <w:spacing w:after="120" w:line="300"/>
      </w:pPr>
      <w:sdt>
        <w:sdtPr>
          <w:alias w:val="LOCAL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LOCAL-02  </w:t>
      </w:r>
      <w:r>
        <w:rPr>
          <w:rFonts w:ascii="Calibri" w:cs="Calibri" w:eastAsia="Calibri" w:hAnsi="Calibri"/>
          <w:sz w:val="22"/>
          <w:szCs w:val="22"/>
        </w:rPr>
        <w:t xml:space="preserve">Open /, /login, /signup, /Safedriveadminlogin, /admin/notifications and /admin/guest-inquiries directly—not only by clicking links.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route screenshots without redirect/crash</w:t>
      </w:r>
    </w:p>
    <w:p>
      <w:pPr>
        <w:keepNext w:val="false"/>
        <w:spacing w:after="120" w:line="300"/>
      </w:pPr>
      <w:sdt>
        <w:sdtPr>
          <w:alias w:val="LOCAL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LOCAL-03  </w:t>
      </w:r>
      <w:r>
        <w:rPr>
          <w:rFonts w:ascii="Calibri" w:cs="Calibri" w:eastAsia="Calibri" w:hAnsi="Calibri"/>
          <w:sz w:val="22"/>
          <w:szCs w:val="22"/>
        </w:rPr>
        <w:t xml:space="preserve">Test both localhost:5173 and 127.0.0.1:5173 if you switch hostnames; do not assume browser storage/auth sessions are shared.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login tested on the chosen local origin</w:t>
      </w:r>
    </w:p>
    <w:p>
      <w:pPr>
        <w:keepNext w:val="false"/>
        <w:spacing w:after="120" w:line="300"/>
      </w:pPr>
      <w:sdt>
        <w:sdtPr>
          <w:alias w:val="LOCAL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LOCAL-04  </w:t>
      </w:r>
      <w:r>
        <w:rPr>
          <w:rFonts w:ascii="Calibri" w:cs="Calibri" w:eastAsia="Calibri" w:hAnsi="Calibri"/>
          <w:sz w:val="22"/>
          <w:szCs w:val="22"/>
        </w:rPr>
        <w:t xml:space="preserve">Verify secret values never appear in Vite client bundles, screenshots, Git history or the Word documents.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secret scan / reviewer initials</w:t>
      </w:r>
    </w:p>
    <w:p>
      <w:pPr>
        <w:keepNext w:val="false"/>
        <w:spacing w:after="120" w:line="300"/>
      </w:pPr>
      <w:sdt>
        <w:sdtPr>
          <w:alias w:val="LOCAL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LOCAL-05  </w:t>
      </w:r>
      <w:r>
        <w:rPr>
          <w:rFonts w:ascii="Calibri" w:cs="Calibri" w:eastAsia="Calibri" w:hAnsi="Calibri"/>
          <w:sz w:val="22"/>
          <w:szCs w:val="22"/>
        </w:rPr>
        <w:t xml:space="preserve">Confirm React has one installed copy and ScrollToTop renders only inside BrowserRouter.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no invalid hook/useContext/useEffect crash</w:t>
      </w:r>
    </w:p>
    <w:p>
      <w:pPr>
        <w:keepNext w:val="false"/>
        <w:spacing w:after="120" w:line="300"/>
      </w:pPr>
      <w:sdt>
        <w:sdtPr>
          <w:alias w:val="LOCAL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LOCAL-06  </w:t>
      </w:r>
      <w:r>
        <w:rPr>
          <w:rFonts w:ascii="Calibri" w:cs="Calibri" w:eastAsia="Calibri" w:hAnsi="Calibri"/>
          <w:sz w:val="22"/>
          <w:szCs w:val="22"/>
        </w:rPr>
        <w:t xml:space="preserve">Save the exact commit hash used for the thesis demo after you commit it yourself.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commit hash recorded below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Evidence folder: 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________________________________________________________________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Demo commit: 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________________________________________________________________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Last full pass date: 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________________________________________________________________</w:t>
      </w:r>
    </w:p>
    <w:p>
      <w:pPr>
        <w:pStyle w:val="Heading1"/>
      </w:pPr>
      <w:r>
        <w:t xml:space="preserve">4. Supabase: Schema, Security, Redirects and Recovery</w:t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8EE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Why this matters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SQL file in Git does not change the live database. Supabase also requires Row Level Security on exposed tables and Storage policies on storage.objects. The service-role key bypasses RLS, so it belongs only in server-side environments.</w:t>
            </w:r>
          </w:p>
        </w:tc>
      </w:tr>
    </w:tbl>
    <w:p>
      <w:pPr>
        <w:pStyle w:val="Heading2"/>
      </w:pPr>
      <w:r>
        <w:t xml:space="preserve">4.1 Connection and key inventory</w:t>
      </w:r>
    </w:p>
    <w:p>
      <w:pPr>
        <w:keepNext w:val="false"/>
        <w:spacing w:after="120" w:line="300"/>
      </w:pPr>
      <w:sdt>
        <w:sdtPr>
          <w:alias w:val="SUPA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SUPA-01  </w:t>
      </w:r>
      <w:r>
        <w:rPr>
          <w:rFonts w:ascii="Calibri" w:cs="Calibri" w:eastAsia="Calibri" w:hAnsi="Calibri"/>
          <w:sz w:val="22"/>
          <w:szCs w:val="22"/>
        </w:rPr>
        <w:t xml:space="preserve">Copy the project URL and publishable/anon key from Supabase Connect or Settings → API Keys; do not type the project ID from memory.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redacted configuration screenshot</w:t>
      </w:r>
    </w:p>
    <w:p>
      <w:pPr>
        <w:keepNext w:val="false"/>
        <w:spacing w:after="120" w:line="300"/>
      </w:pPr>
      <w:sdt>
        <w:sdtPr>
          <w:alias w:val="SUPA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SUPA-02  </w:t>
      </w:r>
      <w:r>
        <w:rPr>
          <w:rFonts w:ascii="Calibri" w:cs="Calibri" w:eastAsia="Calibri" w:hAnsi="Calibri"/>
          <w:sz w:val="22"/>
          <w:szCs w:val="22"/>
        </w:rPr>
        <w:t xml:space="preserve">Keep SUPABASE_SERVICE_ROLE_KEY only in the local server environment and later in the host's encrypted server secrets.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client bundle/search contains no service-role key</w:t>
      </w:r>
    </w:p>
    <w:p>
      <w:pPr>
        <w:keepNext w:val="false"/>
        <w:spacing w:after="120" w:line="300"/>
      </w:pPr>
      <w:sdt>
        <w:sdtPr>
          <w:alias w:val="SUPA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SUPA-03  </w:t>
      </w:r>
      <w:r>
        <w:rPr>
          <w:rFonts w:ascii="Calibri" w:cs="Calibri" w:eastAsia="Calibri" w:hAnsi="Calibri"/>
          <w:sz w:val="22"/>
          <w:szCs w:val="22"/>
        </w:rPr>
        <w:t xml:space="preserve">Run npm run check:live-supabase after correcting the URL.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connection succeeds and expected relations are reported</w:t>
      </w:r>
    </w:p>
    <w:p>
      <w:pPr>
        <w:pStyle w:val="Heading2"/>
      </w:pPr>
      <w:r>
        <w:t xml:space="preserve">4.2 Backup before migration</w:t>
      </w:r>
    </w:p>
    <w:p>
      <w:pPr>
        <w:keepNext w:val="false"/>
        <w:spacing w:after="120" w:line="300"/>
      </w:pPr>
      <w:sdt>
        <w:sdtPr>
          <w:alias w:val="SUPA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SUPA-04  </w:t>
      </w:r>
      <w:r>
        <w:rPr>
          <w:rFonts w:ascii="Calibri" w:cs="Calibri" w:eastAsia="Calibri" w:hAnsi="Calibri"/>
          <w:sz w:val="22"/>
          <w:szCs w:val="22"/>
        </w:rPr>
        <w:t xml:space="preserve">Create a dated database dump/export before Chapter 14.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backup path and timestamp</w:t>
      </w:r>
    </w:p>
    <w:p>
      <w:pPr>
        <w:keepNext w:val="false"/>
        <w:spacing w:after="120" w:line="300"/>
      </w:pPr>
      <w:sdt>
        <w:sdtPr>
          <w:alias w:val="SUPA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SUPA-05  </w:t>
      </w:r>
      <w:r>
        <w:rPr>
          <w:rFonts w:ascii="Calibri" w:cs="Calibri" w:eastAsia="Calibri" w:hAnsi="Calibri"/>
          <w:sz w:val="22"/>
          <w:szCs w:val="22"/>
        </w:rPr>
        <w:t xml:space="preserve">Create a separate Storage backup/inventory; Supabase database backups contain Storage metadata, not the stored files themselves.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bucket/object export or inventory</w:t>
      </w:r>
    </w:p>
    <w:p>
      <w:pPr>
        <w:keepNext w:val="false"/>
        <w:spacing w:after="120" w:line="300"/>
      </w:pPr>
      <w:sdt>
        <w:sdtPr>
          <w:alias w:val="SUPA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SUPA-06  </w:t>
      </w:r>
      <w:r>
        <w:rPr>
          <w:rFonts w:ascii="Calibri" w:cs="Calibri" w:eastAsia="Calibri" w:hAnsi="Calibri"/>
          <w:sz w:val="22"/>
          <w:szCs w:val="22"/>
        </w:rPr>
        <w:t xml:space="preserve">Write a restore drill: who restores, acceptable downtime, how Storage is restored, and how custom role passwords/secrets are recreated.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restore runbook</w:t>
      </w:r>
    </w:p>
    <w:p>
      <w:pPr>
        <w:pStyle w:val="Heading2"/>
      </w:pPr>
      <w:r>
        <w:t xml:space="preserve">4.3 Apply and prove the schema</w:t>
      </w:r>
    </w:p>
    <w:p>
      <w:pPr>
        <w:keepNext w:val="false"/>
        <w:spacing w:after="120" w:line="300"/>
      </w:pPr>
      <w:sdt>
        <w:sdtPr>
          <w:alias w:val="SUPA-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SUPA-07  </w:t>
      </w:r>
      <w:r>
        <w:rPr>
          <w:rFonts w:ascii="Calibri" w:cs="Calibri" w:eastAsia="Calibri" w:hAnsi="Calibri"/>
          <w:sz w:val="22"/>
          <w:szCs w:val="22"/>
        </w:rPr>
        <w:t xml:space="preserve">Open SAFE_DRIVE_DATABASE_MASTER.sql and select only Chapter 14. Never run the entire historical master against an existing production database.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reviewer confirms selected range</w:t>
      </w:r>
    </w:p>
    <w:p>
      <w:pPr>
        <w:keepNext w:val="false"/>
        <w:spacing w:after="120" w:line="300"/>
      </w:pPr>
      <w:sdt>
        <w:sdtPr>
          <w:alias w:val="SUPA-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SUPA-08  </w:t>
      </w:r>
      <w:r>
        <w:rPr>
          <w:rFonts w:ascii="Calibri" w:cs="Calibri" w:eastAsia="Calibri" w:hAnsi="Calibri"/>
          <w:sz w:val="22"/>
          <w:szCs w:val="22"/>
        </w:rPr>
        <w:t xml:space="preserve">Apply Chapter 14 to staging first and read every error before continuing.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SQL success plus object counts</w:t>
      </w:r>
    </w:p>
    <w:p>
      <w:pPr>
        <w:keepNext w:val="false"/>
        <w:spacing w:after="120" w:line="300"/>
      </w:pPr>
      <w:sdt>
        <w:sdtPr>
          <w:alias w:val="SUPA-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SUPA-09  </w:t>
      </w:r>
      <w:r>
        <w:rPr>
          <w:rFonts w:ascii="Calibri" w:cs="Calibri" w:eastAsia="Calibri" w:hAnsi="Calibri"/>
          <w:sz w:val="22"/>
          <w:szCs w:val="22"/>
        </w:rPr>
        <w:t xml:space="preserve">Run Chapter 15 read-only verification. Investigate every returned mismatch; do not delete data merely to make a result empty.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verification output</w:t>
      </w:r>
    </w:p>
    <w:p>
      <w:pPr>
        <w:keepNext w:val="false"/>
        <w:spacing w:after="120" w:line="300"/>
      </w:pPr>
      <w:sdt>
        <w:sdtPr>
          <w:alias w:val="SUPA-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SUPA-10  </w:t>
      </w:r>
      <w:r>
        <w:rPr>
          <w:rFonts w:ascii="Calibri" w:cs="Calibri" w:eastAsia="Calibri" w:hAnsi="Calibri"/>
          <w:sz w:val="22"/>
          <w:szCs w:val="22"/>
        </w:rPr>
        <w:t xml:space="preserve">Prove RLS by testing unauthenticated, renter, lister, admin and super-admin access—not only postgres/service-role queries.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role-by-role matrix</w:t>
      </w:r>
    </w:p>
    <w:p>
      <w:pPr>
        <w:keepNext w:val="false"/>
        <w:spacing w:after="120" w:line="300"/>
      </w:pPr>
      <w:sdt>
        <w:sdtPr>
          <w:alias w:val="SUPA-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SUPA-11  </w:t>
      </w:r>
      <w:r>
        <w:rPr>
          <w:rFonts w:ascii="Calibri" w:cs="Calibri" w:eastAsia="Calibri" w:hAnsi="Calibri"/>
          <w:sz w:val="22"/>
          <w:szCs w:val="22"/>
        </w:rPr>
        <w:t xml:space="preserve">Prove private bucket policies and signed-URL behavior for KYC, vehicle documents, agreements, support and trip evidence.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unauthorized denial + authorized access</w:t>
      </w:r>
    </w:p>
    <w:p>
      <w:pPr>
        <w:keepNext w:val="false"/>
        <w:spacing w:after="120" w:line="300"/>
      </w:pPr>
      <w:sdt>
        <w:sdtPr>
          <w:alias w:val="SUPA-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SUPA-12  </w:t>
      </w:r>
      <w:r>
        <w:rPr>
          <w:rFonts w:ascii="Calibri" w:cs="Calibri" w:eastAsia="Calibri" w:hAnsi="Calibri"/>
          <w:sz w:val="22"/>
          <w:szCs w:val="22"/>
        </w:rPr>
        <w:t xml:space="preserve">Confirm database triggers return vehicles to pending after critical car, image or agreement changes.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before/after vehicle status</w:t>
      </w:r>
    </w:p>
    <w:p>
      <w:pPr>
        <w:pStyle w:val="Heading2"/>
      </w:pPr>
      <w:r>
        <w:t xml:space="preserve">4.4 Auth redirects</w:t>
      </w:r>
    </w:p>
    <w:p>
      <w:pPr>
        <w:keepNext w:val="false"/>
        <w:spacing w:after="120" w:line="300"/>
      </w:pPr>
      <w:sdt>
        <w:sdtPr>
          <w:alias w:val="SUPA-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SUPA-13  </w:t>
      </w:r>
      <w:r>
        <w:rPr>
          <w:rFonts w:ascii="Calibri" w:cs="Calibri" w:eastAsia="Calibri" w:hAnsi="Calibri"/>
          <w:sz w:val="22"/>
          <w:szCs w:val="22"/>
        </w:rPr>
        <w:t xml:space="preserve">For local testing, allow the exact local auth/update-password URLs you use.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password reset succeeds locally</w:t>
      </w:r>
    </w:p>
    <w:p>
      <w:pPr>
        <w:keepNext w:val="false"/>
        <w:spacing w:after="120" w:line="300"/>
      </w:pPr>
      <w:sdt>
        <w:sdtPr>
          <w:alias w:val="SUPA-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SUPA-14  </w:t>
      </w:r>
      <w:r>
        <w:rPr>
          <w:rFonts w:ascii="Calibri" w:cs="Calibri" w:eastAsia="Calibri" w:hAnsi="Calibri"/>
          <w:sz w:val="22"/>
          <w:szCs w:val="22"/>
        </w:rPr>
        <w:t xml:space="preserve">When hosting begins, set the production Site URL and exact production redirect URLs; keep wildcards limited to preview/local use.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production reset and email confirmation evidence</w:t>
      </w:r>
    </w:p>
    <w:p>
      <w:pPr>
        <w:pStyle w:val="Heading1"/>
      </w:pPr>
      <w:r>
        <w:t xml:space="preserve">5. Guest Inquiry and Admin Work Center</w:t>
      </w:r>
    </w:p>
    <w:p>
      <w:pPr>
        <w:pStyle w:val="Heading2"/>
      </w:pPr>
      <w:r>
        <w:t xml:space="preserve">5.1 Guest journey — account not required</w:t>
      </w:r>
    </w:p>
    <w:p>
      <w:pPr>
        <w:keepNext w:val="false"/>
        <w:spacing w:after="120" w:line="300"/>
      </w:pPr>
      <w:sdt>
        <w:sdtPr>
          <w:alias w:val="GUEST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GUEST-01  </w:t>
      </w:r>
      <w:r>
        <w:rPr>
          <w:rFonts w:ascii="Calibri" w:cs="Calibri" w:eastAsia="Calibri" w:hAnsi="Calibri"/>
          <w:sz w:val="22"/>
          <w:szCs w:val="22"/>
        </w:rPr>
        <w:t xml:space="preserve">From the public landing page, open Ask a Question without logging in.</w:t>
      </w:r>
    </w:p>
    <w:p>
      <w:pPr>
        <w:keepNext w:val="false"/>
        <w:spacing w:after="120" w:line="300"/>
      </w:pPr>
      <w:sdt>
        <w:sdtPr>
          <w:alias w:val="GUEST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GUEST-02  </w:t>
      </w:r>
      <w:r>
        <w:rPr>
          <w:rFonts w:ascii="Calibri" w:cs="Calibri" w:eastAsia="Calibri" w:hAnsi="Calibri"/>
          <w:sz w:val="22"/>
          <w:szCs w:val="22"/>
        </w:rPr>
        <w:t xml:space="preserve">Enter only name, email, optional phone, one or more topics, and message; no car model field is required.</w:t>
      </w:r>
    </w:p>
    <w:p>
      <w:pPr>
        <w:keepNext w:val="false"/>
        <w:spacing w:after="120" w:line="300"/>
      </w:pPr>
      <w:sdt>
        <w:sdtPr>
          <w:alias w:val="GUEST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GUEST-03  </w:t>
      </w:r>
      <w:r>
        <w:rPr>
          <w:rFonts w:ascii="Calibri" w:cs="Calibri" w:eastAsia="Calibri" w:hAnsi="Calibri"/>
          <w:sz w:val="22"/>
          <w:szCs w:val="22"/>
        </w:rPr>
        <w:t xml:space="preserve">Select multiple typical topics: how SafeDrive works, listing a car, renting, verification, booking, payment/refund, deposit, insurance/safety, account access, complaint, partnership, or other.</w:t>
      </w:r>
    </w:p>
    <w:p>
      <w:pPr>
        <w:keepNext w:val="false"/>
        <w:spacing w:after="120" w:line="300"/>
      </w:pPr>
      <w:sdt>
        <w:sdtPr>
          <w:alias w:val="GUEST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GUEST-04  </w:t>
      </w:r>
      <w:r>
        <w:rPr>
          <w:rFonts w:ascii="Calibri" w:cs="Calibri" w:eastAsia="Calibri" w:hAnsi="Calibri"/>
          <w:sz w:val="22"/>
          <w:szCs w:val="22"/>
        </w:rPr>
        <w:t xml:space="preserve">Submit once and verify duplicate/rate-abuse protections do not expose the hash salt.</w:t>
      </w:r>
    </w:p>
    <w:p>
      <w:pPr>
        <w:keepNext w:val="false"/>
        <w:spacing w:after="120" w:line="300"/>
      </w:pPr>
      <w:sdt>
        <w:sdtPr>
          <w:alias w:val="GUEST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GUEST-05  </w:t>
      </w:r>
      <w:r>
        <w:rPr>
          <w:rFonts w:ascii="Calibri" w:cs="Calibri" w:eastAsia="Calibri" w:hAnsi="Calibri"/>
          <w:sz w:val="22"/>
          <w:szCs w:val="22"/>
        </w:rPr>
        <w:t xml:space="preserve">Confirm admins receive an actionable notification with exact waiting time and a direct link to the inquiry.</w:t>
      </w:r>
    </w:p>
    <w:p>
      <w:pPr>
        <w:keepNext w:val="false"/>
        <w:spacing w:after="120" w:line="300"/>
      </w:pPr>
      <w:sdt>
        <w:sdtPr>
          <w:alias w:val="GUEST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GUEST-06  </w:t>
      </w:r>
      <w:r>
        <w:rPr>
          <w:rFonts w:ascii="Calibri" w:cs="Calibri" w:eastAsia="Calibri" w:hAnsi="Calibri"/>
          <w:sz w:val="22"/>
          <w:szCs w:val="22"/>
        </w:rPr>
        <w:t xml:space="preserve">Click Start review and confirm the inquiry moves to in_review with reviewer and timestamp.</w:t>
      </w:r>
    </w:p>
    <w:p>
      <w:pPr>
        <w:keepNext w:val="false"/>
        <w:spacing w:after="120" w:line="300"/>
      </w:pPr>
      <w:sdt>
        <w:sdtPr>
          <w:alias w:val="GUEST-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GUEST-07  </w:t>
      </w:r>
      <w:r>
        <w:rPr>
          <w:rFonts w:ascii="Calibri" w:cs="Calibri" w:eastAsia="Calibri" w:hAnsi="Calibri"/>
          <w:sz w:val="22"/>
          <w:szCs w:val="22"/>
        </w:rPr>
        <w:t xml:space="preserve">Send a reply through Gmail Apps Script and confirm the email reaches the guest.</w:t>
      </w:r>
    </w:p>
    <w:p>
      <w:pPr>
        <w:keepNext w:val="false"/>
        <w:spacing w:after="120" w:line="300"/>
      </w:pPr>
      <w:sdt>
        <w:sdtPr>
          <w:alias w:val="GUEST-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GUEST-08  </w:t>
      </w:r>
      <w:r>
        <w:rPr>
          <w:rFonts w:ascii="Calibri" w:cs="Calibri" w:eastAsia="Calibri" w:hAnsi="Calibri"/>
          <w:sz w:val="22"/>
          <w:szCs w:val="22"/>
        </w:rPr>
        <w:t xml:space="preserve">Confirm the inquiry is marked resolved only after email delivery succeeds.</w:t>
      </w:r>
    </w:p>
    <w:p>
      <w:pPr>
        <w:keepNext w:val="false"/>
        <w:spacing w:after="120" w:line="300"/>
      </w:pPr>
      <w:sdt>
        <w:sdtPr>
          <w:alias w:val="GUEST-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GUEST-09  </w:t>
      </w:r>
      <w:r>
        <w:rPr>
          <w:rFonts w:ascii="Calibri" w:cs="Calibri" w:eastAsia="Calibri" w:hAnsi="Calibri"/>
          <w:sz w:val="22"/>
          <w:szCs w:val="22"/>
        </w:rPr>
        <w:t xml:space="preserve">Force an email failure and confirm the inquiry remains open/in review, the admin sees the error, and retry is possible.</w:t>
      </w:r>
    </w:p>
    <w:p>
      <w:pPr>
        <w:pStyle w:val="Heading2"/>
      </w:pPr>
      <w:r>
        <w:t xml:space="preserve">5.2 Admin notification center</w:t>
      </w:r>
    </w:p>
    <w:p>
      <w:pPr>
        <w:keepNext w:val="false"/>
        <w:spacing w:after="120" w:line="300"/>
      </w:pPr>
      <w:sdt>
        <w:sdtPr>
          <w:alias w:val="ADMIN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ADMIN-01  </w:t>
      </w:r>
      <w:r>
        <w:rPr>
          <w:rFonts w:ascii="Calibri" w:cs="Calibri" w:eastAsia="Calibri" w:hAnsi="Calibri"/>
          <w:sz w:val="22"/>
          <w:szCs w:val="22"/>
        </w:rPr>
        <w:t xml:space="preserve">Verify the bell count matches actionable queues, not decorative unread rows.</w:t>
      </w:r>
    </w:p>
    <w:p>
      <w:pPr>
        <w:keepNext w:val="false"/>
        <w:spacing w:after="120" w:line="300"/>
      </w:pPr>
      <w:sdt>
        <w:sdtPr>
          <w:alias w:val="ADMIN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ADMIN-02  </w:t>
      </w:r>
      <w:r>
        <w:rPr>
          <w:rFonts w:ascii="Calibri" w:cs="Calibri" w:eastAsia="Calibri" w:hAnsi="Calibri"/>
          <w:sz w:val="22"/>
          <w:szCs w:val="22"/>
        </w:rPr>
        <w:t xml:space="preserve">Click each notification type and confirm it opens the exact record or filtered queue.</w:t>
      </w:r>
    </w:p>
    <w:p>
      <w:pPr>
        <w:keepNext w:val="false"/>
        <w:spacing w:after="120" w:line="300"/>
      </w:pPr>
      <w:sdt>
        <w:sdtPr>
          <w:alias w:val="ADMIN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ADMIN-03  </w:t>
      </w:r>
      <w:r>
        <w:rPr>
          <w:rFonts w:ascii="Calibri" w:cs="Calibri" w:eastAsia="Calibri" w:hAnsi="Calibri"/>
          <w:sz w:val="22"/>
          <w:szCs w:val="22"/>
        </w:rPr>
        <w:t xml:space="preserve">Confirm wait times are human-readable and exact enough to prioritize (for example, 2 days 4 hours), not a generic 'over 24 hours'.</w:t>
      </w:r>
    </w:p>
    <w:p>
      <w:pPr>
        <w:keepNext w:val="false"/>
        <w:spacing w:after="120" w:line="300"/>
      </w:pPr>
      <w:sdt>
        <w:sdtPr>
          <w:alias w:val="ADMIN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ADMIN-04  </w:t>
      </w:r>
      <w:r>
        <w:rPr>
          <w:rFonts w:ascii="Calibri" w:cs="Calibri" w:eastAsia="Calibri" w:hAnsi="Calibri"/>
          <w:sz w:val="22"/>
          <w:szCs w:val="22"/>
        </w:rPr>
        <w:t xml:space="preserve">Normal admins see user/profile verification, vehicles, support, guest questions, audit/security and read-only settings.</w:t>
      </w:r>
    </w:p>
    <w:p>
      <w:pPr>
        <w:keepNext w:val="false"/>
        <w:spacing w:after="120" w:line="300"/>
      </w:pPr>
      <w:sdt>
        <w:sdtPr>
          <w:alias w:val="ADMIN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ADMIN-05  </w:t>
      </w:r>
      <w:r>
        <w:rPr>
          <w:rFonts w:ascii="Calibri" w:cs="Calibri" w:eastAsia="Calibri" w:hAnsi="Calibri"/>
          <w:sz w:val="22"/>
          <w:szCs w:val="22"/>
        </w:rPr>
        <w:t xml:space="preserve">Only super-admins see payouts, refunds, security deposits, ledger, reconciliation, retention requests and editable settings.</w:t>
      </w:r>
    </w:p>
    <w:p>
      <w:pPr>
        <w:keepNext w:val="false"/>
        <w:spacing w:after="120" w:line="300"/>
      </w:pPr>
      <w:sdt>
        <w:sdtPr>
          <w:alias w:val="ADMIN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ADMIN-06  </w:t>
      </w:r>
      <w:r>
        <w:rPr>
          <w:rFonts w:ascii="Calibri" w:cs="Calibri" w:eastAsia="Calibri" w:hAnsi="Calibri"/>
          <w:sz w:val="22"/>
          <w:szCs w:val="22"/>
        </w:rPr>
        <w:t xml:space="preserve">Test authorization by entering the super-admin URL as a normal admin; hiding the menu is not proof.</w:t>
      </w:r>
    </w:p>
    <w:p>
      <w:pPr>
        <w:keepNext w:val="false"/>
        <w:spacing w:after="120" w:line="300"/>
      </w:pPr>
      <w:sdt>
        <w:sdtPr>
          <w:alias w:val="ADMIN-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ADMIN-07  </w:t>
      </w:r>
      <w:r>
        <w:rPr>
          <w:rFonts w:ascii="Calibri" w:cs="Calibri" w:eastAsia="Calibri" w:hAnsi="Calibri"/>
          <w:sz w:val="22"/>
          <w:szCs w:val="22"/>
        </w:rPr>
        <w:t xml:space="preserve">Review dashboard cards for duplicates, private finance data and non-actionable clutter; every card must have an owner and destination.</w:t>
      </w:r>
    </w:p>
    <w:p>
      <w:pPr>
        <w:pStyle w:val="Heading2"/>
      </w:pPr>
      <w:r>
        <w:t xml:space="preserve">5.3 Gmail shared-secret proof</w:t>
      </w:r>
    </w:p>
    <w:p>
      <w:pPr>
        <w:keepNext w:val="false"/>
        <w:spacing w:after="120" w:line="300"/>
      </w:pPr>
      <w:sdt>
        <w:sdtPr>
          <w:alias w:val="GMAIL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GMAIL-01  </w:t>
      </w:r>
      <w:r>
        <w:rPr>
          <w:rFonts w:ascii="Calibri" w:cs="Calibri" w:eastAsia="Calibri" w:hAnsi="Calibri"/>
          <w:sz w:val="22"/>
          <w:szCs w:val="22"/>
        </w:rPr>
        <w:t xml:space="preserve">Use the same GMAIL_WEBHOOK_SHARED_SECRET value in the local/server environment and the Apps Script SAFEDRIVE_WEBHOOK_SECRET property.</w:t>
      </w:r>
    </w:p>
    <w:p>
      <w:pPr>
        <w:keepNext w:val="false"/>
        <w:spacing w:after="120" w:line="300"/>
      </w:pPr>
      <w:sdt>
        <w:sdtPr>
          <w:alias w:val="GMAIL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GMAIL-02  </w:t>
      </w:r>
      <w:r>
        <w:rPr>
          <w:rFonts w:ascii="Calibri" w:cs="Calibri" w:eastAsia="Calibri" w:hAnsi="Calibri"/>
          <w:sz w:val="22"/>
          <w:szCs w:val="22"/>
        </w:rPr>
        <w:t xml:space="preserve">Keep both GMAIL_GUEST_INQUIRY_WEBHOOK_URL and GMAIL_RETURN_REMINDER_WEBHOOK_URL pointed to deployed /exec URLs, not the editor URL.</w:t>
      </w:r>
    </w:p>
    <w:p>
      <w:pPr>
        <w:keepNext w:val="false"/>
        <w:spacing w:after="120" w:line="300"/>
      </w:pPr>
      <w:sdt>
        <w:sdtPr>
          <w:alias w:val="GMAIL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GMAIL-03  </w:t>
      </w:r>
      <w:r>
        <w:rPr>
          <w:rFonts w:ascii="Calibri" w:cs="Calibri" w:eastAsia="Calibri" w:hAnsi="Calibri"/>
          <w:sz w:val="22"/>
          <w:szCs w:val="22"/>
        </w:rPr>
        <w:t xml:space="preserve">After editing Code.gs, deploy a new Apps Script version and repeat the delivery test.</w:t>
      </w:r>
    </w:p>
    <w:p>
      <w:pPr>
        <w:pStyle w:val="Heading1"/>
      </w:pPr>
      <w:r>
        <w:t xml:space="preserve">6. Vehicle, Agreement, Trip and Maintenance Workflows</w:t>
      </w:r>
    </w:p>
    <w:p>
      <w:pPr>
        <w:pStyle w:val="Heading2"/>
      </w:pPr>
      <w:r>
        <w:t xml:space="preserve">6.1 Vehicle approval and insurance</w:t>
      </w:r>
    </w:p>
    <w:p>
      <w:pPr>
        <w:keepNext w:val="false"/>
        <w:spacing w:after="120" w:line="300"/>
      </w:pPr>
      <w:sdt>
        <w:sdtPr>
          <w:alias w:val="VEH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VEH-01  </w:t>
      </w:r>
      <w:r>
        <w:rPr>
          <w:rFonts w:ascii="Calibri" w:cs="Calibri" w:eastAsia="Calibri" w:hAnsi="Calibri"/>
          <w:sz w:val="22"/>
          <w:szCs w:val="22"/>
        </w:rPr>
        <w:t xml:space="preserve">Create or edit a test listing and confirm critical changes return it to pending.</w:t>
      </w:r>
    </w:p>
    <w:p>
      <w:pPr>
        <w:keepNext w:val="false"/>
        <w:spacing w:after="120" w:line="300"/>
      </w:pPr>
      <w:sdt>
        <w:sdtPr>
          <w:alias w:val="VEH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VEH-02  </w:t>
      </w:r>
      <w:r>
        <w:rPr>
          <w:rFonts w:ascii="Calibri" w:cs="Calibri" w:eastAsia="Calibri" w:hAnsi="Calibri"/>
          <w:sz w:val="22"/>
          <w:szCs w:val="22"/>
        </w:rPr>
        <w:t xml:space="preserve">Admin reviews identity/ownership, registration, insurance, images, location, pricing, deposit and vehicle agreement before approval.</w:t>
      </w:r>
    </w:p>
    <w:p>
      <w:pPr>
        <w:keepNext w:val="false"/>
        <w:spacing w:after="120" w:line="300"/>
      </w:pPr>
      <w:sdt>
        <w:sdtPr>
          <w:alias w:val="VEH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VEH-03  </w:t>
      </w:r>
      <w:r>
        <w:rPr>
          <w:rFonts w:ascii="Calibri" w:cs="Calibri" w:eastAsia="Calibri" w:hAnsi="Calibri"/>
          <w:sz w:val="22"/>
          <w:szCs w:val="22"/>
        </w:rPr>
        <w:t xml:space="preserve">Display a warning that CTPL is primarily third-party/passenger bodily injury protection and is not proof of collision, theft, own-damage or peer-to-peer rental-use coverage.</w:t>
      </w:r>
    </w:p>
    <w:p>
      <w:pPr>
        <w:keepNext w:val="false"/>
        <w:spacing w:after="120" w:line="300"/>
      </w:pPr>
      <w:sdt>
        <w:sdtPr>
          <w:alias w:val="VEH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VEH-04  </w:t>
      </w:r>
      <w:r>
        <w:rPr>
          <w:rFonts w:ascii="Calibri" w:cs="Calibri" w:eastAsia="Calibri" w:hAnsi="Calibri"/>
          <w:sz w:val="22"/>
          <w:szCs w:val="22"/>
        </w:rPr>
        <w:t xml:space="preserve">Require insurer-issued documentation and written confirmation of rental/commercial use before public launch.</w:t>
      </w:r>
    </w:p>
    <w:p>
      <w:pPr>
        <w:pStyle w:val="Heading2"/>
      </w:pPr>
      <w:r>
        <w:t xml:space="preserve">6.2 Vehicle-specific agreement</w:t>
      </w:r>
    </w:p>
    <w:p>
      <w:pPr>
        <w:keepNext w:val="false"/>
        <w:spacing w:after="120" w:line="300"/>
      </w:pPr>
      <w:sdt>
        <w:sdtPr>
          <w:alias w:val="AGR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AGR-01  </w:t>
      </w:r>
      <w:r>
        <w:rPr>
          <w:rFonts w:ascii="Calibri" w:cs="Calibri" w:eastAsia="Calibri" w:hAnsi="Calibri"/>
          <w:sz w:val="22"/>
          <w:szCs w:val="22"/>
        </w:rPr>
        <w:t xml:space="preserve">Upload a lister agreement and create a numbered immutable version with path and SHA-256 hash.</w:t>
      </w:r>
    </w:p>
    <w:p>
      <w:pPr>
        <w:keepNext w:val="false"/>
        <w:spacing w:after="120" w:line="300"/>
      </w:pPr>
      <w:sdt>
        <w:sdtPr>
          <w:alias w:val="AGR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AGR-02  </w:t>
      </w:r>
      <w:r>
        <w:rPr>
          <w:rFonts w:ascii="Calibri" w:cs="Calibri" w:eastAsia="Calibri" w:hAnsi="Calibri"/>
          <w:sz w:val="22"/>
          <w:szCs w:val="22"/>
        </w:rPr>
        <w:t xml:space="preserve">Approve only one agreement version per vehicle.</w:t>
      </w:r>
    </w:p>
    <w:p>
      <w:pPr>
        <w:keepNext w:val="false"/>
        <w:spacing w:after="120" w:line="300"/>
      </w:pPr>
      <w:sdt>
        <w:sdtPr>
          <w:alias w:val="AGR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AGR-03  </w:t>
      </w:r>
      <w:r>
        <w:rPr>
          <w:rFonts w:ascii="Calibri" w:cs="Calibri" w:eastAsia="Calibri" w:hAnsi="Calibri"/>
          <w:sz w:val="22"/>
          <w:szCs w:val="22"/>
        </w:rPr>
        <w:t xml:space="preserve">Create a booking and verify the approved agreement version/path/hash are snapshotted.</w:t>
      </w:r>
    </w:p>
    <w:p>
      <w:pPr>
        <w:keepNext w:val="false"/>
        <w:spacing w:after="120" w:line="300"/>
      </w:pPr>
      <w:sdt>
        <w:sdtPr>
          <w:alias w:val="AGR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AGR-04  </w:t>
      </w:r>
      <w:r>
        <w:rPr>
          <w:rFonts w:ascii="Calibri" w:cs="Calibri" w:eastAsia="Calibri" w:hAnsi="Calibri"/>
          <w:sz w:val="22"/>
          <w:szCs w:val="22"/>
        </w:rPr>
        <w:t xml:space="preserve">Record renter acceptance with user identity and server timestamp before payment/confirmation continues.</w:t>
      </w:r>
    </w:p>
    <w:p>
      <w:pPr>
        <w:keepNext w:val="false"/>
        <w:spacing w:after="120" w:line="300"/>
      </w:pPr>
      <w:sdt>
        <w:sdtPr>
          <w:alias w:val="AGR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AGR-05  </w:t>
      </w:r>
      <w:r>
        <w:rPr>
          <w:rFonts w:ascii="Calibri" w:cs="Calibri" w:eastAsia="Calibri" w:hAnsi="Calibri"/>
          <w:sz w:val="22"/>
          <w:szCs w:val="22"/>
        </w:rPr>
        <w:t xml:space="preserve">Replace the lister agreement; confirm the vehicle returns to pending and old bookings still show their original snapshot.</w:t>
      </w:r>
    </w:p>
    <w:p>
      <w:pPr>
        <w:pStyle w:val="Heading2"/>
      </w:pPr>
      <w:r>
        <w:t xml:space="preserve">6.3 Maintenance and blackout dates</w:t>
      </w:r>
    </w:p>
    <w:p>
      <w:pPr>
        <w:keepNext w:val="false"/>
        <w:spacing w:after="120" w:line="300"/>
      </w:pPr>
      <w:sdt>
        <w:sdtPr>
          <w:alias w:val="MAINT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MAINT-01  </w:t>
      </w:r>
      <w:r>
        <w:rPr>
          <w:rFonts w:ascii="Calibri" w:cs="Calibri" w:eastAsia="Calibri" w:hAnsi="Calibri"/>
          <w:sz w:val="22"/>
          <w:szCs w:val="22"/>
        </w:rPr>
        <w:t xml:space="preserve">Lister blocks a date for maintenance or personal use.</w:t>
      </w:r>
    </w:p>
    <w:p>
      <w:pPr>
        <w:keepNext w:val="false"/>
        <w:spacing w:after="120" w:line="300"/>
      </w:pPr>
      <w:sdt>
        <w:sdtPr>
          <w:alias w:val="MAINT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MAINT-02  </w:t>
      </w:r>
      <w:r>
        <w:rPr>
          <w:rFonts w:ascii="Calibri" w:cs="Calibri" w:eastAsia="Calibri" w:hAnsi="Calibri"/>
          <w:sz w:val="22"/>
          <w:szCs w:val="22"/>
        </w:rPr>
        <w:t xml:space="preserve">Prevent a blackout that conflicts with an active booking.</w:t>
      </w:r>
    </w:p>
    <w:p>
      <w:pPr>
        <w:keepNext w:val="false"/>
        <w:spacing w:after="120" w:line="300"/>
      </w:pPr>
      <w:sdt>
        <w:sdtPr>
          <w:alias w:val="MAINT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MAINT-03  </w:t>
      </w:r>
      <w:r>
        <w:rPr>
          <w:rFonts w:ascii="Calibri" w:cs="Calibri" w:eastAsia="Calibri" w:hAnsi="Calibri"/>
          <w:sz w:val="22"/>
          <w:szCs w:val="22"/>
        </w:rPr>
        <w:t xml:space="preserve">Prevent a booking that overlaps a maintenance/blackout period.</w:t>
      </w:r>
    </w:p>
    <w:p>
      <w:pPr>
        <w:keepNext w:val="false"/>
        <w:spacing w:after="120" w:line="300"/>
      </w:pPr>
      <w:sdt>
        <w:sdtPr>
          <w:alias w:val="MAINT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MAINT-04  </w:t>
      </w:r>
      <w:r>
        <w:rPr>
          <w:rFonts w:ascii="Calibri" w:cs="Calibri" w:eastAsia="Calibri" w:hAnsi="Calibri"/>
          <w:sz w:val="22"/>
          <w:szCs w:val="22"/>
        </w:rPr>
        <w:t xml:space="preserve">Audit who created, changed or removed the block.</w:t>
      </w:r>
    </w:p>
    <w:p>
      <w:pPr>
        <w:pStyle w:val="Heading2"/>
      </w:pPr>
      <w:r>
        <w:t xml:space="preserve">6.4 Pre/post-trip condition reports</w:t>
      </w:r>
    </w:p>
    <w:p>
      <w:pPr>
        <w:keepNext w:val="false"/>
        <w:spacing w:after="120" w:line="300"/>
      </w:pPr>
      <w:sdt>
        <w:sdtPr>
          <w:alias w:val="TRIP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TRIP-01  </w:t>
      </w:r>
      <w:r>
        <w:rPr>
          <w:rFonts w:ascii="Calibri" w:cs="Calibri" w:eastAsia="Calibri" w:hAnsi="Calibri"/>
          <w:sz w:val="22"/>
          <w:szCs w:val="22"/>
        </w:rPr>
        <w:t xml:space="preserve">Renter and lister independently submit pickup reports; one party cannot overwrite the other's report.</w:t>
      </w:r>
    </w:p>
    <w:p>
      <w:pPr>
        <w:keepNext w:val="false"/>
        <w:spacing w:after="120" w:line="300"/>
      </w:pPr>
      <w:sdt>
        <w:sdtPr>
          <w:alias w:val="TRIP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TRIP-02  </w:t>
      </w:r>
      <w:r>
        <w:rPr>
          <w:rFonts w:ascii="Calibri" w:cs="Calibri" w:eastAsia="Calibri" w:hAnsi="Calibri"/>
          <w:sz w:val="22"/>
          <w:szCs w:val="22"/>
        </w:rPr>
        <w:t xml:space="preserve">Each report records condition answers, notes, photo paths and a server timestamp.</w:t>
      </w:r>
    </w:p>
    <w:p>
      <w:pPr>
        <w:keepNext w:val="false"/>
        <w:spacing w:after="120" w:line="300"/>
      </w:pPr>
      <w:sdt>
        <w:sdtPr>
          <w:alias w:val="TRIP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TRIP-03  </w:t>
      </w:r>
      <w:r>
        <w:rPr>
          <w:rFonts w:ascii="Calibri" w:cs="Calibri" w:eastAsia="Calibri" w:hAnsi="Calibri"/>
          <w:sz w:val="22"/>
          <w:szCs w:val="22"/>
        </w:rPr>
        <w:t xml:space="preserve">Optional location means browser-reported arrival latitude, longitude, accuracy and capture time; it is evidence context, not guaranteed proof of identity or fault.</w:t>
      </w:r>
    </w:p>
    <w:p>
      <w:pPr>
        <w:keepNext w:val="false"/>
        <w:spacing w:after="120" w:line="300"/>
      </w:pPr>
      <w:sdt>
        <w:sdtPr>
          <w:alias w:val="TRIP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TRIP-04  </w:t>
      </w:r>
      <w:r>
        <w:rPr>
          <w:rFonts w:ascii="Calibri" w:cs="Calibri" w:eastAsia="Calibri" w:hAnsi="Calibri"/>
          <w:sz w:val="22"/>
          <w:szCs w:val="22"/>
        </w:rPr>
        <w:t xml:space="preserve">Do not require location when consent, device capability or accuracy is absent; preserve a reason/status instead.</w:t>
      </w:r>
    </w:p>
    <w:p>
      <w:pPr>
        <w:keepNext w:val="false"/>
        <w:spacing w:after="120" w:line="300"/>
      </w:pPr>
      <w:sdt>
        <w:sdtPr>
          <w:alias w:val="TRIP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TRIP-05  </w:t>
      </w:r>
      <w:r>
        <w:rPr>
          <w:rFonts w:ascii="Calibri" w:cs="Calibri" w:eastAsia="Calibri" w:hAnsi="Calibri"/>
          <w:sz w:val="22"/>
          <w:szCs w:val="22"/>
        </w:rPr>
        <w:t xml:space="preserve">Repeat independent return reports and test disagreement/no-show escalation.</w:t>
      </w:r>
    </w:p>
    <w:p>
      <w:pPr>
        <w:keepNext w:val="false"/>
        <w:spacing w:after="120" w:line="300"/>
      </w:pPr>
      <w:sdt>
        <w:sdtPr>
          <w:alias w:val="TRIP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TRIP-06  </w:t>
      </w:r>
      <w:r>
        <w:rPr>
          <w:rFonts w:ascii="Calibri" w:cs="Calibri" w:eastAsia="Calibri" w:hAnsi="Calibri"/>
          <w:sz w:val="22"/>
          <w:szCs w:val="22"/>
        </w:rPr>
        <w:t xml:space="preserve">Keep trip photos private and expose them only through authorized signed URLs.</w:t>
      </w:r>
    </w:p>
    <w:p>
      <w:pPr>
        <w:pStyle w:val="Heading1"/>
      </w:pPr>
      <w:r>
        <w:t xml:space="preserve">7. Security Deposit: Separate Refundable Deposit (Option B)</w:t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8EE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Chosen design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renter pays a separate refundable deposit. SafeDrive records it as a liability, not rental income. Release, claim and refund are separate from the lister payout. A future authorization/hold approach should only replace this after PayMongo confirms supported payment methods, hold duration and capture/refund behavior for the full rental period.</w:t>
            </w:r>
          </w:p>
        </w:tc>
      </w:tr>
    </w:tbl>
    <w:p>
      <w:pPr>
        <w:keepNext w:val="false"/>
        <w:spacing w:after="120" w:line="300"/>
      </w:pPr>
      <w:sdt>
        <w:sdtPr>
          <w:alias w:val="DEP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DEP-01  </w:t>
      </w:r>
      <w:r>
        <w:rPr>
          <w:rFonts w:ascii="Calibri" w:cs="Calibri" w:eastAsia="Calibri" w:hAnsi="Calibri"/>
          <w:sz w:val="22"/>
          <w:szCs w:val="22"/>
        </w:rPr>
        <w:t xml:space="preserve">Show the refundable deposit as a separate line before checkout acceptance.</w:t>
      </w:r>
    </w:p>
    <w:p>
      <w:pPr>
        <w:keepNext w:val="false"/>
        <w:spacing w:after="120" w:line="300"/>
      </w:pPr>
      <w:sdt>
        <w:sdtPr>
          <w:alias w:val="DEP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DEP-02  </w:t>
      </w:r>
      <w:r>
        <w:rPr>
          <w:rFonts w:ascii="Calibri" w:cs="Calibri" w:eastAsia="Calibri" w:hAnsi="Calibri"/>
          <w:sz w:val="22"/>
          <w:szCs w:val="22"/>
        </w:rPr>
        <w:t xml:space="preserve">Create only one deposit record per booking and one open claim per deposit.</w:t>
      </w:r>
    </w:p>
    <w:p>
      <w:pPr>
        <w:keepNext w:val="false"/>
        <w:spacing w:after="120" w:line="300"/>
      </w:pPr>
      <w:sdt>
        <w:sdtPr>
          <w:alias w:val="DEP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DEP-03  </w:t>
      </w:r>
      <w:r>
        <w:rPr>
          <w:rFonts w:ascii="Calibri" w:cs="Calibri" w:eastAsia="Calibri" w:hAnsi="Calibri"/>
          <w:sz w:val="22"/>
          <w:szCs w:val="22"/>
        </w:rPr>
        <w:t xml:space="preserve">Post the received deposit to a liability account; do not count it as commission or revenue.</w:t>
      </w:r>
    </w:p>
    <w:p>
      <w:pPr>
        <w:keepNext w:val="false"/>
        <w:spacing w:after="120" w:line="300"/>
      </w:pPr>
      <w:sdt>
        <w:sdtPr>
          <w:alias w:val="DEP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DEP-04  </w:t>
      </w:r>
      <w:r>
        <w:rPr>
          <w:rFonts w:ascii="Calibri" w:cs="Calibri" w:eastAsia="Calibri" w:hAnsi="Calibri"/>
          <w:sz w:val="22"/>
          <w:szCs w:val="22"/>
        </w:rPr>
        <w:t xml:space="preserve">At return, wait for required condition reports and any claim window before release.</w:t>
      </w:r>
    </w:p>
    <w:p>
      <w:pPr>
        <w:keepNext w:val="false"/>
        <w:spacing w:after="120" w:line="300"/>
      </w:pPr>
      <w:sdt>
        <w:sdtPr>
          <w:alias w:val="DEP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DEP-05  </w:t>
      </w:r>
      <w:r>
        <w:rPr>
          <w:rFonts w:ascii="Calibri" w:cs="Calibri" w:eastAsia="Calibri" w:hAnsi="Calibri"/>
          <w:sz w:val="22"/>
          <w:szCs w:val="22"/>
        </w:rPr>
        <w:t xml:space="preserve">Lister submits a claim with amount, reason and evidence.</w:t>
      </w:r>
    </w:p>
    <w:p>
      <w:pPr>
        <w:keepNext w:val="false"/>
        <w:spacing w:after="120" w:line="300"/>
      </w:pPr>
      <w:sdt>
        <w:sdtPr>
          <w:alias w:val="DEP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DEP-06  </w:t>
      </w:r>
      <w:r>
        <w:rPr>
          <w:rFonts w:ascii="Calibri" w:cs="Calibri" w:eastAsia="Calibri" w:hAnsi="Calibri"/>
          <w:sz w:val="22"/>
          <w:szCs w:val="22"/>
        </w:rPr>
        <w:t xml:space="preserve">Renter can respond with evidence.</w:t>
      </w:r>
    </w:p>
    <w:p>
      <w:pPr>
        <w:keepNext w:val="false"/>
        <w:spacing w:after="120" w:line="300"/>
      </w:pPr>
      <w:sdt>
        <w:sdtPr>
          <w:alias w:val="DEP-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DEP-07  </w:t>
      </w:r>
      <w:r>
        <w:rPr>
          <w:rFonts w:ascii="Calibri" w:cs="Calibri" w:eastAsia="Calibri" w:hAnsi="Calibri"/>
          <w:sz w:val="22"/>
          <w:szCs w:val="22"/>
        </w:rPr>
        <w:t xml:space="preserve">Only super-admin decides approve, partial approve or reject after checking agreement and evidence.</w:t>
      </w:r>
    </w:p>
    <w:p>
      <w:pPr>
        <w:keepNext w:val="false"/>
        <w:spacing w:after="120" w:line="300"/>
      </w:pPr>
      <w:sdt>
        <w:sdtPr>
          <w:alias w:val="DEP-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DEP-08  </w:t>
      </w:r>
      <w:r>
        <w:rPr>
          <w:rFonts w:ascii="Calibri" w:cs="Calibri" w:eastAsia="Calibri" w:hAnsi="Calibri"/>
          <w:sz w:val="22"/>
          <w:szCs w:val="22"/>
        </w:rPr>
        <w:t xml:space="preserve">Approved claim amount enters the lister payable exactly once; the remainder enters refund processing.</w:t>
      </w:r>
    </w:p>
    <w:p>
      <w:pPr>
        <w:keepNext w:val="false"/>
        <w:spacing w:after="120" w:line="300"/>
      </w:pPr>
      <w:sdt>
        <w:sdtPr>
          <w:alias w:val="DEP-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DEP-09  </w:t>
      </w:r>
      <w:r>
        <w:rPr>
          <w:rFonts w:ascii="Calibri" w:cs="Calibri" w:eastAsia="Calibri" w:hAnsi="Calibri"/>
          <w:sz w:val="22"/>
          <w:szCs w:val="22"/>
        </w:rPr>
        <w:t xml:space="preserve">Refund failures remain visible in refund/reconciliation review and do not silently mark the deposit released.</w:t>
      </w:r>
    </w:p>
    <w:p>
      <w:pPr>
        <w:keepNext w:val="false"/>
        <w:spacing w:after="120" w:line="300"/>
      </w:pPr>
      <w:sdt>
        <w:sdtPr>
          <w:alias w:val="DEP-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DEP-10  </w:t>
      </w:r>
      <w:r>
        <w:rPr>
          <w:rFonts w:ascii="Calibri" w:cs="Calibri" w:eastAsia="Calibri" w:hAnsi="Calibri"/>
          <w:sz w:val="22"/>
          <w:szCs w:val="22"/>
        </w:rPr>
        <w:t xml:space="preserve">Every action creates audit, notification and balanced-ledger evidence.</w:t>
      </w:r>
    </w:p>
    <w:p>
      <w:pPr>
        <w:pStyle w:val="Heading2"/>
      </w:pPr>
      <w:r>
        <w:t xml:space="preserve">Controlled PHP 100 test</w:t>
      </w:r>
    </w:p>
    <w:p>
      <w:pPr>
        <w:keepNext w:val="false"/>
        <w:spacing w:after="120" w:line="300"/>
      </w:pPr>
      <w:sdt>
        <w:sdtPr>
          <w:alias w:val="DEP-T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DEP-T01  </w:t>
      </w:r>
      <w:r>
        <w:rPr>
          <w:rFonts w:ascii="Calibri" w:cs="Calibri" w:eastAsia="Calibri" w:hAnsi="Calibri"/>
          <w:sz w:val="22"/>
          <w:szCs w:val="22"/>
        </w:rPr>
        <w:t xml:space="preserve">Use PHP 100 only in test/local demonstration unless PayMongo confirms a permitted live test.</w:t>
      </w:r>
    </w:p>
    <w:p>
      <w:pPr>
        <w:keepNext w:val="false"/>
        <w:spacing w:after="120" w:line="300"/>
      </w:pPr>
      <w:sdt>
        <w:sdtPr>
          <w:alias w:val="DEP-T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DEP-T02  </w:t>
      </w:r>
      <w:r>
        <w:rPr>
          <w:rFonts w:ascii="Calibri" w:cs="Calibri" w:eastAsia="Calibri" w:hAnsi="Calibri"/>
          <w:sz w:val="22"/>
          <w:szCs w:val="22"/>
        </w:rPr>
        <w:t xml:space="preserve">Demonstrate no-claim full release.</w:t>
      </w:r>
    </w:p>
    <w:p>
      <w:pPr>
        <w:keepNext w:val="false"/>
        <w:spacing w:after="120" w:line="300"/>
      </w:pPr>
      <w:sdt>
        <w:sdtPr>
          <w:alias w:val="DEP-T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DEP-T03  </w:t>
      </w:r>
      <w:r>
        <w:rPr>
          <w:rFonts w:ascii="Calibri" w:cs="Calibri" w:eastAsia="Calibri" w:hAnsi="Calibri"/>
          <w:sz w:val="22"/>
          <w:szCs w:val="22"/>
        </w:rPr>
        <w:t xml:space="preserve">Demonstrate partial claim and remaining refund.</w:t>
      </w:r>
    </w:p>
    <w:p>
      <w:pPr>
        <w:keepNext w:val="false"/>
        <w:spacing w:after="120" w:line="300"/>
      </w:pPr>
      <w:sdt>
        <w:sdtPr>
          <w:alias w:val="DEP-T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DEP-T04  </w:t>
      </w:r>
      <w:r>
        <w:rPr>
          <w:rFonts w:ascii="Calibri" w:cs="Calibri" w:eastAsia="Calibri" w:hAnsi="Calibri"/>
          <w:sz w:val="22"/>
          <w:szCs w:val="22"/>
        </w:rPr>
        <w:t xml:space="preserve">Demonstrate full approved claim and zero remainder without duplicate posting.</w:t>
      </w:r>
    </w:p>
    <w:p>
      <w:pPr>
        <w:keepNext w:val="false"/>
        <w:spacing w:after="120" w:line="300"/>
      </w:pPr>
      <w:sdt>
        <w:sdtPr>
          <w:alias w:val="DEP-T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DEP-T05  </w:t>
      </w:r>
      <w:r>
        <w:rPr>
          <w:rFonts w:ascii="Calibri" w:cs="Calibri" w:eastAsia="Calibri" w:hAnsi="Calibri"/>
          <w:sz w:val="22"/>
          <w:szCs w:val="22"/>
        </w:rPr>
        <w:t xml:space="preserve">Label test-mode/local records so the panel cannot mistake them for bank settlement.</w:t>
      </w:r>
    </w:p>
    <w:p>
      <w:pPr>
        <w:pStyle w:val="Heading1"/>
      </w:pPr>
      <w:r>
        <w:t xml:space="preserve">8. Ledger and Reconciliation</w:t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2F0D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Why SafeDrive needs it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Payments, deposits, refunds, provider fees, platform commission and amounts owed to listers are different events. An append-only, balanced ledger gives an auditable history and prevents a later edit from erasing what originally happened. It is an operational subledger, not automatically a BIR-certified book of accounts.</w:t>
            </w:r>
          </w:p>
        </w:tc>
      </w:tr>
    </w:tbl>
    <w:p>
      <w:pPr>
        <w:pStyle w:val="Heading2"/>
      </w:pPr>
      <w:r>
        <w:t xml:space="preserve">8.1 Ledger rules</w:t>
      </w:r>
    </w:p>
    <w:p>
      <w:pPr>
        <w:keepNext w:val="false"/>
        <w:spacing w:after="120" w:line="300"/>
      </w:pPr>
      <w:sdt>
        <w:sdtPr>
          <w:alias w:val="LED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LED-01  </w:t>
      </w:r>
      <w:r>
        <w:rPr>
          <w:rFonts w:ascii="Calibri" w:cs="Calibri" w:eastAsia="Calibri" w:hAnsi="Calibri"/>
          <w:sz w:val="22"/>
          <w:szCs w:val="22"/>
        </w:rPr>
        <w:t xml:space="preserve">Record ledger_activated_at and start fresh; do not invent historical entries.</w:t>
      </w:r>
    </w:p>
    <w:p>
      <w:pPr>
        <w:keepNext w:val="false"/>
        <w:spacing w:after="120" w:line="300"/>
      </w:pPr>
      <w:sdt>
        <w:sdtPr>
          <w:alias w:val="LED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LED-02  </w:t>
      </w:r>
      <w:r>
        <w:rPr>
          <w:rFonts w:ascii="Calibri" w:cs="Calibri" w:eastAsia="Calibri" w:hAnsi="Calibri"/>
          <w:sz w:val="22"/>
          <w:szCs w:val="22"/>
        </w:rPr>
        <w:t xml:space="preserve">Post every journal in centavos and require total debits to equal total credits.</w:t>
      </w:r>
    </w:p>
    <w:p>
      <w:pPr>
        <w:keepNext w:val="false"/>
        <w:spacing w:after="120" w:line="300"/>
      </w:pPr>
      <w:sdt>
        <w:sdtPr>
          <w:alias w:val="LED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LED-03  </w:t>
      </w:r>
      <w:r>
        <w:rPr>
          <w:rFonts w:ascii="Calibri" w:cs="Calibri" w:eastAsia="Calibri" w:hAnsi="Calibri"/>
          <w:sz w:val="22"/>
          <w:szCs w:val="22"/>
        </w:rPr>
        <w:t xml:space="preserve">Use a unique event_key so a retried webhook/action cannot post twice.</w:t>
      </w:r>
    </w:p>
    <w:p>
      <w:pPr>
        <w:keepNext w:val="false"/>
        <w:spacing w:after="120" w:line="300"/>
      </w:pPr>
      <w:sdt>
        <w:sdtPr>
          <w:alias w:val="LED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LED-04  </w:t>
      </w:r>
      <w:r>
        <w:rPr>
          <w:rFonts w:ascii="Calibri" w:cs="Calibri" w:eastAsia="Calibri" w:hAnsi="Calibri"/>
          <w:sz w:val="22"/>
          <w:szCs w:val="22"/>
        </w:rPr>
        <w:t xml:space="preserve">Never edit/delete a finalized journal. Correct with a reversing journal plus a replacement and reason.</w:t>
      </w:r>
    </w:p>
    <w:p>
      <w:pPr>
        <w:keepNext w:val="false"/>
        <w:spacing w:after="120" w:line="300"/>
      </w:pPr>
      <w:sdt>
        <w:sdtPr>
          <w:alias w:val="LED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LED-05  </w:t>
      </w:r>
      <w:r>
        <w:rPr>
          <w:rFonts w:ascii="Calibri" w:cs="Calibri" w:eastAsia="Calibri" w:hAnsi="Calibri"/>
          <w:sz w:val="22"/>
          <w:szCs w:val="22"/>
        </w:rPr>
        <w:t xml:space="preserve">Link booking, payment, deposit/refund/payout and provider references where applicable.</w:t>
      </w:r>
    </w:p>
    <w:p>
      <w:pPr>
        <w:keepNext w:val="false"/>
        <w:spacing w:after="120" w:line="300"/>
      </w:pPr>
      <w:sdt>
        <w:sdtPr>
          <w:alias w:val="LED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LED-06  </w:t>
      </w:r>
      <w:r>
        <w:rPr>
          <w:rFonts w:ascii="Calibri" w:cs="Calibri" w:eastAsia="Calibri" w:hAnsi="Calibri"/>
          <w:sz w:val="22"/>
          <w:szCs w:val="22"/>
        </w:rPr>
        <w:t xml:space="preserve">Restrict browser access and corrections to super-admin; keep database/RPC authorization too.</w:t>
      </w:r>
    </w:p>
    <w:p>
      <w:pPr>
        <w:keepNext w:val="false"/>
        <w:spacing w:after="120" w:line="300"/>
      </w:pPr>
      <w:sdt>
        <w:sdtPr>
          <w:alias w:val="LED-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LED-07  </w:t>
      </w:r>
      <w:r>
        <w:rPr>
          <w:rFonts w:ascii="Calibri" w:cs="Calibri" w:eastAsia="Calibri" w:hAnsi="Calibri"/>
          <w:sz w:val="22"/>
          <w:szCs w:val="22"/>
        </w:rPr>
        <w:t xml:space="preserve">Have a Philippine accountant approve the chart of accounts, commission timing, provider-fee treatment, tax/invoice mapping and monthly sign-off.</w:t>
      </w:r>
    </w:p>
    <w:p>
      <w:pPr>
        <w:pStyle w:val="Heading2"/>
      </w:pPr>
      <w:r>
        <w:t xml:space="preserve">8.2 Three-way reconciliation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Compare SafeDrive's ledger and operational records, PayMongo reports/API data, and the receiving bank/e-wallet statement. PayMongo's official disbursement guidance treats these as separate evidence sources; no single dashboard should be trusted alone.</w:t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3150"/>
        <w:gridCol w:w="6210"/>
      </w:tblGrid>
      <w:tr>
        <w:trPr>
          <w:cantSplit/>
          <w:tblHeader/>
        </w:trPr>
        <w:tc>
          <w:tcPr>
            <w:tcW w:type="dxa" w:w="315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Mismatch</w:t>
            </w:r>
          </w:p>
        </w:tc>
        <w:tc>
          <w:tcPr>
            <w:tcW w:type="dxa" w:w="621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Safe action before closing</w:t>
            </w:r>
          </w:p>
        </w:tc>
      </w:tr>
      <w:tr>
        <w:trPr>
          <w:cantSplit/>
        </w:trPr>
        <w:tc>
          <w:tcPr>
            <w:tcW w:type="dxa" w:w="31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PayMongo payment exists; SafeDrive missing</w:t>
            </w:r>
          </w:p>
        </w:tc>
        <w:tc>
          <w:tcPr>
            <w:tcW w:type="dxa" w:w="621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Freeze transition; verify signed event/provider ID; import only through an audited idempotent repair</w:t>
            </w:r>
          </w:p>
        </w:tc>
      </w:tr>
      <w:tr>
        <w:trPr>
          <w:cantSplit/>
        </w:trPr>
        <w:tc>
          <w:tcPr>
            <w:tcW w:type="dxa" w:w="31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SafeDrive says completed; PayMongo does not</w:t>
            </w:r>
          </w:p>
        </w:tc>
        <w:tc>
          <w:tcPr>
            <w:tcW w:type="dxa" w:w="621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Hold lister release; reopen investigation; never manufacture provider success</w:t>
            </w:r>
          </w:p>
        </w:tc>
      </w:tr>
      <w:tr>
        <w:trPr>
          <w:cantSplit/>
        </w:trPr>
        <w:tc>
          <w:tcPr>
            <w:tcW w:type="dxa" w:w="31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Duplicate provider transaction ID</w:t>
            </w:r>
          </w:p>
        </w:tc>
        <w:tc>
          <w:tcPr>
            <w:tcW w:type="dxa" w:w="621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Freeze affected rows; identify canonical event; reverse/correct ledger—do not delete evidence</w:t>
            </w:r>
          </w:p>
        </w:tc>
      </w:tr>
      <w:tr>
        <w:trPr>
          <w:cantSplit/>
        </w:trPr>
        <w:tc>
          <w:tcPr>
            <w:tcW w:type="dxa" w:w="31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Incorrect amount</w:t>
            </w:r>
          </w:p>
        </w:tc>
        <w:tc>
          <w:tcPr>
            <w:tcW w:type="dxa" w:w="621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Hold payout/refund; recalculate server-side; record correction and customer remedy</w:t>
            </w:r>
          </w:p>
        </w:tc>
      </w:tr>
      <w:tr>
        <w:trPr>
          <w:cantSplit/>
        </w:trPr>
        <w:tc>
          <w:tcPr>
            <w:tcW w:type="dxa" w:w="31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Pending disbursement too long</w:t>
            </w:r>
          </w:p>
        </w:tc>
        <w:tc>
          <w:tcPr>
            <w:tcW w:type="dxa" w:w="621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 channel window and provider status; contact PayMongo/recipient; keep payable open</w:t>
            </w:r>
          </w:p>
        </w:tc>
      </w:tr>
      <w:tr>
        <w:trPr>
          <w:cantSplit/>
        </w:trPr>
        <w:tc>
          <w:tcPr>
            <w:tcW w:type="dxa" w:w="31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Failed/returned disbursement</w:t>
            </w:r>
          </w:p>
        </w:tc>
        <w:tc>
          <w:tcPr>
            <w:tcW w:type="dxa" w:w="621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not retry blindly; verify recipient details/reason; create one controlled retry with new provider reference</w:t>
            </w:r>
          </w:p>
        </w:tc>
      </w:tr>
      <w:tr>
        <w:trPr>
          <w:cantSplit/>
        </w:trPr>
        <w:tc>
          <w:tcPr>
            <w:tcW w:type="dxa" w:w="31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Refund local but unconfirmed</w:t>
            </w:r>
          </w:p>
        </w:tc>
        <w:tc>
          <w:tcPr>
            <w:tcW w:type="dxa" w:w="621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Keep refund pending; query PayMongo; notify user; reconcile final provider event</w:t>
            </w:r>
          </w:p>
        </w:tc>
      </w:tr>
      <w:tr>
        <w:trPr>
          <w:cantSplit/>
        </w:trPr>
        <w:tc>
          <w:tcPr>
            <w:tcW w:type="dxa" w:w="31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Deposit counted as income</w:t>
            </w:r>
          </w:p>
        </w:tc>
        <w:tc>
          <w:tcPr>
            <w:tcW w:type="dxa" w:w="621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Reverse misclassification; restore deposit liability; document cause</w:t>
            </w:r>
          </w:p>
        </w:tc>
      </w:tr>
      <w:tr>
        <w:trPr>
          <w:cantSplit/>
        </w:trPr>
        <w:tc>
          <w:tcPr>
            <w:tcW w:type="dxa" w:w="31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Ledger does not balance</w:t>
            </w:r>
          </w:p>
        </w:tc>
        <w:tc>
          <w:tcPr>
            <w:tcW w:type="dxa" w:w="621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Block close and money release; diagnose posting; use correction journal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 w:val="false"/>
        <w:spacing w:after="120" w:line="300"/>
      </w:pPr>
      <w:sdt>
        <w:sdtPr>
          <w:alias w:val="REC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REC-01  </w:t>
      </w:r>
      <w:r>
        <w:rPr>
          <w:rFonts w:ascii="Calibri" w:cs="Calibri" w:eastAsia="Calibri" w:hAnsi="Calibri"/>
          <w:sz w:val="22"/>
          <w:szCs w:val="22"/>
        </w:rPr>
        <w:t xml:space="preserve">Run npm run test:reconciliation and save the result.</w:t>
      </w:r>
    </w:p>
    <w:p>
      <w:pPr>
        <w:keepNext w:val="false"/>
        <w:spacing w:after="120" w:line="300"/>
      </w:pPr>
      <w:sdt>
        <w:sdtPr>
          <w:alias w:val="REC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REC-02  </w:t>
      </w:r>
      <w:r>
        <w:rPr>
          <w:rFonts w:ascii="Calibri" w:cs="Calibri" w:eastAsia="Calibri" w:hAnsi="Calibri"/>
          <w:sz w:val="22"/>
          <w:szCs w:val="22"/>
        </w:rPr>
        <w:t xml:space="preserve">Run a reconciliation against controlled test data and review every finding.</w:t>
      </w:r>
    </w:p>
    <w:p>
      <w:pPr>
        <w:keepNext w:val="false"/>
        <w:spacing w:after="120" w:line="300"/>
      </w:pPr>
      <w:sdt>
        <w:sdtPr>
          <w:alias w:val="REC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REC-03  </w:t>
      </w:r>
      <w:r>
        <w:rPr>
          <w:rFonts w:ascii="Calibri" w:cs="Calibri" w:eastAsia="Calibri" w:hAnsi="Calibri"/>
          <w:sz w:val="22"/>
          <w:szCs w:val="22"/>
        </w:rPr>
        <w:t xml:space="preserve">Export PayMongo disbursement/transaction data and retain the raw file unchanged.</w:t>
      </w:r>
    </w:p>
    <w:p>
      <w:pPr>
        <w:keepNext w:val="false"/>
        <w:spacing w:after="120" w:line="300"/>
      </w:pPr>
      <w:sdt>
        <w:sdtPr>
          <w:alias w:val="REC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REC-04  </w:t>
      </w:r>
      <w:r>
        <w:rPr>
          <w:rFonts w:ascii="Calibri" w:cs="Calibri" w:eastAsia="Calibri" w:hAnsi="Calibri"/>
          <w:sz w:val="22"/>
          <w:szCs w:val="22"/>
        </w:rPr>
        <w:t xml:space="preserve">Match provider reference, destination account and amount to SafeDrive and recipient evidence.</w:t>
      </w:r>
    </w:p>
    <w:p>
      <w:pPr>
        <w:keepNext w:val="false"/>
        <w:spacing w:after="120" w:line="300"/>
      </w:pPr>
      <w:sdt>
        <w:sdtPr>
          <w:alias w:val="REC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REC-05  </w:t>
      </w:r>
      <w:r>
        <w:rPr>
          <w:rFonts w:ascii="Calibri" w:cs="Calibri" w:eastAsia="Calibri" w:hAnsi="Calibri"/>
          <w:sz w:val="22"/>
          <w:szCs w:val="22"/>
        </w:rPr>
        <w:t xml:space="preserve">Separate provider fees from transferred principal.</w:t>
      </w:r>
    </w:p>
    <w:p>
      <w:pPr>
        <w:keepNext w:val="false"/>
        <w:spacing w:after="120" w:line="300"/>
      </w:pPr>
      <w:sdt>
        <w:sdtPr>
          <w:alias w:val="REC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REC-06  </w:t>
      </w:r>
      <w:r>
        <w:rPr>
          <w:rFonts w:ascii="Calibri" w:cs="Calibri" w:eastAsia="Calibri" w:hAnsi="Calibri"/>
          <w:sz w:val="22"/>
          <w:szCs w:val="22"/>
        </w:rPr>
        <w:t xml:space="preserve">Run daily operational review while testing and a signed month-end close before real operation.</w:t>
      </w:r>
    </w:p>
    <w:p>
      <w:pPr>
        <w:keepNext w:val="false"/>
        <w:spacing w:after="120" w:line="300"/>
      </w:pPr>
      <w:sdt>
        <w:sdtPr>
          <w:alias w:val="REC-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REC-07  </w:t>
      </w:r>
      <w:r>
        <w:rPr>
          <w:rFonts w:ascii="Calibri" w:cs="Calibri" w:eastAsia="Calibri" w:hAnsi="Calibri"/>
          <w:sz w:val="22"/>
          <w:szCs w:val="22"/>
        </w:rPr>
        <w:t xml:space="preserve">Record reviewer, resolution, timestamp and evidence for every reconciled mismatch.</w:t>
      </w:r>
    </w:p>
    <w:p>
      <w:pPr>
        <w:pStyle w:val="Heading1"/>
      </w:pPr>
      <w:r>
        <w:t xml:space="preserve">9. PayMongo Checkout, Webhooks, Wallet and Simulation</w:t>
      </w:r>
    </w:p>
    <w:p>
      <w:pPr>
        <w:pStyle w:val="Heading2"/>
      </w:pPr>
      <w:r>
        <w:t xml:space="preserve">9.1 Terminology that prevents mistakes</w:t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2300"/>
        <w:gridCol w:w="7060"/>
      </w:tblGrid>
      <w:tr>
        <w:trPr>
          <w:cantSplit/>
          <w:tblHeader/>
        </w:trPr>
        <w:tc>
          <w:tcPr>
            <w:tcW w:type="dxa" w:w="230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Term</w:t>
            </w:r>
          </w:p>
        </w:tc>
        <w:tc>
          <w:tcPr>
            <w:tcW w:type="dxa" w:w="706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Use in SafeDrive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Hosted checkout/payment</w:t>
            </w:r>
          </w:p>
        </w:tc>
        <w:tc>
          <w:tcPr>
            <w:tcW w:type="dxa" w:w="70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Renter pays through PayMongo; signed provider events—not the success-page redirect—authorize completion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Refund</w:t>
            </w:r>
          </w:p>
        </w:tc>
        <w:tc>
          <w:tcPr>
            <w:tcW w:type="dxa" w:w="706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 of a paid amount through the provider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Disbursement / transfer</w:t>
            </w:r>
          </w:p>
        </w:tc>
        <w:tc>
          <w:tcPr>
            <w:tcW w:type="dxa" w:w="70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Money sent from SafeDrive's wallet to a lister/recipient</w:t>
            </w:r>
          </w:p>
        </w:tc>
      </w:tr>
      <w:tr>
        <w:trPr>
          <w:cantSplit/>
        </w:trPr>
        <w:tc>
          <w:tcPr>
            <w:tcW w:type="dxa" w:w="23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PayMongo payout</w:t>
            </w:r>
          </w:p>
        </w:tc>
        <w:tc>
          <w:tcPr>
            <w:tcW w:type="dxa" w:w="706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Provider settlement to the merchant's nominated own bank account; do not use this term for lister disbursement unless PayMongo confirms it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Local simulator</w:t>
            </w:r>
          </w:p>
        </w:tc>
        <w:tc>
          <w:tcPr>
            <w:tcW w:type="dxa" w:w="70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SafeDrive-only test record; never calls PayMongo Money Movement and never moves wallet/bank funds</w:t>
            </w:r>
          </w:p>
        </w:tc>
      </w:tr>
    </w:tbl>
    <w:p>
      <w:pPr>
        <w:pStyle w:val="Heading2"/>
      </w:pPr>
      <w:r>
        <w:t xml:space="preserve">9.2 Checkout and webhook proof</w:t>
      </w:r>
    </w:p>
    <w:p>
      <w:pPr>
        <w:keepNext w:val="false"/>
        <w:spacing w:after="120" w:line="300"/>
      </w:pPr>
      <w:sdt>
        <w:sdtPr>
          <w:alias w:val="PAY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PAY-01  </w:t>
      </w:r>
      <w:r>
        <w:rPr>
          <w:rFonts w:ascii="Calibri" w:cs="Calibri" w:eastAsia="Calibri" w:hAnsi="Calibri"/>
          <w:sz w:val="22"/>
          <w:szCs w:val="22"/>
        </w:rPr>
        <w:t xml:space="preserve">Use only test public/secret keys during local/staging work.</w:t>
      </w:r>
    </w:p>
    <w:p>
      <w:pPr>
        <w:keepNext w:val="false"/>
        <w:spacing w:after="120" w:line="300"/>
      </w:pPr>
      <w:sdt>
        <w:sdtPr>
          <w:alias w:val="PAY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PAY-02  </w:t>
      </w:r>
      <w:r>
        <w:rPr>
          <w:rFonts w:ascii="Calibri" w:cs="Calibri" w:eastAsia="Calibri" w:hAnsi="Calibri"/>
          <w:sz w:val="22"/>
          <w:szCs w:val="22"/>
        </w:rPr>
        <w:t xml:space="preserve">Create a provider test checkout using server-calculated amount and a stable idempotency key.</w:t>
      </w:r>
    </w:p>
    <w:p>
      <w:pPr>
        <w:keepNext w:val="false"/>
        <w:spacing w:after="120" w:line="300"/>
      </w:pPr>
      <w:sdt>
        <w:sdtPr>
          <w:alias w:val="PAY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PAY-03  </w:t>
      </w:r>
      <w:r>
        <w:rPr>
          <w:rFonts w:ascii="Calibri" w:cs="Calibri" w:eastAsia="Calibri" w:hAnsi="Calibri"/>
          <w:sz w:val="22"/>
          <w:szCs w:val="22"/>
        </w:rPr>
        <w:t xml:space="preserve">Register a separate test webhook endpoint after public staging exists.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PayMongo endpoint screen</w:t>
      </w:r>
    </w:p>
    <w:p>
      <w:pPr>
        <w:keepNext w:val="false"/>
        <w:spacing w:after="120" w:line="300"/>
      </w:pPr>
      <w:sdt>
        <w:sdtPr>
          <w:alias w:val="PAY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PAY-04  </w:t>
      </w:r>
      <w:r>
        <w:rPr>
          <w:rFonts w:ascii="Calibri" w:cs="Calibri" w:eastAsia="Calibri" w:hAnsi="Calibri"/>
          <w:sz w:val="22"/>
          <w:szCs w:val="22"/>
        </w:rPr>
        <w:t xml:space="preserve">Verify Paymongo-Signature against the raw body and enforce the configured 300-second tolerance.</w:t>
      </w:r>
    </w:p>
    <w:p>
      <w:pPr>
        <w:keepNext w:val="false"/>
        <w:spacing w:after="120" w:line="300"/>
      </w:pPr>
      <w:sdt>
        <w:sdtPr>
          <w:alias w:val="PAY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PAY-05  </w:t>
      </w:r>
      <w:r>
        <w:rPr>
          <w:rFonts w:ascii="Calibri" w:cs="Calibri" w:eastAsia="Calibri" w:hAnsi="Calibri"/>
          <w:sz w:val="22"/>
          <w:szCs w:val="22"/>
        </w:rPr>
        <w:t xml:space="preserve">Return a 2xx response quickly and make processing idempotent; repeated delivery must not duplicate money or booking state.</w:t>
      </w:r>
    </w:p>
    <w:p>
      <w:pPr>
        <w:keepNext w:val="false"/>
        <w:spacing w:after="120" w:line="300"/>
      </w:pPr>
      <w:sdt>
        <w:sdtPr>
          <w:alias w:val="PAY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PAY-06  </w:t>
      </w:r>
      <w:r>
        <w:rPr>
          <w:rFonts w:ascii="Calibri" w:cs="Calibri" w:eastAsia="Calibri" w:hAnsi="Calibri"/>
          <w:sz w:val="22"/>
          <w:szCs w:val="22"/>
        </w:rPr>
        <w:t xml:space="preserve">Test an invalid signature, stale timestamp, wrong amount, wrong booking state and repeated event.</w:t>
      </w:r>
    </w:p>
    <w:p>
      <w:pPr>
        <w:keepNext w:val="false"/>
        <w:spacing w:after="120" w:line="300"/>
      </w:pPr>
      <w:sdt>
        <w:sdtPr>
          <w:alias w:val="PAY-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PAY-07  </w:t>
      </w:r>
      <w:r>
        <w:rPr>
          <w:rFonts w:ascii="Calibri" w:cs="Calibri" w:eastAsia="Calibri" w:hAnsi="Calibri"/>
          <w:sz w:val="22"/>
          <w:szCs w:val="22"/>
        </w:rPr>
        <w:t xml:space="preserve">Monitor webhook failures. PayMongo retries unsuccessful delivery and can disable persistently failing webhooks; missed events require reconciliation/recovery.</w:t>
      </w:r>
    </w:p>
    <w:p>
      <w:pPr>
        <w:pStyle w:val="Heading2"/>
      </w:pPr>
      <w:r>
        <w:t xml:space="preserve">9.3 Local wallet/disbursement simulation</w:t>
      </w:r>
    </w:p>
    <w:p>
      <w:pPr>
        <w:keepNext w:val="false"/>
        <w:spacing w:after="120" w:line="300"/>
      </w:pPr>
      <w:sdt>
        <w:sdtPr>
          <w:alias w:val="SIM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SIM-01  </w:t>
      </w:r>
      <w:r>
        <w:rPr>
          <w:rFonts w:ascii="Calibri" w:cs="Calibri" w:eastAsia="Calibri" w:hAnsi="Calibri"/>
          <w:sz w:val="22"/>
          <w:szCs w:val="22"/>
        </w:rPr>
        <w:t xml:space="preserve">Keep PAYMONGO_ENABLE_SANDBOX_PAYOUT_COMPLETION=true only on localhost with an sk_test_ key.</w:t>
      </w:r>
    </w:p>
    <w:p>
      <w:pPr>
        <w:keepNext w:val="false"/>
        <w:spacing w:after="120" w:line="300"/>
      </w:pPr>
      <w:sdt>
        <w:sdtPr>
          <w:alias w:val="SIM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SIM-02  </w:t>
      </w:r>
      <w:r>
        <w:rPr>
          <w:rFonts w:ascii="Calibri" w:cs="Calibri" w:eastAsia="Calibri" w:hAnsi="Calibri"/>
          <w:sz w:val="22"/>
          <w:szCs w:val="22"/>
        </w:rPr>
        <w:t xml:space="preserve">Use a completed test booking with valid lister payout details, both return reports, terminal deposit and no dispute/reconciliation hold.</w:t>
      </w:r>
    </w:p>
    <w:p>
      <w:pPr>
        <w:keepNext w:val="false"/>
        <w:spacing w:after="120" w:line="300"/>
      </w:pPr>
      <w:sdt>
        <w:sdtPr>
          <w:alias w:val="SIM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SIM-03  </w:t>
      </w:r>
      <w:r>
        <w:rPr>
          <w:rFonts w:ascii="Calibri" w:cs="Calibri" w:eastAsia="Calibri" w:hAnsi="Calibri"/>
          <w:sz w:val="22"/>
          <w:szCs w:val="22"/>
        </w:rPr>
        <w:t xml:space="preserve">Run payout from super-admin and confirm one sandbox_payout_* record.</w:t>
      </w:r>
    </w:p>
    <w:p>
      <w:pPr>
        <w:keepNext w:val="false"/>
        <w:spacing w:after="120" w:line="300"/>
      </w:pPr>
      <w:sdt>
        <w:sdtPr>
          <w:alias w:val="SIM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SIM-04  </w:t>
      </w:r>
      <w:r>
        <w:rPr>
          <w:rFonts w:ascii="Calibri" w:cs="Calibri" w:eastAsia="Calibri" w:hAnsi="Calibri"/>
          <w:sz w:val="22"/>
          <w:szCs w:val="22"/>
        </w:rPr>
        <w:t xml:space="preserve">Confirm one audit entry, one notification and a balanced payout journal.</w:t>
      </w:r>
    </w:p>
    <w:p>
      <w:pPr>
        <w:keepNext w:val="false"/>
        <w:spacing w:after="120" w:line="300"/>
      </w:pPr>
      <w:sdt>
        <w:sdtPr>
          <w:alias w:val="SIM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SIM-05  </w:t>
      </w:r>
      <w:r>
        <w:rPr>
          <w:rFonts w:ascii="Calibri" w:cs="Calibri" w:eastAsia="Calibri" w:hAnsi="Calibri"/>
          <w:sz w:val="22"/>
          <w:szCs w:val="22"/>
        </w:rPr>
        <w:t xml:space="preserve">Retry the same action and confirm no duplicate payout or journal.</w:t>
      </w:r>
    </w:p>
    <w:p>
      <w:pPr>
        <w:keepNext w:val="false"/>
        <w:spacing w:after="120" w:line="300"/>
      </w:pPr>
      <w:sdt>
        <w:sdtPr>
          <w:alias w:val="SIM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SIM-06  </w:t>
      </w:r>
      <w:r>
        <w:rPr>
          <w:rFonts w:ascii="Calibri" w:cs="Calibri" w:eastAsia="Calibri" w:hAnsi="Calibri"/>
          <w:sz w:val="22"/>
          <w:szCs w:val="22"/>
        </w:rPr>
        <w:t xml:space="preserve">Confirm the PayMongo wallet balance did not change; label the demo as simulation.</w:t>
      </w:r>
    </w:p>
    <w:p>
      <w:pPr>
        <w:pStyle w:val="Heading2"/>
      </w:pPr>
      <w:r>
        <w:t xml:space="preserve">9.4 Real Money Movement gate</w:t>
      </w:r>
    </w:p>
    <w:p>
      <w:pPr>
        <w:keepNext w:val="false"/>
        <w:spacing w:after="120" w:line="300"/>
      </w:pPr>
      <w:sdt>
        <w:sdtPr>
          <w:alias w:val="LIVEPAY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LIVEPAY-01  </w:t>
      </w:r>
      <w:r>
        <w:rPr>
          <w:rFonts w:ascii="Calibri" w:cs="Calibri" w:eastAsia="Calibri" w:hAnsi="Calibri"/>
          <w:sz w:val="22"/>
          <w:szCs w:val="22"/>
        </w:rPr>
        <w:t xml:space="preserve">Ask PayMongo to confirm that the merchant account has Wallet/Money Movement disbursement API access.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written provider confirmation</w:t>
      </w:r>
    </w:p>
    <w:p>
      <w:pPr>
        <w:keepNext w:val="false"/>
        <w:spacing w:after="120" w:line="300"/>
      </w:pPr>
      <w:sdt>
        <w:sdtPr>
          <w:alias w:val="LIVEPAY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LIVEPAY-02  </w:t>
      </w:r>
      <w:r>
        <w:rPr>
          <w:rFonts w:ascii="Calibri" w:cs="Calibri" w:eastAsia="Calibri" w:hAnsi="Calibri"/>
          <w:sz w:val="22"/>
          <w:szCs w:val="22"/>
        </w:rPr>
        <w:t xml:space="preserve">Obtain the wallet identifier and recipient/institution codes from authorized API/account responses; never infer the visible dashboard card number.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redacted API response</w:t>
      </w:r>
    </w:p>
    <w:p>
      <w:pPr>
        <w:keepNext w:val="false"/>
        <w:spacing w:after="120" w:line="300"/>
      </w:pPr>
      <w:sdt>
        <w:sdtPr>
          <w:alias w:val="LIVEPAY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LIVEPAY-03  </w:t>
      </w:r>
      <w:r>
        <w:rPr>
          <w:rFonts w:ascii="Calibri" w:cs="Calibri" w:eastAsia="Calibri" w:hAnsi="Calibri"/>
          <w:sz w:val="22"/>
          <w:szCs w:val="22"/>
        </w:rPr>
        <w:t xml:space="preserve">Confirm wallet balance covers amount plus provider fee and validate recipient ownership/details.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preflight record</w:t>
      </w:r>
    </w:p>
    <w:p>
      <w:pPr>
        <w:keepNext w:val="false"/>
        <w:spacing w:after="120" w:line="300"/>
      </w:pPr>
      <w:sdt>
        <w:sdtPr>
          <w:alias w:val="LIVEPAY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LIVEPAY-04  </w:t>
      </w:r>
      <w:r>
        <w:rPr>
          <w:rFonts w:ascii="Calibri" w:cs="Calibri" w:eastAsia="Calibri" w:hAnsi="Calibri"/>
          <w:sz w:val="22"/>
          <w:szCs w:val="22"/>
        </w:rPr>
        <w:t xml:space="preserve">Disable the simulator on every hosted environment.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host env shows false/absent</w:t>
      </w:r>
    </w:p>
    <w:p>
      <w:pPr>
        <w:keepNext w:val="false"/>
        <w:spacing w:after="120" w:line="300"/>
      </w:pPr>
      <w:sdt>
        <w:sdtPr>
          <w:alias w:val="LIVEPAY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LIVEPAY-05  </w:t>
      </w:r>
      <w:r>
        <w:rPr>
          <w:rFonts w:ascii="Calibri" w:cs="Calibri" w:eastAsia="Calibri" w:hAnsi="Calibri"/>
          <w:sz w:val="22"/>
          <w:szCs w:val="22"/>
        </w:rPr>
        <w:t xml:space="preserve">Run one controlled PHP 100 live transfer only after provider permission and internal approval.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provider reference + recipient bank evidence</w:t>
      </w:r>
    </w:p>
    <w:p>
      <w:pPr>
        <w:keepNext w:val="false"/>
        <w:spacing w:after="120" w:line="300"/>
      </w:pPr>
      <w:sdt>
        <w:sdtPr>
          <w:alias w:val="LIVEPAY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LIVEPAY-06  </w:t>
      </w:r>
      <w:r>
        <w:rPr>
          <w:rFonts w:ascii="Calibri" w:cs="Calibri" w:eastAsia="Calibri" w:hAnsi="Calibri"/>
          <w:sz w:val="22"/>
          <w:szCs w:val="22"/>
        </w:rPr>
        <w:t xml:space="preserve">Reconcile SafeDrive, PayMongo and recipient statement before increasing limits.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signed reconciliation</w:t>
      </w:r>
    </w:p>
    <w:p>
      <w:pPr>
        <w:pStyle w:val="Heading1"/>
      </w:pPr>
      <w:r>
        <w:t xml:space="preserve">10. Privacy, Retention, Security and Incident Response</w:t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FF2C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Important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Adding retention text to the user agreement does not remove statutory privacy rights. SafeDrive needs a request workflow because deletion may be allowed for some records while financial, dispute, fraud or legal-claim evidence must be retained under a documented lawful hold.</w:t>
            </w:r>
          </w:p>
        </w:tc>
      </w:tr>
    </w:tbl>
    <w:p>
      <w:pPr>
        <w:pStyle w:val="Heading2"/>
      </w:pPr>
      <w:r>
        <w:t xml:space="preserve">10.1 Data inventory and minimum collection</w:t>
      </w:r>
    </w:p>
    <w:p>
      <w:pPr>
        <w:keepNext w:val="false"/>
        <w:spacing w:after="120" w:line="300"/>
      </w:pPr>
      <w:sdt>
        <w:sdtPr>
          <w:alias w:val="PRIV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PRIV-01  </w:t>
      </w:r>
      <w:r>
        <w:rPr>
          <w:rFonts w:ascii="Calibri" w:cs="Calibri" w:eastAsia="Calibri" w:hAnsi="Calibri"/>
          <w:sz w:val="22"/>
          <w:szCs w:val="22"/>
        </w:rPr>
        <w:t xml:space="preserve">Create a data inventory: field, purpose, lawful basis, users, storage location, recipient, retention, deletion method and owner.</w:t>
      </w:r>
    </w:p>
    <w:p>
      <w:pPr>
        <w:keepNext w:val="false"/>
        <w:spacing w:after="120" w:line="300"/>
      </w:pPr>
      <w:sdt>
        <w:sdtPr>
          <w:alias w:val="PRIV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PRIV-02  </w:t>
      </w:r>
      <w:r>
        <w:rPr>
          <w:rFonts w:ascii="Calibri" w:cs="Calibri" w:eastAsia="Calibri" w:hAnsi="Calibri"/>
          <w:sz w:val="22"/>
          <w:szCs w:val="22"/>
        </w:rPr>
        <w:t xml:space="preserve">Verify guest questions collect only the minimal fields needed for reply and triage.</w:t>
      </w:r>
    </w:p>
    <w:p>
      <w:pPr>
        <w:keepNext w:val="false"/>
        <w:spacing w:after="120" w:line="300"/>
      </w:pPr>
      <w:sdt>
        <w:sdtPr>
          <w:alias w:val="PRIV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PRIV-03  </w:t>
      </w:r>
      <w:r>
        <w:rPr>
          <w:rFonts w:ascii="Calibri" w:cs="Calibri" w:eastAsia="Calibri" w:hAnsi="Calibri"/>
          <w:sz w:val="22"/>
          <w:szCs w:val="22"/>
        </w:rPr>
        <w:t xml:space="preserve">Keep KYC, agreements, trip evidence and vehicle documents private and time-limited when shared.</w:t>
      </w:r>
    </w:p>
    <w:p>
      <w:pPr>
        <w:keepNext w:val="false"/>
        <w:spacing w:after="120" w:line="300"/>
      </w:pPr>
      <w:sdt>
        <w:sdtPr>
          <w:alias w:val="PRIV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PRIV-04  </w:t>
      </w:r>
      <w:r>
        <w:rPr>
          <w:rFonts w:ascii="Calibri" w:cs="Calibri" w:eastAsia="Calibri" w:hAnsi="Calibri"/>
          <w:sz w:val="22"/>
          <w:szCs w:val="22"/>
        </w:rPr>
        <w:t xml:space="preserve">Name a DPO or responsible privacy lead and document whether NPC registration applies.</w:t>
      </w:r>
    </w:p>
    <w:p>
      <w:pPr>
        <w:keepNext w:val="false"/>
        <w:spacing w:after="120" w:line="300"/>
      </w:pPr>
      <w:sdt>
        <w:sdtPr>
          <w:alias w:val="PRIV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PRIV-05  </w:t>
      </w:r>
      <w:r>
        <w:rPr>
          <w:rFonts w:ascii="Calibri" w:cs="Calibri" w:eastAsia="Calibri" w:hAnsi="Calibri"/>
          <w:sz w:val="22"/>
          <w:szCs w:val="22"/>
        </w:rPr>
        <w:t xml:space="preserve">Create a Privacy Impact Assessment, records of processing, privacy management program, staff training and vendor/processor agreements.</w:t>
      </w:r>
    </w:p>
    <w:p>
      <w:pPr>
        <w:pStyle w:val="Heading2"/>
      </w:pPr>
      <w:r>
        <w:t xml:space="preserve">10.2 Rights and retention requests</w:t>
      </w:r>
    </w:p>
    <w:p>
      <w:pPr>
        <w:keepNext w:val="false"/>
        <w:spacing w:after="120" w:line="300"/>
      </w:pPr>
      <w:sdt>
        <w:sdtPr>
          <w:alias w:val="RET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RET-01  </w:t>
      </w:r>
      <w:r>
        <w:rPr>
          <w:rFonts w:ascii="Calibri" w:cs="Calibri" w:eastAsia="Calibri" w:hAnsi="Calibri"/>
          <w:sz w:val="22"/>
          <w:szCs w:val="22"/>
        </w:rPr>
        <w:t xml:space="preserve">Test access, correction, objection/restriction, erasure/deletion and account-closure request intake.</w:t>
      </w:r>
    </w:p>
    <w:p>
      <w:pPr>
        <w:keepNext w:val="false"/>
        <w:spacing w:after="120" w:line="300"/>
      </w:pPr>
      <w:sdt>
        <w:sdtPr>
          <w:alias w:val="RET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RET-02  </w:t>
      </w:r>
      <w:r>
        <w:rPr>
          <w:rFonts w:ascii="Calibri" w:cs="Calibri" w:eastAsia="Calibri" w:hAnsi="Calibri"/>
          <w:sz w:val="22"/>
          <w:szCs w:val="22"/>
        </w:rPr>
        <w:t xml:space="preserve">Verify identity before disclosing or deleting personal data.</w:t>
      </w:r>
    </w:p>
    <w:p>
      <w:pPr>
        <w:keepNext w:val="false"/>
        <w:spacing w:after="120" w:line="300"/>
      </w:pPr>
      <w:sdt>
        <w:sdtPr>
          <w:alias w:val="RET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RET-03  </w:t>
      </w:r>
      <w:r>
        <w:rPr>
          <w:rFonts w:ascii="Calibri" w:cs="Calibri" w:eastAsia="Calibri" w:hAnsi="Calibri"/>
          <w:sz w:val="22"/>
          <w:szCs w:val="22"/>
        </w:rPr>
        <w:t xml:space="preserve">Allow partial approval: delete eligible data, restrict valid holds and explain every denied item.</w:t>
      </w:r>
    </w:p>
    <w:p>
      <w:pPr>
        <w:keepNext w:val="false"/>
        <w:spacing w:after="120" w:line="300"/>
      </w:pPr>
      <w:sdt>
        <w:sdtPr>
          <w:alias w:val="RET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RET-04  </w:t>
      </w:r>
      <w:r>
        <w:rPr>
          <w:rFonts w:ascii="Calibri" w:cs="Calibri" w:eastAsia="Calibri" w:hAnsi="Calibri"/>
          <w:sz w:val="22"/>
          <w:szCs w:val="22"/>
        </w:rPr>
        <w:t xml:space="preserve">Do not delete audit/financial/dispute evidence while a valid legal, tax, fraud or claim hold applies.</w:t>
      </w:r>
    </w:p>
    <w:p>
      <w:pPr>
        <w:keepNext w:val="false"/>
        <w:spacing w:after="120" w:line="300"/>
      </w:pPr>
      <w:sdt>
        <w:sdtPr>
          <w:alias w:val="RET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RET-05  </w:t>
      </w:r>
      <w:r>
        <w:rPr>
          <w:rFonts w:ascii="Calibri" w:cs="Calibri" w:eastAsia="Calibri" w:hAnsi="Calibri"/>
          <w:sz w:val="22"/>
          <w:szCs w:val="22"/>
        </w:rPr>
        <w:t xml:space="preserve">Have counsel/DPO/accountant approve the provisional retention periods before launch.</w:t>
      </w:r>
    </w:p>
    <w:p>
      <w:pPr>
        <w:keepNext w:val="false"/>
        <w:spacing w:after="120" w:line="300"/>
      </w:pPr>
      <w:sdt>
        <w:sdtPr>
          <w:alias w:val="RET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RET-06  </w:t>
      </w:r>
      <w:r>
        <w:rPr>
          <w:rFonts w:ascii="Calibri" w:cs="Calibri" w:eastAsia="Calibri" w:hAnsi="Calibri"/>
          <w:sz w:val="22"/>
          <w:szCs w:val="22"/>
        </w:rPr>
        <w:t xml:space="preserve">After execution, record who approved, what was deleted/anonymized/retained, reason, time and notification.</w:t>
      </w:r>
    </w:p>
    <w:p>
      <w:pPr>
        <w:pStyle w:val="Heading2"/>
      </w:pPr>
      <w:r>
        <w:t xml:space="preserve">10.3 Security controls</w:t>
      </w:r>
    </w:p>
    <w:p>
      <w:pPr>
        <w:keepNext w:val="false"/>
        <w:spacing w:after="120" w:line="300"/>
      </w:pPr>
      <w:sdt>
        <w:sdtPr>
          <w:alias w:val="SEC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SEC-01  </w:t>
      </w:r>
      <w:r>
        <w:rPr>
          <w:rFonts w:ascii="Calibri" w:cs="Calibri" w:eastAsia="Calibri" w:hAnsi="Calibri"/>
          <w:sz w:val="22"/>
          <w:szCs w:val="22"/>
        </w:rPr>
        <w:t xml:space="preserve">Rotate any secret shown in screenshots, chat, documents or accidental commits.</w:t>
      </w:r>
    </w:p>
    <w:p>
      <w:pPr>
        <w:keepNext w:val="false"/>
        <w:spacing w:after="120" w:line="300"/>
      </w:pPr>
      <w:sdt>
        <w:sdtPr>
          <w:alias w:val="SEC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SEC-02  </w:t>
      </w:r>
      <w:r>
        <w:rPr>
          <w:rFonts w:ascii="Calibri" w:cs="Calibri" w:eastAsia="Calibri" w:hAnsi="Calibri"/>
          <w:sz w:val="22"/>
          <w:szCs w:val="22"/>
        </w:rPr>
        <w:t xml:space="preserve">Use independent random values for CRON_SECRET, GUEST_INQUIRY_HASH_SALT and GMAIL_WEBHOOK_SHARED_SECRET.</w:t>
      </w:r>
    </w:p>
    <w:p>
      <w:pPr>
        <w:keepNext w:val="false"/>
        <w:spacing w:after="120" w:line="300"/>
      </w:pPr>
      <w:sdt>
        <w:sdtPr>
          <w:alias w:val="SEC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SEC-03  </w:t>
      </w:r>
      <w:r>
        <w:rPr>
          <w:rFonts w:ascii="Calibri" w:cs="Calibri" w:eastAsia="Calibri" w:hAnsi="Calibri"/>
          <w:sz w:val="22"/>
          <w:szCs w:val="22"/>
        </w:rPr>
        <w:t xml:space="preserve">Log actor, action, target, outcome, timestamp and correlation ID without logging tokens, keys or full private evidence.</w:t>
      </w:r>
    </w:p>
    <w:p>
      <w:pPr>
        <w:keepNext w:val="false"/>
        <w:spacing w:after="120" w:line="300"/>
      </w:pPr>
      <w:sdt>
        <w:sdtPr>
          <w:alias w:val="SEC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SEC-04  </w:t>
      </w:r>
      <w:r>
        <w:rPr>
          <w:rFonts w:ascii="Calibri" w:cs="Calibri" w:eastAsia="Calibri" w:hAnsi="Calibri"/>
          <w:sz w:val="22"/>
          <w:szCs w:val="22"/>
        </w:rPr>
        <w:t xml:space="preserve">Create a breach playbook: detect, contain, preserve evidence, notify DPO, assess harm, decide NPC/data-subject notice and start the applicable 72-hour clock.</w:t>
      </w:r>
    </w:p>
    <w:p>
      <w:pPr>
        <w:keepNext w:val="false"/>
        <w:spacing w:after="120" w:line="300"/>
      </w:pPr>
      <w:sdt>
        <w:sdtPr>
          <w:alias w:val="SEC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SEC-05  </w:t>
      </w:r>
      <w:r>
        <w:rPr>
          <w:rFonts w:ascii="Calibri" w:cs="Calibri" w:eastAsia="Calibri" w:hAnsi="Calibri"/>
          <w:sz w:val="22"/>
          <w:szCs w:val="22"/>
        </w:rPr>
        <w:t xml:space="preserve">Run a tabletop breach exercise and record gaps/actions.</w:t>
      </w:r>
    </w:p>
    <w:p>
      <w:pPr>
        <w:keepNext w:val="false"/>
        <w:spacing w:after="120" w:line="300"/>
      </w:pPr>
      <w:sdt>
        <w:sdtPr>
          <w:alias w:val="SEC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SEC-06  </w:t>
      </w:r>
      <w:r>
        <w:rPr>
          <w:rFonts w:ascii="Calibri" w:cs="Calibri" w:eastAsia="Calibri" w:hAnsi="Calibri"/>
          <w:sz w:val="22"/>
          <w:szCs w:val="22"/>
        </w:rPr>
        <w:t xml:space="preserve">Enable host and provider alerts for API errors, webhook failures, cron failure, Gmail failure, uploads, payouts, refunds and reconciliation when hosting begins.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alert test evidence</w:t>
      </w:r>
    </w:p>
    <w:p>
      <w:pPr>
        <w:pStyle w:val="Heading1"/>
      </w:pPr>
      <w:r>
        <w:t xml:space="preserve">11. Accessibility, Mobile, Browser and Manual Acceptance</w:t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8EE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Why manual tests remain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Automated smoke checks can catch crashes and route failures, but they do not prove WCAG 2.2 conformance, screen-reader usability, understandable errors or complete keyboard interaction.</w:t>
            </w:r>
          </w:p>
        </w:tc>
      </w:tr>
    </w:tbl>
    <w:p>
      <w:pPr>
        <w:keepNext w:val="false"/>
        <w:spacing w:after="120" w:line="300"/>
      </w:pPr>
      <w:sdt>
        <w:sdtPr>
          <w:alias w:val="A11Y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A11Y-01  </w:t>
      </w:r>
      <w:r>
        <w:rPr>
          <w:rFonts w:ascii="Calibri" w:cs="Calibri" w:eastAsia="Calibri" w:hAnsi="Calibri"/>
          <w:sz w:val="22"/>
          <w:szCs w:val="22"/>
        </w:rPr>
        <w:t xml:space="preserve">Keyboard-only: reach every control, see focus, open/close dialogs, submit forms and escape menus without a trap.</w:t>
      </w:r>
    </w:p>
    <w:p>
      <w:pPr>
        <w:keepNext w:val="false"/>
        <w:spacing w:after="120" w:line="300"/>
      </w:pPr>
      <w:sdt>
        <w:sdtPr>
          <w:alias w:val="A11Y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A11Y-02  </w:t>
      </w:r>
      <w:r>
        <w:rPr>
          <w:rFonts w:ascii="Calibri" w:cs="Calibri" w:eastAsia="Calibri" w:hAnsi="Calibri"/>
          <w:sz w:val="22"/>
          <w:szCs w:val="22"/>
        </w:rPr>
        <w:t xml:space="preserve">Screen reader: check landmarks, headings, labels, errors, status messages, tables and modal announcements.</w:t>
      </w:r>
    </w:p>
    <w:p>
      <w:pPr>
        <w:keepNext w:val="false"/>
        <w:spacing w:after="120" w:line="300"/>
      </w:pPr>
      <w:sdt>
        <w:sdtPr>
          <w:alias w:val="A11Y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A11Y-03  </w:t>
      </w:r>
      <w:r>
        <w:rPr>
          <w:rFonts w:ascii="Calibri" w:cs="Calibri" w:eastAsia="Calibri" w:hAnsi="Calibri"/>
          <w:sz w:val="22"/>
          <w:szCs w:val="22"/>
        </w:rPr>
        <w:t xml:space="preserve">Zoom to 200% and 400%; verify no essential content or actions disappear.</w:t>
      </w:r>
    </w:p>
    <w:p>
      <w:pPr>
        <w:keepNext w:val="false"/>
        <w:spacing w:after="120" w:line="300"/>
      </w:pPr>
      <w:sdt>
        <w:sdtPr>
          <w:alias w:val="A11Y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A11Y-04  </w:t>
      </w:r>
      <w:r>
        <w:rPr>
          <w:rFonts w:ascii="Calibri" w:cs="Calibri" w:eastAsia="Calibri" w:hAnsi="Calibri"/>
          <w:sz w:val="22"/>
          <w:szCs w:val="22"/>
        </w:rPr>
        <w:t xml:space="preserve">Check color contrast and do not use color alone for status/error meaning.</w:t>
      </w:r>
    </w:p>
    <w:p>
      <w:pPr>
        <w:keepNext w:val="false"/>
        <w:spacing w:after="120" w:line="300"/>
      </w:pPr>
      <w:sdt>
        <w:sdtPr>
          <w:alias w:val="A11Y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A11Y-05  </w:t>
      </w:r>
      <w:r>
        <w:rPr>
          <w:rFonts w:ascii="Calibri" w:cs="Calibri" w:eastAsia="Calibri" w:hAnsi="Calibri"/>
          <w:sz w:val="22"/>
          <w:szCs w:val="22"/>
        </w:rPr>
        <w:t xml:space="preserve">Use accessible names for notification bell, topic multi-select, upload controls, table actions and icon-only buttons.</w:t>
      </w:r>
    </w:p>
    <w:p>
      <w:pPr>
        <w:keepNext w:val="false"/>
        <w:spacing w:after="120" w:line="300"/>
      </w:pPr>
      <w:sdt>
        <w:sdtPr>
          <w:alias w:val="A11Y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A11Y-06  </w:t>
      </w:r>
      <w:r>
        <w:rPr>
          <w:rFonts w:ascii="Calibri" w:cs="Calibri" w:eastAsia="Calibri" w:hAnsi="Calibri"/>
          <w:sz w:val="22"/>
          <w:szCs w:val="22"/>
        </w:rPr>
        <w:t xml:space="preserve">Verify authentication, payment, agreement, deposit and privacy flows at 360px, 768px and desktop widths.</w:t>
      </w:r>
    </w:p>
    <w:p>
      <w:pPr>
        <w:keepNext w:val="false"/>
        <w:spacing w:after="120" w:line="300"/>
      </w:pPr>
      <w:sdt>
        <w:sdtPr>
          <w:alias w:val="A11Y-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A11Y-07  </w:t>
      </w:r>
      <w:r>
        <w:rPr>
          <w:rFonts w:ascii="Calibri" w:cs="Calibri" w:eastAsia="Calibri" w:hAnsi="Calibri"/>
          <w:sz w:val="22"/>
          <w:szCs w:val="22"/>
        </w:rPr>
        <w:t xml:space="preserve">Test current Chrome/Edge and at least one Firefox or Safari/WebKit-equivalent path.</w:t>
      </w:r>
    </w:p>
    <w:p>
      <w:pPr>
        <w:keepNext w:val="false"/>
        <w:spacing w:after="120" w:line="300"/>
      </w:pPr>
      <w:sdt>
        <w:sdtPr>
          <w:alias w:val="A11Y-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A11Y-08  </w:t>
      </w:r>
      <w:r>
        <w:rPr>
          <w:rFonts w:ascii="Calibri" w:cs="Calibri" w:eastAsia="Calibri" w:hAnsi="Calibri"/>
          <w:sz w:val="22"/>
          <w:szCs w:val="22"/>
        </w:rPr>
        <w:t xml:space="preserve">Test slow network, offline transition, expired session and Supabase/PayMongo/Gmail failure messages.</w:t>
      </w:r>
    </w:p>
    <w:p>
      <w:pPr>
        <w:keepNext w:val="false"/>
        <w:spacing w:after="120" w:line="300"/>
      </w:pPr>
      <w:sdt>
        <w:sdtPr>
          <w:alias w:val="A11Y-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A11Y-09  </w:t>
      </w:r>
      <w:r>
        <w:rPr>
          <w:rFonts w:ascii="Calibri" w:cs="Calibri" w:eastAsia="Calibri" w:hAnsi="Calibri"/>
          <w:sz w:val="22"/>
          <w:szCs w:val="22"/>
        </w:rPr>
        <w:t xml:space="preserve">Ask one person unfamiliar with SafeDrive to complete guest inquiry, signup, booking and admin triage without coaching.</w:t>
      </w:r>
    </w:p>
    <w:p>
      <w:pPr>
        <w:keepNext w:val="false"/>
        <w:spacing w:after="120" w:line="300"/>
      </w:pPr>
      <w:sdt>
        <w:sdtPr>
          <w:alias w:val="A11Y-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A11Y-10  </w:t>
      </w:r>
      <w:r>
        <w:rPr>
          <w:rFonts w:ascii="Calibri" w:cs="Calibri" w:eastAsia="Calibri" w:hAnsi="Calibri"/>
          <w:sz w:val="22"/>
          <w:szCs w:val="22"/>
        </w:rPr>
        <w:t xml:space="preserve">Record defects with severity, device/browser, steps, screenshot, expected result, owner and retest date.</w:t>
      </w:r>
    </w:p>
    <w:p>
      <w:pPr>
        <w:pStyle w:val="Heading1"/>
      </w:pPr>
      <w:r>
        <w:t xml:space="preserve">12. Philippine Legal, Consumer, Insurance and Tax Review</w:t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CE4D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Scope warning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chapter records design support and review questions; it is not legal, tax, insurance or regulatory advice. SafeDrive's final legal role, commercial terms and actual operations determine which duties apply.</w:t>
            </w:r>
          </w:p>
        </w:tc>
      </w:tr>
    </w:tbl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2150"/>
        <w:gridCol w:w="3550"/>
        <w:gridCol w:w="3660"/>
      </w:tblGrid>
      <w:tr>
        <w:trPr>
          <w:cantSplit/>
          <w:tblHeader/>
        </w:trPr>
        <w:tc>
          <w:tcPr>
            <w:tcW w:type="dxa" w:w="215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Review area</w:t>
            </w:r>
          </w:p>
        </w:tc>
        <w:tc>
          <w:tcPr>
            <w:tcW w:type="dxa" w:w="355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Why it supports the design</w:t>
            </w:r>
          </w:p>
        </w:tc>
        <w:tc>
          <w:tcPr>
            <w:tcW w:type="dxa" w:w="366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Evidence required before public launch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 Privacy Act / NPC</w:t>
            </w:r>
          </w:p>
        </w:tc>
        <w:tc>
          <w:tcPr>
            <w:tcW w:type="dxa" w:w="35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Purpose limitation, proportionality, security, limited retention and data-subject rights support minimum fields, RLS, private evidence and request workflow</w:t>
            </w:r>
          </w:p>
        </w:tc>
        <w:tc>
          <w:tcPr>
            <w:tcW w:type="dxa" w:w="36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DPO/lead, PIA, registration/exemption assessment, privacy program, retention and breach procedures</w:t>
            </w:r>
          </w:p>
        </w:tc>
      </w:tr>
      <w:tr>
        <w:trPr>
          <w:cantSplit/>
        </w:trPr>
        <w:tc>
          <w:tcPr>
            <w:tcW w:type="dxa" w:w="21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E-Commerce Act (RA 8792)</w:t>
            </w:r>
          </w:p>
        </w:tc>
        <w:tc>
          <w:tcPr>
            <w:tcW w:type="dxa" w:w="35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Electronic records can support agreements when integrity, attribution and accessibility are preserved</w:t>
            </w:r>
          </w:p>
        </w:tc>
        <w:tc>
          <w:tcPr>
            <w:tcW w:type="dxa" w:w="366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Counsel-reviewed consent wording, immutable version/hash, server timestamp and evidence preservation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Internet Transactions Act / DTI JAO 24-03</w:t>
            </w:r>
          </w:p>
        </w:tc>
        <w:tc>
          <w:tcPr>
            <w:tcW w:type="dxa" w:w="35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Online platform transparency, merchant diligence, redress, records and consumer safeguards may apply</w:t>
            </w:r>
          </w:p>
        </w:tc>
        <w:tc>
          <w:tcPr>
            <w:tcW w:type="dxa" w:w="36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Final role classification, merchant disclosures, complaint/takedown process, fees/refunds and transaction records</w:t>
            </w:r>
          </w:p>
        </w:tc>
      </w:tr>
      <w:tr>
        <w:trPr>
          <w:cantSplit/>
        </w:trPr>
        <w:tc>
          <w:tcPr>
            <w:tcW w:type="dxa" w:w="21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Consumer Act</w:t>
            </w:r>
          </w:p>
        </w:tc>
        <w:tc>
          <w:tcPr>
            <w:tcW w:type="dxa" w:w="35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Clear, non-misleading price, fee, refund and safety information reduces unfair or deceptive practice risk</w:t>
            </w:r>
          </w:p>
        </w:tc>
        <w:tc>
          <w:tcPr>
            <w:tcW w:type="dxa" w:w="366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Counsel-reviewed customer disclosures and complaint/refund procedure</w:t>
            </w:r>
          </w:p>
        </w:tc>
      </w:tr>
      <w:tr>
        <w:trPr>
          <w:cantSplit/>
        </w:trPr>
        <w:tc>
          <w:tcPr>
            <w:tcW w:type="dxa" w:w="21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BIR RR 7-2024 / tax</w:t>
            </w:r>
          </w:p>
        </w:tc>
        <w:tc>
          <w:tcPr>
            <w:tcW w:type="dxa" w:w="35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Books, source documents and invoices/receipts need registration, preservation and appropriate tax treatment</w:t>
            </w:r>
          </w:p>
        </w:tc>
        <w:tc>
          <w:tcPr>
            <w:tcW w:type="dxa" w:w="36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Accountant-approved chart, invoicing/receipt process, registration, taxes/withholding and signed monthly close</w:t>
            </w:r>
          </w:p>
        </w:tc>
      </w:tr>
      <w:tr>
        <w:trPr>
          <w:cantSplit/>
        </w:trPr>
        <w:tc>
          <w:tcPr>
            <w:tcW w:type="dxa" w:w="21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LTO / Insurance Commission</w:t>
            </w:r>
          </w:p>
        </w:tc>
        <w:tc>
          <w:tcPr>
            <w:tcW w:type="dxa" w:w="35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Current registration and CTPL are necessary but do not automatically cover vehicle damage, theft or rental use</w:t>
            </w:r>
          </w:p>
        </w:tc>
        <w:tc>
          <w:tcPr>
            <w:tcW w:type="dxa" w:w="366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Insurer confirmation for peer-to-peer rental/commercial use; policy limits/exclusions; accident/claim process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 w:val="false"/>
        <w:spacing w:after="120" w:line="300"/>
      </w:pPr>
      <w:sdt>
        <w:sdtPr>
          <w:alias w:val="LAW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LAW-01  </w:t>
      </w:r>
      <w:r>
        <w:rPr>
          <w:rFonts w:ascii="Calibri" w:cs="Calibri" w:eastAsia="Calibri" w:hAnsi="Calibri"/>
          <w:sz w:val="22"/>
          <w:szCs w:val="22"/>
        </w:rPr>
        <w:t xml:space="preserve">Give counsel the actual Terms, Privacy Notice, cancellation/refund, deposit, dispute, prohibited-use, liability, lister and renter agreement text—not only a feature summary.</w:t>
      </w:r>
    </w:p>
    <w:p>
      <w:pPr>
        <w:keepNext w:val="false"/>
        <w:spacing w:after="120" w:line="300"/>
      </w:pPr>
      <w:sdt>
        <w:sdtPr>
          <w:alias w:val="LAW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LAW-02  </w:t>
      </w:r>
      <w:r>
        <w:rPr>
          <w:rFonts w:ascii="Calibri" w:cs="Calibri" w:eastAsia="Calibri" w:hAnsi="Calibri"/>
          <w:sz w:val="22"/>
          <w:szCs w:val="22"/>
        </w:rPr>
        <w:t xml:space="preserve">Ask counsel to classify SafeDrive's role under RA 11967/DTI rules and identify required platform/merchant disclosures and complaint handling.</w:t>
      </w:r>
    </w:p>
    <w:p>
      <w:pPr>
        <w:keepNext w:val="false"/>
        <w:spacing w:after="120" w:line="300"/>
      </w:pPr>
      <w:sdt>
        <w:sdtPr>
          <w:alias w:val="LAW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LAW-03  </w:t>
      </w:r>
      <w:r>
        <w:rPr>
          <w:rFonts w:ascii="Calibri" w:cs="Calibri" w:eastAsia="Calibri" w:hAnsi="Calibri"/>
          <w:sz w:val="22"/>
          <w:szCs w:val="22"/>
        </w:rPr>
        <w:t xml:space="preserve">Ask the DPO/privacy reviewer to approve collection, sharing, retention, deletion, legal holds, breach and data-subject request procedures.</w:t>
      </w:r>
    </w:p>
    <w:p>
      <w:pPr>
        <w:keepNext w:val="false"/>
        <w:spacing w:after="120" w:line="300"/>
      </w:pPr>
      <w:sdt>
        <w:sdtPr>
          <w:alias w:val="LAW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LAW-04  </w:t>
      </w:r>
      <w:r>
        <w:rPr>
          <w:rFonts w:ascii="Calibri" w:cs="Calibri" w:eastAsia="Calibri" w:hAnsi="Calibri"/>
          <w:sz w:val="22"/>
          <w:szCs w:val="22"/>
        </w:rPr>
        <w:t xml:space="preserve">Ask an accountant to map every ledger account/event to invoices/receipts, provider fees, commission and Philippine tax/withholding treatment.</w:t>
      </w:r>
    </w:p>
    <w:p>
      <w:pPr>
        <w:keepNext w:val="false"/>
        <w:spacing w:after="120" w:line="300"/>
      </w:pPr>
      <w:sdt>
        <w:sdtPr>
          <w:alias w:val="LAW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LAW-05  </w:t>
      </w:r>
      <w:r>
        <w:rPr>
          <w:rFonts w:ascii="Calibri" w:cs="Calibri" w:eastAsia="Calibri" w:hAnsi="Calibri"/>
          <w:sz w:val="22"/>
          <w:szCs w:val="22"/>
        </w:rPr>
        <w:t xml:space="preserve">Ask an insurer/broker in writing whether each policy covers peer-to-peer rental/commercial use, authorized drivers, damage/theft, third parties, downtime and deductibles.</w:t>
      </w:r>
    </w:p>
    <w:p>
      <w:pPr>
        <w:keepNext w:val="false"/>
        <w:spacing w:after="120" w:line="300"/>
      </w:pPr>
      <w:sdt>
        <w:sdtPr>
          <w:alias w:val="LAW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LAW-06  </w:t>
      </w:r>
      <w:r>
        <w:rPr>
          <w:rFonts w:ascii="Calibri" w:cs="Calibri" w:eastAsia="Calibri" w:hAnsi="Calibri"/>
          <w:sz w:val="22"/>
          <w:szCs w:val="22"/>
        </w:rPr>
        <w:t xml:space="preserve">Save signed advice/letters and the version of the policy/UI reviewed.</w:t>
      </w:r>
    </w:p>
    <w:p>
      <w:pPr>
        <w:pStyle w:val="Heading1"/>
      </w:pPr>
      <w:r>
        <w:t xml:space="preserve">13. Hosting Decision and Migration Checklist — Later</w:t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E2F0D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Recommendation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 a low-cost thesis/staging deployment, evaluate Netlify first because it combines Vite hosting, serverless functions and scheduled functions under a free hard limit. Cloudflare Pages is strong for the frontend but may require more API-runtime adaptation. Render is easier for a conventional Node service but its free web service sleeps and its own documentation says free instances are not for production. Railway is simple for a persistent Node service but dependable use generally starts with a paid usage plan. Re-evaluate prices and limits on the decision date.</w:t>
            </w:r>
          </w:p>
        </w:tc>
      </w:tr>
    </w:tbl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1700"/>
        <w:gridCol w:w="2450"/>
        <w:gridCol w:w="2680"/>
        <w:gridCol w:w="2530"/>
      </w:tblGrid>
      <w:tr>
        <w:trPr>
          <w:cantSplit/>
          <w:tblHeader/>
        </w:trPr>
        <w:tc>
          <w:tcPr>
            <w:tcW w:type="dxa" w:w="170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Option</w:t>
            </w:r>
          </w:p>
        </w:tc>
        <w:tc>
          <w:tcPr>
            <w:tcW w:type="dxa" w:w="245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Best fit</w:t>
            </w:r>
          </w:p>
        </w:tc>
        <w:tc>
          <w:tcPr>
            <w:tcW w:type="dxa" w:w="268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Important cost/risk point</w:t>
            </w:r>
          </w:p>
        </w:tc>
        <w:tc>
          <w:tcPr>
            <w:tcW w:type="dxa" w:w="253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Migration effect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Netlify</w:t>
            </w:r>
          </w:p>
        </w:tc>
        <w:tc>
          <w:tcPr>
            <w:tcW w:type="dxa" w:w="24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Thesis/staging with frontend + functions + scheduled jobs</w:t>
            </w:r>
          </w:p>
        </w:tc>
        <w:tc>
          <w:tcPr>
            <w:tcW w:type="dxa" w:w="268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Free plan has a hard monthly credit limit; current pricing lists 300 credits and limited log history</w:t>
            </w:r>
          </w:p>
        </w:tc>
        <w:tc>
          <w:tcPr>
            <w:tcW w:type="dxa" w:w="253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Adapt Vercel API handlers/routes to Netlify Functions and scheduled-function configuration</w:t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Cloudflare Pages/Workers</w:t>
            </w:r>
          </w:p>
        </w:tc>
        <w:tc>
          <w:tcPr>
            <w:tcW w:type="dxa" w:w="24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Fast global frontend and edge/serverless functions</w:t>
            </w:r>
          </w:p>
        </w:tc>
        <w:tc>
          <w:tcPr>
            <w:tcW w:type="dxa" w:w="268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Pages Free currently documents 500 deploys/month; Workers compatibility must be checked</w:t>
            </w:r>
          </w:p>
        </w:tc>
        <w:tc>
          <w:tcPr>
            <w:tcW w:type="dxa" w:w="253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Likely adapt Node-specific APIs to Workers runtime or compatibility mode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Render</w:t>
            </w:r>
          </w:p>
        </w:tc>
        <w:tc>
          <w:tcPr>
            <w:tcW w:type="dxa" w:w="24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Static site plus normal Node web service/cron</w:t>
            </w:r>
          </w:p>
        </w:tc>
        <w:tc>
          <w:tcPr>
            <w:tcW w:type="dxa" w:w="268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Free web service sleeps after 15 minutes and is not recommended by Render for production; cron has a minimum charge</w:t>
            </w:r>
          </w:p>
        </w:tc>
        <w:tc>
          <w:tcPr>
            <w:tcW w:type="dxa" w:w="253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Wrap handlers in a persistent server and configure SPA rewrite/health route</w:t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Railway</w:t>
            </w:r>
          </w:p>
        </w:tc>
        <w:tc>
          <w:tcPr>
            <w:tcW w:type="dxa" w:w="24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Simple always-on Node service with usage controls</w:t>
            </w:r>
          </w:p>
        </w:tc>
        <w:tc>
          <w:tcPr>
            <w:tcW w:type="dxa" w:w="268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Free credit is small; Hobby currently starts at USD 5/month including usage</w:t>
            </w:r>
          </w:p>
        </w:tc>
        <w:tc>
          <w:tcPr>
            <w:tcW w:type="dxa" w:w="253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Wrap handlers in a Node server; serve dist or split frontend/API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 w:val="false"/>
        <w:spacing w:after="120" w:line="300"/>
      </w:pPr>
      <w:sdt>
        <w:sdtPr>
          <w:alias w:val="HOSTSEL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HOSTSEL-01  </w:t>
      </w:r>
      <w:r>
        <w:rPr>
          <w:rFonts w:ascii="Calibri" w:cs="Calibri" w:eastAsia="Calibri" w:hAnsi="Calibri"/>
          <w:sz w:val="22"/>
          <w:szCs w:val="22"/>
        </w:rPr>
        <w:t xml:space="preserve">Write requirements: API runtime, cron, custom domain/TLS, secret management, logs/alerts, rollback, region/latency, spending cap, team access and support.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decision matrix</w:t>
      </w:r>
    </w:p>
    <w:p>
      <w:pPr>
        <w:keepNext w:val="false"/>
        <w:spacing w:after="120" w:line="300"/>
      </w:pPr>
      <w:sdt>
        <w:sdtPr>
          <w:alias w:val="HOSTSEL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HOSTSEL-02  </w:t>
      </w:r>
      <w:r>
        <w:rPr>
          <w:rFonts w:ascii="Calibri" w:cs="Calibri" w:eastAsia="Calibri" w:hAnsi="Calibri"/>
          <w:sz w:val="22"/>
          <w:szCs w:val="22"/>
        </w:rPr>
        <w:t xml:space="preserve">Deploy a non-production branch to two shortlisted hosts and run the same acceptance tests.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comparison report</w:t>
      </w:r>
    </w:p>
    <w:p>
      <w:pPr>
        <w:keepNext w:val="false"/>
        <w:spacing w:after="120" w:line="300"/>
      </w:pPr>
      <w:sdt>
        <w:sdtPr>
          <w:alias w:val="HOSTSEL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HOSTSEL-03  </w:t>
      </w:r>
      <w:r>
        <w:rPr>
          <w:rFonts w:ascii="Calibri" w:cs="Calibri" w:eastAsia="Calibri" w:hAnsi="Calibri"/>
          <w:sz w:val="22"/>
          <w:szCs w:val="22"/>
        </w:rPr>
        <w:t xml:space="preserve">Confirm SPA rewrites support direct routes such as /Safedriveadminlogin and /admin/guest-inquiries.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direct-route screenshots</w:t>
      </w:r>
    </w:p>
    <w:p>
      <w:pPr>
        <w:keepNext w:val="false"/>
        <w:spacing w:after="120" w:line="300"/>
      </w:pPr>
      <w:sdt>
        <w:sdtPr>
          <w:alias w:val="HOSTSEL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HOSTSEL-04  </w:t>
      </w:r>
      <w:r>
        <w:rPr>
          <w:rFonts w:ascii="Calibri" w:cs="Calibri" w:eastAsia="Calibri" w:hAnsi="Calibri"/>
          <w:sz w:val="22"/>
          <w:szCs w:val="22"/>
        </w:rPr>
        <w:t xml:space="preserve">Confirm raw webhook request body is available for PayMongo signature verification.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signed test event</w:t>
      </w:r>
    </w:p>
    <w:p>
      <w:pPr>
        <w:keepNext w:val="false"/>
        <w:spacing w:after="120" w:line="300"/>
      </w:pPr>
      <w:sdt>
        <w:sdtPr>
          <w:alias w:val="HOSTSEL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HOSTSEL-05  </w:t>
      </w:r>
      <w:r>
        <w:rPr>
          <w:rFonts w:ascii="Calibri" w:cs="Calibri" w:eastAsia="Calibri" w:hAnsi="Calibri"/>
          <w:sz w:val="22"/>
          <w:szCs w:val="22"/>
        </w:rPr>
        <w:t xml:space="preserve">Confirm scheduled jobs cannot overlap or create duplicate payouts/refunds; keep idempotency in database/API regardless of host.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forced retry/overlap test</w:t>
      </w:r>
    </w:p>
    <w:p>
      <w:pPr>
        <w:keepNext w:val="false"/>
        <w:spacing w:after="120" w:line="300"/>
      </w:pPr>
      <w:sdt>
        <w:sdtPr>
          <w:alias w:val="HOSTSEL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HOSTSEL-06  </w:t>
      </w:r>
      <w:r>
        <w:rPr>
          <w:rFonts w:ascii="Calibri" w:cs="Calibri" w:eastAsia="Calibri" w:hAnsi="Calibri"/>
          <w:sz w:val="22"/>
          <w:szCs w:val="22"/>
        </w:rPr>
        <w:t xml:space="preserve">Set budget alerts/hard limits and identify what pauses when a free limit is reached.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billing control screenshot</w:t>
      </w:r>
    </w:p>
    <w:p>
      <w:pPr>
        <w:keepNext w:val="false"/>
        <w:spacing w:after="120" w:line="300"/>
      </w:pPr>
      <w:sdt>
        <w:sdtPr>
          <w:alias w:val="HOSTSEL-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HOSTSEL-07  </w:t>
      </w:r>
      <w:r>
        <w:rPr>
          <w:rFonts w:ascii="Calibri" w:cs="Calibri" w:eastAsia="Calibri" w:hAnsi="Calibri"/>
          <w:sz w:val="22"/>
          <w:szCs w:val="22"/>
        </w:rPr>
        <w:t xml:space="preserve">Document rollback and preserve Supabase evidence during application rollback.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successful staging rollback</w:t>
      </w:r>
    </w:p>
    <w:p>
      <w:pPr>
        <w:pStyle w:val="Heading2"/>
      </w:pPr>
      <w:r>
        <w:t xml:space="preserve">13.1 Do not reverse these during migration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Canonical /Safedriveadminlogin route and direct-route behavior.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Server-side authentication, ownership and admin/super-admin authorization.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RLS, private bucket policies, idempotency and unique database guards.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Signed PayMongo webhook verification and failure-safe state changes.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Agreement snapshots, independent trip reports, deposit state machine, ledger, reconciliation and audit records.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Guest reply must not resolve until email delivery succeeds.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Local payout simulator must remain localhost-only and disabled on the host.</w:t>
      </w:r>
    </w:p>
    <w:p>
      <w:pPr>
        <w:pStyle w:val="Heading1"/>
      </w:pPr>
      <w:r>
        <w:t xml:space="preserve">14. Weekly Working Checklist</w:t>
      </w:r>
    </w:p>
    <w:p>
      <w:pPr>
        <w:pStyle w:val="Heading2"/>
      </w:pPr>
      <w:r>
        <w:t xml:space="preserve">Monday — health and database</w:t>
      </w:r>
    </w:p>
    <w:p>
      <w:pPr>
        <w:keepNext w:val="false"/>
        <w:spacing w:after="120" w:line="300"/>
      </w:pPr>
      <w:sdt>
        <w:sdtPr>
          <w:alias w:val="W-MON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W-MON-01  </w:t>
      </w:r>
      <w:r>
        <w:rPr>
          <w:rFonts w:ascii="Calibri" w:cs="Calibri" w:eastAsia="Calibri" w:hAnsi="Calibri"/>
          <w:sz w:val="22"/>
          <w:szCs w:val="22"/>
        </w:rPr>
        <w:t xml:space="preserve">Pull/review changes and run npm ci, check:all, build:clean, audit and diff check.</w:t>
      </w:r>
    </w:p>
    <w:p>
      <w:pPr>
        <w:keepNext w:val="false"/>
        <w:spacing w:after="120" w:line="300"/>
      </w:pPr>
      <w:sdt>
        <w:sdtPr>
          <w:alias w:val="W-MON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W-MON-02  </w:t>
      </w:r>
      <w:r>
        <w:rPr>
          <w:rFonts w:ascii="Calibri" w:cs="Calibri" w:eastAsia="Calibri" w:hAnsi="Calibri"/>
          <w:sz w:val="22"/>
          <w:szCs w:val="22"/>
        </w:rPr>
        <w:t xml:space="preserve">Review Supabase connection, migrations, RLS and backup status.</w:t>
      </w:r>
    </w:p>
    <w:p>
      <w:pPr>
        <w:keepNext w:val="false"/>
        <w:spacing w:after="120" w:line="300"/>
      </w:pPr>
      <w:sdt>
        <w:sdtPr>
          <w:alias w:val="W-MON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W-MON-03  </w:t>
      </w:r>
      <w:r>
        <w:rPr>
          <w:rFonts w:ascii="Calibri" w:cs="Calibri" w:eastAsia="Calibri" w:hAnsi="Calibri"/>
          <w:sz w:val="22"/>
          <w:szCs w:val="22"/>
        </w:rPr>
        <w:t xml:space="preserve">Update blockers, owners and evidence links.</w:t>
      </w:r>
    </w:p>
    <w:p>
      <w:pPr>
        <w:pStyle w:val="Heading2"/>
      </w:pPr>
      <w:r>
        <w:t xml:space="preserve">Tuesday — public and admin workflows</w:t>
      </w:r>
    </w:p>
    <w:p>
      <w:pPr>
        <w:keepNext w:val="false"/>
        <w:spacing w:after="120" w:line="300"/>
      </w:pPr>
      <w:sdt>
        <w:sdtPr>
          <w:alias w:val="W-TUE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W-TUE-01  </w:t>
      </w:r>
      <w:r>
        <w:rPr>
          <w:rFonts w:ascii="Calibri" w:cs="Calibri" w:eastAsia="Calibri" w:hAnsi="Calibri"/>
          <w:sz w:val="22"/>
          <w:szCs w:val="22"/>
        </w:rPr>
        <w:t xml:space="preserve">Guest question → notification → review → Gmail reply → resolved.</w:t>
      </w:r>
    </w:p>
    <w:p>
      <w:pPr>
        <w:keepNext w:val="false"/>
        <w:spacing w:after="120" w:line="300"/>
      </w:pPr>
      <w:sdt>
        <w:sdtPr>
          <w:alias w:val="W-TUE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W-TUE-02  </w:t>
      </w:r>
      <w:r>
        <w:rPr>
          <w:rFonts w:ascii="Calibri" w:cs="Calibri" w:eastAsia="Calibri" w:hAnsi="Calibri"/>
          <w:sz w:val="22"/>
          <w:szCs w:val="22"/>
        </w:rPr>
        <w:t xml:space="preserve">Normal admin and super-admin permission matrix.</w:t>
      </w:r>
    </w:p>
    <w:p>
      <w:pPr>
        <w:keepNext w:val="false"/>
        <w:spacing w:after="120" w:line="300"/>
      </w:pPr>
      <w:sdt>
        <w:sdtPr>
          <w:alias w:val="W-TUE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W-TUE-03  </w:t>
      </w:r>
      <w:r>
        <w:rPr>
          <w:rFonts w:ascii="Calibri" w:cs="Calibri" w:eastAsia="Calibri" w:hAnsi="Calibri"/>
          <w:sz w:val="22"/>
          <w:szCs w:val="22"/>
        </w:rPr>
        <w:t xml:space="preserve">Vehicle edit → pending → approval; agreement snapshot.</w:t>
      </w:r>
    </w:p>
    <w:p>
      <w:pPr>
        <w:pStyle w:val="Heading2"/>
      </w:pPr>
      <w:r>
        <w:t xml:space="preserve">Wednesday — booking and finance</w:t>
      </w:r>
    </w:p>
    <w:p>
      <w:pPr>
        <w:keepNext w:val="false"/>
        <w:spacing w:after="120" w:line="300"/>
      </w:pPr>
      <w:sdt>
        <w:sdtPr>
          <w:alias w:val="W-WED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W-WED-01  </w:t>
      </w:r>
      <w:r>
        <w:rPr>
          <w:rFonts w:ascii="Calibri" w:cs="Calibri" w:eastAsia="Calibri" w:hAnsi="Calibri"/>
          <w:sz w:val="22"/>
          <w:szCs w:val="22"/>
        </w:rPr>
        <w:t xml:space="preserve">Booking overlap and maintenance conflict.</w:t>
      </w:r>
    </w:p>
    <w:p>
      <w:pPr>
        <w:keepNext w:val="false"/>
        <w:spacing w:after="120" w:line="300"/>
      </w:pPr>
      <w:sdt>
        <w:sdtPr>
          <w:alias w:val="W-WED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W-WED-02  </w:t>
      </w:r>
      <w:r>
        <w:rPr>
          <w:rFonts w:ascii="Calibri" w:cs="Calibri" w:eastAsia="Calibri" w:hAnsi="Calibri"/>
          <w:sz w:val="22"/>
          <w:szCs w:val="22"/>
        </w:rPr>
        <w:t xml:space="preserve">Pickup/return reports and deposit scenarios.</w:t>
      </w:r>
    </w:p>
    <w:p>
      <w:pPr>
        <w:keepNext w:val="false"/>
        <w:spacing w:after="120" w:line="300"/>
      </w:pPr>
      <w:sdt>
        <w:sdtPr>
          <w:alias w:val="W-WED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W-WED-03  </w:t>
      </w:r>
      <w:r>
        <w:rPr>
          <w:rFonts w:ascii="Calibri" w:cs="Calibri" w:eastAsia="Calibri" w:hAnsi="Calibri"/>
          <w:sz w:val="22"/>
          <w:szCs w:val="22"/>
        </w:rPr>
        <w:t xml:space="preserve">Ledger balance/idempotency/correction and reconciliation mismatches.</w:t>
      </w:r>
    </w:p>
    <w:p>
      <w:pPr>
        <w:keepNext w:val="false"/>
        <w:spacing w:after="120" w:line="300"/>
      </w:pPr>
      <w:sdt>
        <w:sdtPr>
          <w:alias w:val="W-WED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W-WED-04  </w:t>
      </w:r>
      <w:r>
        <w:rPr>
          <w:rFonts w:ascii="Calibri" w:cs="Calibri" w:eastAsia="Calibri" w:hAnsi="Calibri"/>
          <w:sz w:val="22"/>
          <w:szCs w:val="22"/>
        </w:rPr>
        <w:t xml:space="preserve">Local payout simulation; prove wallet did not move.</w:t>
      </w:r>
    </w:p>
    <w:p>
      <w:pPr>
        <w:pStyle w:val="Heading2"/>
      </w:pPr>
      <w:r>
        <w:t xml:space="preserve">Thursday — privacy, security and resilience</w:t>
      </w:r>
    </w:p>
    <w:p>
      <w:pPr>
        <w:keepNext w:val="false"/>
        <w:spacing w:after="120" w:line="300"/>
      </w:pPr>
      <w:sdt>
        <w:sdtPr>
          <w:alias w:val="W-THU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W-THU-01  </w:t>
      </w:r>
      <w:r>
        <w:rPr>
          <w:rFonts w:ascii="Calibri" w:cs="Calibri" w:eastAsia="Calibri" w:hAnsi="Calibri"/>
          <w:sz w:val="22"/>
          <w:szCs w:val="22"/>
        </w:rPr>
        <w:t xml:space="preserve">Privacy request partial approval/legal hold.</w:t>
      </w:r>
    </w:p>
    <w:p>
      <w:pPr>
        <w:keepNext w:val="false"/>
        <w:spacing w:after="120" w:line="300"/>
      </w:pPr>
      <w:sdt>
        <w:sdtPr>
          <w:alias w:val="W-THU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W-THU-02  </w:t>
      </w:r>
      <w:r>
        <w:rPr>
          <w:rFonts w:ascii="Calibri" w:cs="Calibri" w:eastAsia="Calibri" w:hAnsi="Calibri"/>
          <w:sz w:val="22"/>
          <w:szCs w:val="22"/>
        </w:rPr>
        <w:t xml:space="preserve">Secret, log and access review; invalid/stale webhook tests.</w:t>
      </w:r>
    </w:p>
    <w:p>
      <w:pPr>
        <w:keepNext w:val="false"/>
        <w:spacing w:after="120" w:line="300"/>
      </w:pPr>
      <w:sdt>
        <w:sdtPr>
          <w:alias w:val="W-THU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W-THU-03  </w:t>
      </w:r>
      <w:r>
        <w:rPr>
          <w:rFonts w:ascii="Calibri" w:cs="Calibri" w:eastAsia="Calibri" w:hAnsi="Calibri"/>
          <w:sz w:val="22"/>
          <w:szCs w:val="22"/>
        </w:rPr>
        <w:t xml:space="preserve">Backup/restore or failure-recovery tabletop.</w:t>
      </w:r>
    </w:p>
    <w:p>
      <w:pPr>
        <w:pStyle w:val="Heading2"/>
      </w:pPr>
      <w:r>
        <w:t xml:space="preserve">Friday — usability and defense evidence</w:t>
      </w:r>
    </w:p>
    <w:p>
      <w:pPr>
        <w:keepNext w:val="false"/>
        <w:spacing w:after="120" w:line="300"/>
      </w:pPr>
      <w:sdt>
        <w:sdtPr>
          <w:alias w:val="W-FRI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W-FRI-01  </w:t>
      </w:r>
      <w:r>
        <w:rPr>
          <w:rFonts w:ascii="Calibri" w:cs="Calibri" w:eastAsia="Calibri" w:hAnsi="Calibri"/>
          <w:sz w:val="22"/>
          <w:szCs w:val="22"/>
        </w:rPr>
        <w:t xml:space="preserve">Keyboard, screen reader, zoom, mobile and browser tests.</w:t>
      </w:r>
    </w:p>
    <w:p>
      <w:pPr>
        <w:keepNext w:val="false"/>
        <w:spacing w:after="120" w:line="300"/>
      </w:pPr>
      <w:sdt>
        <w:sdtPr>
          <w:alias w:val="W-FRI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W-FRI-02  </w:t>
      </w:r>
      <w:r>
        <w:rPr>
          <w:rFonts w:ascii="Calibri" w:cs="Calibri" w:eastAsia="Calibri" w:hAnsi="Calibri"/>
          <w:sz w:val="22"/>
          <w:szCs w:val="22"/>
        </w:rPr>
        <w:t xml:space="preserve">Organize screenshots/logs by checklist ID.</w:t>
      </w:r>
    </w:p>
    <w:p>
      <w:pPr>
        <w:keepNext w:val="false"/>
        <w:spacing w:after="120" w:line="300"/>
      </w:pPr>
      <w:sdt>
        <w:sdtPr>
          <w:alias w:val="W-FRI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W-FRI-03  </w:t>
      </w:r>
      <w:r>
        <w:rPr>
          <w:rFonts w:ascii="Calibri" w:cs="Calibri" w:eastAsia="Calibri" w:hAnsi="Calibri"/>
          <w:sz w:val="22"/>
          <w:szCs w:val="22"/>
        </w:rPr>
        <w:t xml:space="preserve">Update the master documentation with decisions, evidence and open limitations.</w:t>
      </w:r>
    </w:p>
    <w:p>
      <w:pPr>
        <w:keepNext w:val="false"/>
        <w:spacing w:after="120" w:line="300"/>
      </w:pPr>
      <w:sdt>
        <w:sdtPr>
          <w:alias w:val="W-FRI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W-FRI-04  </w:t>
      </w:r>
      <w:r>
        <w:rPr>
          <w:rFonts w:ascii="Calibri" w:cs="Calibri" w:eastAsia="Calibri" w:hAnsi="Calibri"/>
          <w:sz w:val="22"/>
          <w:szCs w:val="22"/>
        </w:rPr>
        <w:t xml:space="preserve">Groupmate review and decide next week's top three tasks.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1700"/>
        <w:gridCol w:w="3300"/>
        <w:gridCol w:w="3000"/>
        <w:gridCol w:w="1360"/>
      </w:tblGrid>
      <w:tr>
        <w:trPr>
          <w:cantSplit/>
          <w:tblHeader/>
        </w:trPr>
        <w:tc>
          <w:tcPr>
            <w:tcW w:type="dxa" w:w="170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Week ending</w:t>
            </w:r>
          </w:p>
        </w:tc>
        <w:tc>
          <w:tcPr>
            <w:tcW w:type="dxa" w:w="330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Top 3 completed</w:t>
            </w:r>
          </w:p>
        </w:tc>
        <w:tc>
          <w:tcPr>
            <w:tcW w:type="dxa" w:w="300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Open blockers</w:t>
            </w:r>
          </w:p>
        </w:tc>
        <w:tc>
          <w:tcPr>
            <w:tcW w:type="dxa" w:w="136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Reviewer initials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7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0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</w:pPr>
      <w:r>
        <w:t xml:space="preserve">15. Final Stop/Go Gates</w:t>
      </w:r>
    </w:p>
    <w:p>
      <w:pPr>
        <w:pStyle w:val="Heading2"/>
      </w:pPr>
      <w:r>
        <w:t xml:space="preserve">15.1 Thesis/local demonstration GO</w:t>
      </w:r>
    </w:p>
    <w:p>
      <w:pPr>
        <w:keepNext w:val="false"/>
        <w:spacing w:after="120" w:line="300"/>
      </w:pPr>
      <w:sdt>
        <w:sdtPr>
          <w:alias w:val="DEMO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DEMO-01  </w:t>
      </w:r>
      <w:r>
        <w:rPr>
          <w:rFonts w:ascii="Calibri" w:cs="Calibri" w:eastAsia="Calibri" w:hAnsi="Calibri"/>
          <w:sz w:val="22"/>
          <w:szCs w:val="22"/>
        </w:rPr>
        <w:t xml:space="preserve">Full automated suite and clean build pass on the demo commit.</w:t>
      </w:r>
    </w:p>
    <w:p>
      <w:pPr>
        <w:keepNext w:val="false"/>
        <w:spacing w:after="120" w:line="300"/>
      </w:pPr>
      <w:sdt>
        <w:sdtPr>
          <w:alias w:val="DEMO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DEMO-02  </w:t>
      </w:r>
      <w:r>
        <w:rPr>
          <w:rFonts w:ascii="Calibri" w:cs="Calibri" w:eastAsia="Calibri" w:hAnsi="Calibri"/>
          <w:sz w:val="22"/>
          <w:szCs w:val="22"/>
        </w:rPr>
        <w:t xml:space="preserve">Chapter 14/15 schema proof is available or the demo is honestly labeled local-only with database limitation.</w:t>
      </w:r>
    </w:p>
    <w:p>
      <w:pPr>
        <w:keepNext w:val="false"/>
        <w:spacing w:after="120" w:line="300"/>
      </w:pPr>
      <w:sdt>
        <w:sdtPr>
          <w:alias w:val="DEMO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DEMO-03  </w:t>
      </w:r>
      <w:r>
        <w:rPr>
          <w:rFonts w:ascii="Calibri" w:cs="Calibri" w:eastAsia="Calibri" w:hAnsi="Calibri"/>
          <w:sz w:val="22"/>
          <w:szCs w:val="22"/>
        </w:rPr>
        <w:t xml:space="preserve">Guest inquiry, role permissions, booking, agreement, trip, deposit, ledger and reconciliation demonstrations pass.</w:t>
      </w:r>
    </w:p>
    <w:p>
      <w:pPr>
        <w:keepNext w:val="false"/>
        <w:spacing w:after="120" w:line="300"/>
      </w:pPr>
      <w:sdt>
        <w:sdtPr>
          <w:alias w:val="DEMO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DEMO-04  </w:t>
      </w:r>
      <w:r>
        <w:rPr>
          <w:rFonts w:ascii="Calibri" w:cs="Calibri" w:eastAsia="Calibri" w:hAnsi="Calibri"/>
          <w:sz w:val="22"/>
          <w:szCs w:val="22"/>
        </w:rPr>
        <w:t xml:space="preserve">All PayMongo activity is test mode; payout simulation is clearly labeled no money movement.</w:t>
      </w:r>
    </w:p>
    <w:p>
      <w:pPr>
        <w:keepNext w:val="false"/>
        <w:spacing w:after="120" w:line="300"/>
      </w:pPr>
      <w:sdt>
        <w:sdtPr>
          <w:alias w:val="DEMO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DEMO-05  </w:t>
      </w:r>
      <w:r>
        <w:rPr>
          <w:rFonts w:ascii="Calibri" w:cs="Calibri" w:eastAsia="Calibri" w:hAnsi="Calibri"/>
          <w:sz w:val="22"/>
          <w:szCs w:val="22"/>
        </w:rPr>
        <w:t xml:space="preserve">No secrets or private personal data appear in slides, code, documents or screenshots.</w:t>
      </w:r>
    </w:p>
    <w:p>
      <w:pPr>
        <w:keepNext w:val="false"/>
        <w:spacing w:after="120" w:line="300"/>
      </w:pPr>
      <w:sdt>
        <w:sdtPr>
          <w:alias w:val="DEMO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DEMO-06  </w:t>
      </w:r>
      <w:r>
        <w:rPr>
          <w:rFonts w:ascii="Calibri" w:cs="Calibri" w:eastAsia="Calibri" w:hAnsi="Calibri"/>
          <w:sz w:val="22"/>
          <w:szCs w:val="22"/>
        </w:rPr>
        <w:t xml:space="preserve">Known limitations and required professional reviews are stated in the defense.</w:t>
      </w:r>
    </w:p>
    <w:p>
      <w:pPr>
        <w:pStyle w:val="Heading2"/>
      </w:pPr>
      <w:r>
        <w:t xml:space="preserve">15.2 Public hosting GO</w:t>
      </w:r>
    </w:p>
    <w:p>
      <w:pPr>
        <w:keepNext w:val="false"/>
        <w:spacing w:after="120" w:line="300"/>
      </w:pPr>
      <w:sdt>
        <w:sdtPr>
          <w:alias w:val="LAUNCH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LAUNCH-01  </w:t>
      </w:r>
      <w:r>
        <w:rPr>
          <w:rFonts w:ascii="Calibri" w:cs="Calibri" w:eastAsia="Calibri" w:hAnsi="Calibri"/>
          <w:sz w:val="22"/>
          <w:szCs w:val="22"/>
        </w:rPr>
        <w:t xml:space="preserve">Staging passes the complete acceptance suite, direct routes, reset links and callbacks.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release report</w:t>
      </w:r>
    </w:p>
    <w:p>
      <w:pPr>
        <w:keepNext w:val="false"/>
        <w:spacing w:after="120" w:line="300"/>
      </w:pPr>
      <w:sdt>
        <w:sdtPr>
          <w:alias w:val="LAUNCH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LAUNCH-02  </w:t>
      </w:r>
      <w:r>
        <w:rPr>
          <w:rFonts w:ascii="Calibri" w:cs="Calibri" w:eastAsia="Calibri" w:hAnsi="Calibri"/>
          <w:sz w:val="22"/>
          <w:szCs w:val="22"/>
        </w:rPr>
        <w:t xml:space="preserve">Monitoring, alerting, backup and restore drills pass.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test alerts + restore record</w:t>
      </w:r>
    </w:p>
    <w:p>
      <w:pPr>
        <w:keepNext w:val="false"/>
        <w:spacing w:after="120" w:line="300"/>
      </w:pPr>
      <w:sdt>
        <w:sdtPr>
          <w:alias w:val="LAUNCH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LAUNCH-03  </w:t>
      </w:r>
      <w:r>
        <w:rPr>
          <w:rFonts w:ascii="Calibri" w:cs="Calibri" w:eastAsia="Calibri" w:hAnsi="Calibri"/>
          <w:sz w:val="22"/>
          <w:szCs w:val="22"/>
        </w:rPr>
        <w:t xml:space="preserve">Legal, privacy/DPO, tax/accounting and insurance approvals are signed for the exact release.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approval packet</w:t>
      </w:r>
    </w:p>
    <w:p>
      <w:pPr>
        <w:keepNext w:val="false"/>
        <w:spacing w:after="120" w:line="300"/>
      </w:pPr>
      <w:sdt>
        <w:sdtPr>
          <w:alias w:val="LAUNCH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LAUNCH-04  </w:t>
      </w:r>
      <w:r>
        <w:rPr>
          <w:rFonts w:ascii="Calibri" w:cs="Calibri" w:eastAsia="Calibri" w:hAnsi="Calibri"/>
          <w:sz w:val="22"/>
          <w:szCs w:val="22"/>
        </w:rPr>
        <w:t xml:space="preserve">Terms, privacy notice, fees, cancellation/refund, deposit, complaints and insurance disclosures match reviewed behavior.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versioned public policies</w:t>
      </w:r>
    </w:p>
    <w:p>
      <w:pPr>
        <w:pStyle w:val="Heading2"/>
      </w:pPr>
      <w:r>
        <w:t xml:space="preserve">15.3 Live-money GO</w:t>
      </w:r>
    </w:p>
    <w:p>
      <w:pPr>
        <w:keepNext w:val="false"/>
        <w:spacing w:after="120" w:line="300"/>
      </w:pPr>
      <w:sdt>
        <w:sdtPr>
          <w:alias w:val="MONEY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MONEY-01  </w:t>
      </w:r>
      <w:r>
        <w:rPr>
          <w:rFonts w:ascii="Calibri" w:cs="Calibri" w:eastAsia="Calibri" w:hAnsi="Calibri"/>
          <w:sz w:val="22"/>
          <w:szCs w:val="22"/>
        </w:rPr>
        <w:t xml:space="preserve">PayMongo live merchant account and required payment/refund/Money Movement capabilities are approved.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provider confirmation</w:t>
      </w:r>
    </w:p>
    <w:p>
      <w:pPr>
        <w:keepNext w:val="false"/>
        <w:spacing w:after="120" w:line="300"/>
      </w:pPr>
      <w:sdt>
        <w:sdtPr>
          <w:alias w:val="MONEY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MONEY-02  </w:t>
      </w:r>
      <w:r>
        <w:rPr>
          <w:rFonts w:ascii="Calibri" w:cs="Calibri" w:eastAsia="Calibri" w:hAnsi="Calibri"/>
          <w:sz w:val="22"/>
          <w:szCs w:val="22"/>
        </w:rPr>
        <w:t xml:space="preserve">Live keys and webhook secret are stored server-side; test/live endpoints are separate.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redacted host/provider configuration</w:t>
      </w:r>
    </w:p>
    <w:p>
      <w:pPr>
        <w:keepNext w:val="false"/>
        <w:spacing w:after="120" w:line="300"/>
      </w:pPr>
      <w:sdt>
        <w:sdtPr>
          <w:alias w:val="MONEY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MONEY-03  </w:t>
      </w:r>
      <w:r>
        <w:rPr>
          <w:rFonts w:ascii="Calibri" w:cs="Calibri" w:eastAsia="Calibri" w:hAnsi="Calibri"/>
          <w:sz w:val="22"/>
          <w:szCs w:val="22"/>
        </w:rPr>
        <w:t xml:space="preserve">Controlled PHP 100 checkout/refund/disbursement test is provider-confirmed and reconciled to bank/recipient evidence.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signed test report</w:t>
      </w:r>
    </w:p>
    <w:p>
      <w:pPr>
        <w:keepNext w:val="false"/>
        <w:spacing w:after="120" w:line="300"/>
      </w:pPr>
      <w:sdt>
        <w:sdtPr>
          <w:alias w:val="MONEY-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MONEY-04  </w:t>
      </w:r>
      <w:r>
        <w:rPr>
          <w:rFonts w:ascii="Calibri" w:cs="Calibri" w:eastAsia="Calibri" w:hAnsi="Calibri"/>
          <w:sz w:val="22"/>
          <w:szCs w:val="22"/>
        </w:rPr>
        <w:t xml:space="preserve">Payout eligibility waits for rental completion, required reports, terminal deposit, no dispute and no reconciliation hold.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end-to-end evidence</w:t>
      </w:r>
    </w:p>
    <w:p>
      <w:pPr>
        <w:keepNext w:val="false"/>
        <w:spacing w:after="120" w:line="300"/>
      </w:pPr>
      <w:sdt>
        <w:sdtPr>
          <w:alias w:val="MONEY-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MONEY-05  </w:t>
      </w:r>
      <w:r>
        <w:rPr>
          <w:rFonts w:ascii="Calibri" w:cs="Calibri" w:eastAsia="Calibri" w:hAnsi="Calibri"/>
          <w:sz w:val="22"/>
          <w:szCs w:val="22"/>
        </w:rPr>
        <w:t xml:space="preserve">Simulator is false/absent on every hosted environment.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host env audit</w:t>
      </w:r>
    </w:p>
    <w:p>
      <w:pPr>
        <w:keepNext w:val="false"/>
        <w:spacing w:after="120" w:line="300"/>
      </w:pPr>
      <w:sdt>
        <w:sdtPr>
          <w:alias w:val="MONEY-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9C6500"/>
          <w:sz w:val="22"/>
          <w:szCs w:val="22"/>
        </w:rPr>
        <w:t xml:space="preserve">  MONEY-06  </w:t>
      </w:r>
      <w:r>
        <w:rPr>
          <w:rFonts w:ascii="Calibri" w:cs="Calibri" w:eastAsia="Calibri" w:hAnsi="Calibri"/>
          <w:sz w:val="22"/>
          <w:szCs w:val="22"/>
        </w:rPr>
        <w:t xml:space="preserve">Daily reconciliation owner and escalation contacts are active.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Proof: operating roster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CE4D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Decision rule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If any LAUNCH or MONEY box is unchecked, SafeDrive may continue as a controlled thesis/test system but must not be represented as ready for public real-money operation.</w:t>
            </w:r>
          </w:p>
        </w:tc>
      </w:tr>
    </w:tbl>
    <w:p>
      <w:pPr>
        <w:pStyle w:val="Heading1"/>
      </w:pPr>
      <w:r>
        <w:t xml:space="preserve">Appendix A. Environment Variable Checklist</w:t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3200"/>
        <w:gridCol w:w="3250"/>
        <w:gridCol w:w="2910"/>
      </w:tblGrid>
      <w:tr>
        <w:trPr>
          <w:cantSplit/>
          <w:tblHeader/>
        </w:trPr>
        <w:tc>
          <w:tcPr>
            <w:tcW w:type="dxa" w:w="320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Variable</w:t>
            </w:r>
          </w:p>
        </w:tc>
        <w:tc>
          <w:tcPr>
            <w:tcW w:type="dxa" w:w="325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Where/value source</w:t>
            </w:r>
          </w:p>
        </w:tc>
        <w:tc>
          <w:tcPr>
            <w:tcW w:type="dxa" w:w="291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VITE_SUPABASE_URL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Supabase Connect / project settings</w:t>
            </w:r>
          </w:p>
        </w:tc>
        <w:tc>
          <w:tcPr>
            <w:tcW w:type="dxa" w:w="291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Browser-safe URL; must be the correct active project</w:t>
            </w:r>
          </w:p>
        </w:tc>
      </w:tr>
      <w:tr>
        <w:trPr>
          <w:cantSplit/>
        </w:trPr>
        <w:tc>
          <w:tcPr>
            <w:tcW w:type="dxa" w:w="32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VITE_SUPABASE_ANON_KEY</w:t>
            </w:r>
          </w:p>
        </w:tc>
        <w:tc>
          <w:tcPr>
            <w:tcW w:type="dxa" w:w="32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Supabase API Keys</w:t>
            </w:r>
          </w:p>
        </w:tc>
        <w:tc>
          <w:tcPr>
            <w:tcW w:type="dxa" w:w="291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Browser publishable/anon key; still relies on RLS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VITE_PAYMONGO_PUBLIC_KEY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PayMongo developer keys</w:t>
            </w:r>
          </w:p>
        </w:tc>
        <w:tc>
          <w:tcPr>
            <w:tcW w:type="dxa" w:w="291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pk_test_ locally; public by design</w:t>
            </w:r>
          </w:p>
        </w:tc>
      </w:tr>
      <w:tr>
        <w:trPr>
          <w:cantSplit/>
        </w:trPr>
        <w:tc>
          <w:tcPr>
            <w:tcW w:type="dxa" w:w="32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SUPABASE_SERVICE_ROLE_KEY</w:t>
            </w:r>
          </w:p>
        </w:tc>
        <w:tc>
          <w:tcPr>
            <w:tcW w:type="dxa" w:w="32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Supabase API Keys</w:t>
            </w:r>
          </w:p>
        </w:tc>
        <w:tc>
          <w:tcPr>
            <w:tcW w:type="dxa" w:w="291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 only; bypasses RLS; never VITE_ or client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PAYMONGO_SECRET_KEY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PayMongo developer keys</w:t>
            </w:r>
          </w:p>
        </w:tc>
        <w:tc>
          <w:tcPr>
            <w:tcW w:type="dxa" w:w="291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 only; sk_test_ until approved live launch</w:t>
            </w:r>
          </w:p>
        </w:tc>
      </w:tr>
      <w:tr>
        <w:trPr>
          <w:cantSplit/>
        </w:trPr>
        <w:tc>
          <w:tcPr>
            <w:tcW w:type="dxa" w:w="32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PAYMONGO_WEBHOOK_SECRET</w:t>
            </w:r>
          </w:p>
        </w:tc>
        <w:tc>
          <w:tcPr>
            <w:tcW w:type="dxa" w:w="32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PayMongo webhook endpoint</w:t>
            </w:r>
          </w:p>
        </w:tc>
        <w:tc>
          <w:tcPr>
            <w:tcW w:type="dxa" w:w="291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Separate test/live; verify raw body signatures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PAYMONGO_PAYOUT_WALLET_ID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Authorized PayMongo API/account response</w:t>
            </w:r>
          </w:p>
        </w:tc>
        <w:tc>
          <w:tcPr>
            <w:tcW w:type="dxa" w:w="291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 not guess from dashboard; optional until access</w:t>
            </w:r>
          </w:p>
        </w:tc>
      </w:tr>
      <w:tr>
        <w:trPr>
          <w:cantSplit/>
        </w:trPr>
        <w:tc>
          <w:tcPr>
            <w:tcW w:type="dxa" w:w="32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PAYMONGO_WEBHOOK_TOLERANCE_SECONDS</w:t>
            </w:r>
          </w:p>
        </w:tc>
        <w:tc>
          <w:tcPr>
            <w:tcW w:type="dxa" w:w="32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SafeDrive policy</w:t>
            </w:r>
          </w:p>
        </w:tc>
        <w:tc>
          <w:tcPr>
            <w:tcW w:type="dxa" w:w="291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300 is the current replay tolerance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PAYMONGO_ENABLE_SANDBOX_PAYOUT_COMPLETION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SafeDrive local-only flag</w:t>
            </w:r>
          </w:p>
        </w:tc>
        <w:tc>
          <w:tcPr>
            <w:tcW w:type="dxa" w:w="291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true only localhost; false/absent when hosted</w:t>
            </w:r>
          </w:p>
        </w:tc>
      </w:tr>
      <w:tr>
        <w:trPr>
          <w:cantSplit/>
        </w:trPr>
        <w:tc>
          <w:tcPr>
            <w:tcW w:type="dxa" w:w="32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CRON_SECRET</w:t>
            </w:r>
          </w:p>
        </w:tc>
        <w:tc>
          <w:tcPr>
            <w:tcW w:type="dxa" w:w="32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Random 32-byte value</w:t>
            </w:r>
          </w:p>
        </w:tc>
        <w:tc>
          <w:tcPr>
            <w:tcW w:type="dxa" w:w="291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Protect scheduled endpoints; rotate on exposure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GUEST_INQUIRY_HASH_SALT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Independent random 32-byte value</w:t>
            </w:r>
          </w:p>
        </w:tc>
        <w:tc>
          <w:tcPr>
            <w:tcW w:type="dxa" w:w="291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Hashes rate-limit identity; never reuse another secret</w:t>
            </w:r>
          </w:p>
        </w:tc>
      </w:tr>
      <w:tr>
        <w:trPr>
          <w:cantSplit/>
        </w:trPr>
        <w:tc>
          <w:tcPr>
            <w:tcW w:type="dxa" w:w="32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GMAIL_WEBHOOK_SHARED_SECRET</w:t>
            </w:r>
          </w:p>
        </w:tc>
        <w:tc>
          <w:tcPr>
            <w:tcW w:type="dxa" w:w="32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Independent random value</w:t>
            </w:r>
          </w:p>
        </w:tc>
        <w:tc>
          <w:tcPr>
            <w:tcW w:type="dxa" w:w="291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Must equal Apps Script SAFEDRIVE_WEBHOOK_SECRET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GMAIL_GUEST_INQUIRY_WEBHOOK_URL</w:t>
            </w:r>
          </w:p>
        </w:tc>
        <w:tc>
          <w:tcPr>
            <w:tcW w:type="dxa" w:w="32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Deployed Apps Script /exec URL</w:t>
            </w:r>
          </w:p>
        </w:tc>
        <w:tc>
          <w:tcPr>
            <w:tcW w:type="dxa" w:w="291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 only; retest after new deployment</w:t>
            </w:r>
          </w:p>
        </w:tc>
      </w:tr>
      <w:tr>
        <w:trPr>
          <w:cantSplit/>
        </w:trPr>
        <w:tc>
          <w:tcPr>
            <w:tcW w:type="dxa" w:w="32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GMAIL_RETURN_REMINDER_WEBHOOK_URL</w:t>
            </w:r>
          </w:p>
        </w:tc>
        <w:tc>
          <w:tcPr>
            <w:tcW w:type="dxa" w:w="32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Deployed Apps Script /exec URL</w:t>
            </w:r>
          </w:p>
        </w:tc>
        <w:tc>
          <w:tcPr>
            <w:tcW w:type="dxa" w:w="291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Server only; can be same deployment if code routes actions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keepNext w:val="false"/>
        <w:spacing w:after="120" w:line="300"/>
      </w:pPr>
      <w:sdt>
        <w:sdtPr>
          <w:alias w:val="ENV-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ENV-01  </w:t>
      </w:r>
      <w:r>
        <w:rPr>
          <w:rFonts w:ascii="Calibri" w:cs="Calibri" w:eastAsia="Calibri" w:hAnsi="Calibri"/>
          <w:sz w:val="22"/>
          <w:szCs w:val="22"/>
        </w:rPr>
        <w:t xml:space="preserve">Run npm run check:env and resolve every missing/placeholder requirement.</w:t>
      </w:r>
    </w:p>
    <w:p>
      <w:pPr>
        <w:keepNext w:val="false"/>
        <w:spacing w:after="120" w:line="300"/>
      </w:pPr>
      <w:sdt>
        <w:sdtPr>
          <w:alias w:val="ENV-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ENV-02  </w:t>
      </w:r>
      <w:r>
        <w:rPr>
          <w:rFonts w:ascii="Calibri" w:cs="Calibri" w:eastAsia="Calibri" w:hAnsi="Calibri"/>
          <w:sz w:val="22"/>
          <w:szCs w:val="22"/>
        </w:rPr>
        <w:t xml:space="preserve">Rotate secrets if they were ever displayed publicly or included in a screenshot.</w:t>
      </w:r>
    </w:p>
    <w:p>
      <w:pPr>
        <w:keepNext w:val="false"/>
        <w:spacing w:after="120" w:line="300"/>
      </w:pPr>
      <w:sdt>
        <w:sdtPr>
          <w:alias w:val="ENV-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  ENV-03  </w:t>
      </w:r>
      <w:r>
        <w:rPr>
          <w:rFonts w:ascii="Calibri" w:cs="Calibri" w:eastAsia="Calibri" w:hAnsi="Calibri"/>
          <w:sz w:val="22"/>
          <w:szCs w:val="22"/>
        </w:rPr>
        <w:t xml:space="preserve">Keep a redacted environment inventory with owner, source, scope, rotation date and environments—not the secret values.</w:t>
      </w:r>
    </w:p>
    <w:p>
      <w:pPr>
        <w:pStyle w:val="Heading1"/>
      </w:pPr>
      <w:r>
        <w:t xml:space="preserve">Appendix B. Evidence Register Template</w:t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1450"/>
        <w:gridCol w:w="3300"/>
        <w:gridCol w:w="1500"/>
        <w:gridCol w:w="1750"/>
        <w:gridCol w:w="1360"/>
      </w:tblGrid>
      <w:tr>
        <w:trPr>
          <w:cantSplit/>
          <w:tblHeader/>
        </w:trPr>
        <w:tc>
          <w:tcPr>
            <w:tcW w:type="dxa" w:w="145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Checklist ID</w:t>
            </w:r>
          </w:p>
        </w:tc>
        <w:tc>
          <w:tcPr>
            <w:tcW w:type="dxa" w:w="330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Evidence file/link</w:t>
            </w:r>
          </w:p>
        </w:tc>
        <w:tc>
          <w:tcPr>
            <w:tcW w:type="dxa" w:w="150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Result</w:t>
            </w:r>
          </w:p>
        </w:tc>
        <w:tc>
          <w:tcPr>
            <w:tcW w:type="dxa" w:w="175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Tester/date</w:t>
            </w:r>
          </w:p>
        </w:tc>
        <w:tc>
          <w:tcPr>
            <w:tcW w:type="dxa" w:w="1360"/>
            <w:shd w:fill="E8EEF5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Reviewer</w:t>
            </w:r>
          </w:p>
        </w:tc>
      </w:tr>
      <w:tr>
        <w:trPr>
          <w:cantSplit/>
        </w:trPr>
        <w:tc>
          <w:tcPr>
            <w:tcW w:type="dxa" w:w="14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 / Fail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 / Fail</w:t>
            </w:r>
          </w:p>
        </w:tc>
        <w:tc>
          <w:tcPr>
            <w:tcW w:type="dxa" w:w="17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 / Fail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 / Fail</w:t>
            </w:r>
          </w:p>
        </w:tc>
        <w:tc>
          <w:tcPr>
            <w:tcW w:type="dxa" w:w="17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 / Fail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 / Fail</w:t>
            </w:r>
          </w:p>
        </w:tc>
        <w:tc>
          <w:tcPr>
            <w:tcW w:type="dxa" w:w="17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 / Fail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 / Fail</w:t>
            </w:r>
          </w:p>
        </w:tc>
        <w:tc>
          <w:tcPr>
            <w:tcW w:type="dxa" w:w="17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 / Fail</w:t>
            </w:r>
          </w:p>
        </w:tc>
        <w:tc>
          <w:tcPr>
            <w:tcW w:type="dxa" w:w="175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0"/>
            <w:shd w:fill="FFFFFF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33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50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Pass / Fail</w:t>
            </w:r>
          </w:p>
        </w:tc>
        <w:tc>
          <w:tcPr>
            <w:tcW w:type="dxa" w:w="17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136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 blocker: 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________________________________________________________________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 needed from: 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________________________________________________________________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Next retest date: 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________________________________________________________________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Release decision and reason: 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________________________________________________________________</w:t>
      </w:r>
    </w:p>
    <w:p>
      <w:pPr>
        <w:pStyle w:val="Heading1"/>
      </w:pPr>
      <w:r>
        <w:t xml:space="preserve">Appendix C. Primary Research Sources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Sources were checked for this checklist on 6 August 2026. Recheck provider pricing, limits and operational instructions on the actual deployment date.</w:t>
      </w:r>
    </w:p>
    <w:p>
      <w:pPr>
        <w:pStyle w:val="Heading2"/>
      </w:pPr>
      <w:r>
        <w:t xml:space="preserve">Supabase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ddgukr_zt55w72xkdjr0j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Supabase API keys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https://supabase.com/docs/guides/getting-started/api-keys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jvyxexwmasgvzses9jvix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Supabase Auth redirect URLs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https://supabase.com/docs/guides/auth/redirect-urls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cbz5nbb77ywxo1enfxprw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Supabase Row Level Security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https://supabase.com/docs/guides/database/postgres/row-level-security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hn2npaxpbgssuiobkqkru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Supabase Storage access control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https://supabase.com/docs/guides/storage/security/access-control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fzcz3j3fur-6gah1xyjvo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Supabase backups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https://supabase.com/docs/guides/platform/backups</w:t>
      </w:r>
    </w:p>
    <w:p>
      <w:pPr>
        <w:pStyle w:val="Heading2"/>
      </w:pPr>
      <w:r>
        <w:t xml:space="preserve">PayMongo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bpqgyxfk4ady_7ghhaoq3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PayMongo disbursement reconciliation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https://docs.paymongo.com/docs/money-movement-disbursements-reconciliation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6hqldi4ukpxfyxhejna7z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PayMongo disbursements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https://docs.paymongo.com/docs/money-movement-disbursements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nocdgemdqjjjahcq1trpa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PayMongo send money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https://docs.paymongo.com/docs/money-movement-send-money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3cgmltlw_i2yx_xonhtug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PayMongo payouts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https://docs.paymongo.com/docs/money-movement-payouts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ulbxuxdqsl5mwvoikiwmo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PayMongo refunds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https://docs.paymongo.com/docs/payment-acceptance-refunds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hug6lskt7auywy14awkkp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PayMongo webhook setup and signatures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https://docs.paymongo.com/do/docs/developer-tools-webhook-setup-management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twgqsa5qs95-srya65dv4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PayMongo webhook resource and retry behavior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https://docs.paymongo.com/reference/webhook-resource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sw_x70tdhccs3ak1fkrnw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PayMongo webhook concepts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https://docs.paymongo.com/docs/developer-tools-webhooks-key-concepts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o76mmsdsgwf1mklzfkj35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PayMongo wallets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https://docs.paymongo.com/docs/money-movement-wallets</w:t>
      </w:r>
    </w:p>
    <w:p>
      <w:pPr>
        <w:pStyle w:val="Heading2"/>
      </w:pPr>
      <w:r>
        <w:t xml:space="preserve">Philippine law and official guidance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ax70jeq8spfgnonyjz01l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National Privacy Commission — Data Privacy Act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https://privacy.gov.ph/data-privacy-act/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hw_taog_cz4nvwukyshec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National Privacy Commission — right to erasure or blocking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https://privacy.gov.ph/right-to-erasure-or-blocking/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1vzpqnly40lp_fg-5z6xw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National Privacy Commission — breach reporting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https://privacy.gov.ph/pips-and-pics/breach-reporting/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ahjoy3j6bdime5uh_8cab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National Privacy Commission — registration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https://privacy.gov.ph/pips-and-pics/register/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xcwg8e4nlhqjnpvfavnvj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Electronic Commerce Act, RA 8792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https://lawphil.net/statutes/repacts/ra2000/ra_8792_2000.html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ivlmti6v5wrteykgelab8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Internet Transactions Act, RA 11967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https://lawphil.net/statutes/repacts/ra2023/ra_11967_2023.html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erogopddsqcsyrrej8unc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DTI implementing rules for RA 11967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https://ecommerce.dti.gov.ph/implementing-rules-and-regulations/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d-fm950aswmcnrwevzj0r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Consumer Act, RA 7394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https://lawphil.net/statutes/repacts/ra1992/ra_7394_1992.html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dkscmt604lypv9xdgvkdv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BIR Revenue Regulations No. 7-2024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https://bir-cdn.bir.gov.ph/BIR/pdf/RR%207-2024.pdf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bt7wdrak-i5bnwxwmerjk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Insurance Commission FAQs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https://www.insurance.gov.ph/faqs/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19ciacxxgf_fjckbhpmpp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Land Transportation and Traffic Code, RA 4136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https://lawphil.net/statutes/repacts/ra1964/ra_4136_1964.html</w:t>
      </w:r>
    </w:p>
    <w:p>
      <w:pPr>
        <w:pStyle w:val="Heading2"/>
      </w:pPr>
      <w:r>
        <w:t xml:space="preserve">Accessibility and hosting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aig6v9uul0hkbz6l1hc-v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W3C Web Content Accessibility Guidelines 2.2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https://www.w3.org/TR/WCAG22/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uzsbgjjjf-haiw2sbdauc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Netlify pricing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https://www.netlify.com/pricing/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cfw090xzl3uwmarqtkgtz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Netlify Functions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https://www.netlify.com/platform/functions/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fsx1yhp7eacdhs9nw-gkg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Cloudflare Pages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https://developers.cloudflare.com/pages/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esvs_w_zmxx2wjkmijai1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Cloudflare Pages limits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https://developers.cloudflare.com/pages/platform/limits/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bjlbsanlirgn9xbdonwhp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Render free-service limits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https://render.com/docs/free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l9fw2rj31tb7rhwhhol8c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Render cron jobs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https://render.com/docs/cronjobs</w:t>
      </w:r>
    </w:p>
    <w:p>
      <w:pPr>
        <w:spacing w:after="70" w:line="260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hyperlink w:history="1" r:id="rId9fq54prbrkch-5hiatfx6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Railway pricing plans</w:t>
        </w:r>
      </w:hyperlink>
      <w:r>
        <w:rPr>
          <w:rFonts w:ascii="Calibri" w:cs="Calibri" w:eastAsia="Calibri" w:hAnsi="Calibri"/>
          <w:color w:val="666666"/>
          <w:sz w:val="18"/>
          <w:szCs w:val="18"/>
        </w:rPr>
        <w:t xml:space="preserve"> — https://docs.railway.com/pricing/plans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B8C7D9" w:sz="2"/>
          <w:left w:val="single" w:color="B8C7D9" w:sz="2"/>
          <w:bottom w:val="single" w:color="B8C7D9" w:sz="2"/>
          <w:right w:val="single" w:color="B8C7D9" w:sz="2"/>
          <w:insideH w:val="single" w:color="D9E2F3" w:sz="1"/>
          <w:insideV w:val="single" w:color="D9E2F3" w:sz="1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shd w:fill="FFF2C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Final reminder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Official sources explain duties and provider behavior, but SafeDrive still needs advice based on its final contracts, corporate/tax status, transaction flow, insurance products, data map and hosting architecture.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SafeDrive working document  | 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single" w:color="2E74B5" w:sz="6"/>
        <w:right w:val="none"/>
        <w:insideH w:val="none"/>
        <w:insideV w:val="none"/>
      </w:tblBorders>
      <w:tblLayout w:type="fixed"/>
    </w:tblPr>
    <w:tblGrid>
      <w:gridCol w:w="6200"/>
      <w:gridCol w:w="3160"/>
    </w:tblGrid>
    <w:tr>
      <w:tc>
        <w:tcPr>
          <w:tcW w:type="dxa" w:w="6200"/>
          <w:shd w:fill="FFFFFF" w:val="clear"/>
          <w:tcMar>
            <w:top w:type="dxa" w:w="100"/>
            <w:left w:type="dxa" w:w="110"/>
            <w:bottom w:type="dxa" w:w="100"/>
            <w:right w:type="dxa" w:w="110"/>
          </w:tcMar>
        </w:tcPr>
        <w:p>
          <w:pPr>
            <w:spacing w:after="40"/>
          </w:pPr>
          <w:r>
            <w:rPr>
              <w:rFonts w:ascii="Calibri" w:cs="Calibri" w:eastAsia="Calibri" w:hAnsi="Calibri"/>
              <w:b/>
              <w:bCs/>
              <w:color w:val="1F4D78"/>
              <w:sz w:val="18"/>
              <w:szCs w:val="18"/>
            </w:rPr>
            <w:t xml:space="preserve">SAFEDRIVE 2.0</w:t>
          </w:r>
        </w:p>
      </w:tc>
      <w:tc>
        <w:tcPr>
          <w:tcW w:type="dxa" w:w="3160"/>
          <w:shd w:fill="FFFFFF" w:val="clear"/>
          <w:tcMar>
            <w:top w:type="dxa" w:w="100"/>
            <w:left w:type="dxa" w:w="110"/>
            <w:bottom w:type="dxa" w:w="100"/>
            <w:right w:type="dxa" w:w="110"/>
          </w:tcMar>
        </w:tcPr>
        <w:p>
          <w:pPr>
            <w:spacing w:after="40"/>
            <w:jc w:val="right"/>
          </w:pPr>
          <w:r>
            <w:rPr>
              <w:rFonts w:ascii="Calibri" w:cs="Calibri" w:eastAsia="Calibri" w:hAnsi="Calibri"/>
              <w:b/>
              <w:bCs/>
              <w:color w:val="666666"/>
              <w:sz w:val="16"/>
              <w:szCs w:val="16"/>
            </w:rPr>
            <w:t xml:space="preserve">ACTION &amp; LAUNCH CHECKLIST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  <w:lvl w:ilvl="1" w15:tentative="1">
      <w:start w:val="1"/>
      <w:numFmt w:val="lowerLetter"/>
      <w:lvlText w:val="%2."/>
      <w:lvlJc w:val="left"/>
      <w:pPr>
        <w:ind w:left="9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/>
    </w:pPr>
    <w:rPr>
      <w:rFonts w:ascii="Calibri" w:cs="Calibri" w:eastAsia="Calibri" w:hAnsi="Calibri"/>
      <w:b/>
      <w:bCs/>
      <w:color w:val="1F4D78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360" w:after="200"/>
      <w:outlineLvl w:val="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40"/>
      <w:outlineLvl w:val="1"/>
    </w:pPr>
    <w:rPr>
      <w:rFonts w:ascii="Calibri" w:cs="Calibri" w:eastAsia="Calibri" w:hAnsi="Calibri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100"/>
      <w:outlineLvl w:val="2"/>
    </w:pPr>
    <w:rPr>
      <w:rFonts w:ascii="Calibri" w:cs="Calibri" w:eastAsia="Calibri" w:hAnsi="Calibri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ddgukr_zt55w72xkdjr0j" Type="http://schemas.openxmlformats.org/officeDocument/2006/relationships/hyperlink" Target="https://supabase.com/docs/guides/getting-started/api-keys" TargetMode="External"/><Relationship Id="rIdjvyxexwmasgvzses9jvix" Type="http://schemas.openxmlformats.org/officeDocument/2006/relationships/hyperlink" Target="https://supabase.com/docs/guides/auth/redirect-urls" TargetMode="External"/><Relationship Id="rIdcbz5nbb77ywxo1enfxprw" Type="http://schemas.openxmlformats.org/officeDocument/2006/relationships/hyperlink" Target="https://supabase.com/docs/guides/database/postgres/row-level-security" TargetMode="External"/><Relationship Id="rIdhn2npaxpbgssuiobkqkru" Type="http://schemas.openxmlformats.org/officeDocument/2006/relationships/hyperlink" Target="https://supabase.com/docs/guides/storage/security/access-control" TargetMode="External"/><Relationship Id="rIdfzcz3j3fur-6gah1xyjvo" Type="http://schemas.openxmlformats.org/officeDocument/2006/relationships/hyperlink" Target="https://supabase.com/docs/guides/platform/backups" TargetMode="External"/><Relationship Id="rIdbpqgyxfk4ady_7ghhaoq3" Type="http://schemas.openxmlformats.org/officeDocument/2006/relationships/hyperlink" Target="https://docs.paymongo.com/docs/money-movement-disbursements-reconciliation" TargetMode="External"/><Relationship Id="rId6hqldi4ukpxfyxhejna7z" Type="http://schemas.openxmlformats.org/officeDocument/2006/relationships/hyperlink" Target="https://docs.paymongo.com/docs/money-movement-disbursements" TargetMode="External"/><Relationship Id="rIdnocdgemdqjjjahcq1trpa" Type="http://schemas.openxmlformats.org/officeDocument/2006/relationships/hyperlink" Target="https://docs.paymongo.com/docs/money-movement-send-money" TargetMode="External"/><Relationship Id="rId3cgmltlw_i2yx_xonhtug" Type="http://schemas.openxmlformats.org/officeDocument/2006/relationships/hyperlink" Target="https://docs.paymongo.com/docs/money-movement-payouts" TargetMode="External"/><Relationship Id="rIdulbxuxdqsl5mwvoikiwmo" Type="http://schemas.openxmlformats.org/officeDocument/2006/relationships/hyperlink" Target="https://docs.paymongo.com/docs/payment-acceptance-refunds" TargetMode="External"/><Relationship Id="rIdhug6lskt7auywy14awkkp" Type="http://schemas.openxmlformats.org/officeDocument/2006/relationships/hyperlink" Target="https://docs.paymongo.com/do/docs/developer-tools-webhook-setup-management" TargetMode="External"/><Relationship Id="rIdtwgqsa5qs95-srya65dv4" Type="http://schemas.openxmlformats.org/officeDocument/2006/relationships/hyperlink" Target="https://docs.paymongo.com/reference/webhook-resource" TargetMode="External"/><Relationship Id="rIdsw_x70tdhccs3ak1fkrnw" Type="http://schemas.openxmlformats.org/officeDocument/2006/relationships/hyperlink" Target="https://docs.paymongo.com/docs/developer-tools-webhooks-key-concepts" TargetMode="External"/><Relationship Id="rIdo76mmsdsgwf1mklzfkj35" Type="http://schemas.openxmlformats.org/officeDocument/2006/relationships/hyperlink" Target="https://docs.paymongo.com/docs/money-movement-wallets" TargetMode="External"/><Relationship Id="rIdax70jeq8spfgnonyjz01l" Type="http://schemas.openxmlformats.org/officeDocument/2006/relationships/hyperlink" Target="https://privacy.gov.ph/data-privacy-act/" TargetMode="External"/><Relationship Id="rIdhw_taog_cz4nvwukyshec" Type="http://schemas.openxmlformats.org/officeDocument/2006/relationships/hyperlink" Target="https://privacy.gov.ph/right-to-erasure-or-blocking/" TargetMode="External"/><Relationship Id="rId1vzpqnly40lp_fg-5z6xw" Type="http://schemas.openxmlformats.org/officeDocument/2006/relationships/hyperlink" Target="https://privacy.gov.ph/pips-and-pics/breach-reporting/" TargetMode="External"/><Relationship Id="rIdahjoy3j6bdime5uh_8cab" Type="http://schemas.openxmlformats.org/officeDocument/2006/relationships/hyperlink" Target="https://privacy.gov.ph/pips-and-pics/register/" TargetMode="External"/><Relationship Id="rIdxcwg8e4nlhqjnpvfavnvj" Type="http://schemas.openxmlformats.org/officeDocument/2006/relationships/hyperlink" Target="https://lawphil.net/statutes/repacts/ra2000/ra_8792_2000.html" TargetMode="External"/><Relationship Id="rIdivlmti6v5wrteykgelab8" Type="http://schemas.openxmlformats.org/officeDocument/2006/relationships/hyperlink" Target="https://lawphil.net/statutes/repacts/ra2023/ra_11967_2023.html" TargetMode="External"/><Relationship Id="rIderogopddsqcsyrrej8unc" Type="http://schemas.openxmlformats.org/officeDocument/2006/relationships/hyperlink" Target="https://ecommerce.dti.gov.ph/implementing-rules-and-regulations/" TargetMode="External"/><Relationship Id="rIdd-fm950aswmcnrwevzj0r" Type="http://schemas.openxmlformats.org/officeDocument/2006/relationships/hyperlink" Target="https://lawphil.net/statutes/repacts/ra1992/ra_7394_1992.html" TargetMode="External"/><Relationship Id="rIddkscmt604lypv9xdgvkdv" Type="http://schemas.openxmlformats.org/officeDocument/2006/relationships/hyperlink" Target="https://bir-cdn.bir.gov.ph/BIR/pdf/RR%207-2024.pdf" TargetMode="External"/><Relationship Id="rIdbt7wdrak-i5bnwxwmerjk" Type="http://schemas.openxmlformats.org/officeDocument/2006/relationships/hyperlink" Target="https://www.insurance.gov.ph/faqs/" TargetMode="External"/><Relationship Id="rId19ciacxxgf_fjckbhpmpp" Type="http://schemas.openxmlformats.org/officeDocument/2006/relationships/hyperlink" Target="https://lawphil.net/statutes/repacts/ra1964/ra_4136_1964.html" TargetMode="External"/><Relationship Id="rIdaig6v9uul0hkbz6l1hc-v" Type="http://schemas.openxmlformats.org/officeDocument/2006/relationships/hyperlink" Target="https://www.w3.org/TR/WCAG22/" TargetMode="External"/><Relationship Id="rIduzsbgjjjf-haiw2sbdauc" Type="http://schemas.openxmlformats.org/officeDocument/2006/relationships/hyperlink" Target="https://www.netlify.com/pricing/" TargetMode="External"/><Relationship Id="rIdcfw090xzl3uwmarqtkgtz" Type="http://schemas.openxmlformats.org/officeDocument/2006/relationships/hyperlink" Target="https://www.netlify.com/platform/functions/" TargetMode="External"/><Relationship Id="rIdfsx1yhp7eacdhs9nw-gkg" Type="http://schemas.openxmlformats.org/officeDocument/2006/relationships/hyperlink" Target="https://developers.cloudflare.com/pages/" TargetMode="External"/><Relationship Id="rIdesvs_w_zmxx2wjkmijai1" Type="http://schemas.openxmlformats.org/officeDocument/2006/relationships/hyperlink" Target="https://developers.cloudflare.com/pages/platform/limits/" TargetMode="External"/><Relationship Id="rIdbjlbsanlirgn9xbdonwhp" Type="http://schemas.openxmlformats.org/officeDocument/2006/relationships/hyperlink" Target="https://render.com/docs/free" TargetMode="External"/><Relationship Id="rIdl9fw2rj31tb7rhwhhol8c" Type="http://schemas.openxmlformats.org/officeDocument/2006/relationships/hyperlink" Target="https://render.com/docs/cronjobs" TargetMode="External"/><Relationship Id="rId9fq54prbrkch-5hiatfx6" Type="http://schemas.openxmlformats.org/officeDocument/2006/relationships/hyperlink" Target="https://docs.railway.com/pricing/plans" TargetMode="External"/><Relationship Id="rId4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SafeDrive 2.0 Action, Evidence and Launch Checklist</dc:title>
  <dc:creator>SafeDrive 2.0 / Codex</dc:creator>
  <dc:description>Weekly and launch-readiness checklist with evidence gates and primary research references.</dc:description>
  <cp:lastModifiedBy>Un-named</cp:lastModifiedBy>
  <cp:revision>1</cp:revision>
  <dcterms:created xsi:type="dcterms:W3CDTF">2026-08-06T05:53:23.894Z</dcterms:created>
  <dcterms:modified xsi:type="dcterms:W3CDTF">2026-08-06T05:53:23.895Z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