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48F1A" w14:textId="77777777" w:rsidR="005F7FEF" w:rsidRDefault="005F7FEF" w:rsidP="005F7FEF">
      <w:pPr>
        <w:pStyle w:val="NormalWeb"/>
        <w:jc w:val="center"/>
        <w:rPr>
          <w:rFonts w:ascii="OpenSans" w:hAnsi="OpenSans"/>
          <w:sz w:val="28"/>
          <w:szCs w:val="28"/>
        </w:rPr>
      </w:pPr>
    </w:p>
    <w:p w14:paraId="5C12DA38" w14:textId="77777777" w:rsidR="005F7FEF" w:rsidRDefault="005F7FEF" w:rsidP="005F7FEF">
      <w:pPr>
        <w:pStyle w:val="NormalWeb"/>
        <w:jc w:val="center"/>
        <w:rPr>
          <w:rFonts w:ascii="OpenSans" w:hAnsi="OpenSans"/>
          <w:sz w:val="28"/>
          <w:szCs w:val="28"/>
        </w:rPr>
      </w:pPr>
    </w:p>
    <w:p w14:paraId="63D3A30B" w14:textId="77777777" w:rsidR="005F7FEF" w:rsidRDefault="005F7FEF" w:rsidP="009F49B4">
      <w:pPr>
        <w:pStyle w:val="NormalWeb"/>
        <w:rPr>
          <w:rFonts w:ascii="OpenSans" w:hAnsi="OpenSans"/>
          <w:sz w:val="28"/>
          <w:szCs w:val="28"/>
        </w:rPr>
      </w:pPr>
    </w:p>
    <w:p w14:paraId="4922CBAA" w14:textId="77777777" w:rsidR="005F7FEF" w:rsidRDefault="005F7FEF" w:rsidP="005F7FEF">
      <w:pPr>
        <w:pStyle w:val="NormalWeb"/>
        <w:jc w:val="center"/>
        <w:rPr>
          <w:rFonts w:ascii="OpenSans" w:hAnsi="OpenSans"/>
          <w:sz w:val="28"/>
          <w:szCs w:val="28"/>
        </w:rPr>
      </w:pPr>
      <w:bookmarkStart w:id="0" w:name="_Hlk112407303"/>
    </w:p>
    <w:p w14:paraId="14E0DC57" w14:textId="37441D01" w:rsidR="00734443" w:rsidRDefault="00734443" w:rsidP="005F7FEF">
      <w:pPr>
        <w:pStyle w:val="NormalWeb"/>
        <w:jc w:val="center"/>
        <w:rPr>
          <w:rFonts w:ascii="OpenSans" w:hAnsi="OpenSans"/>
          <w:sz w:val="28"/>
          <w:szCs w:val="28"/>
        </w:rPr>
      </w:pPr>
      <w:r w:rsidRPr="00734443">
        <w:rPr>
          <w:rFonts w:ascii="OpenSans" w:hAnsi="OpenSans"/>
          <w:sz w:val="28"/>
          <w:szCs w:val="28"/>
        </w:rPr>
        <w:t xml:space="preserve">Impacts of Genetic Variation and Silvicultural Treatments on Loblolly Pine Water Use </w:t>
      </w:r>
    </w:p>
    <w:p w14:paraId="4B197173" w14:textId="77777777" w:rsidR="009F49B4" w:rsidRDefault="009F49B4" w:rsidP="005F7FEF">
      <w:pPr>
        <w:pStyle w:val="NormalWeb"/>
        <w:jc w:val="center"/>
        <w:rPr>
          <w:rFonts w:ascii="OpenSans" w:hAnsi="OpenSans"/>
          <w:sz w:val="28"/>
          <w:szCs w:val="28"/>
        </w:rPr>
      </w:pPr>
    </w:p>
    <w:bookmarkEnd w:id="0"/>
    <w:p w14:paraId="3B331681" w14:textId="32CC8D08" w:rsidR="005F7FEF" w:rsidRDefault="009F49B4" w:rsidP="005F7FEF">
      <w:pPr>
        <w:pStyle w:val="NormalWeb"/>
        <w:jc w:val="center"/>
        <w:rPr>
          <w:rFonts w:ascii="OpenSans" w:hAnsi="OpenSans"/>
          <w:sz w:val="22"/>
          <w:szCs w:val="22"/>
        </w:rPr>
      </w:pPr>
      <w:r>
        <w:rPr>
          <w:rFonts w:ascii="OpenSans" w:hAnsi="OpenSans"/>
          <w:sz w:val="22"/>
          <w:szCs w:val="22"/>
        </w:rPr>
        <w:t>B</w:t>
      </w:r>
      <w:r w:rsidR="005F7FEF">
        <w:rPr>
          <w:rFonts w:ascii="OpenSans" w:hAnsi="OpenSans"/>
          <w:sz w:val="22"/>
          <w:szCs w:val="22"/>
        </w:rPr>
        <w:t>y</w:t>
      </w:r>
    </w:p>
    <w:p w14:paraId="737C30AC" w14:textId="77777777" w:rsidR="009F49B4" w:rsidRDefault="009F49B4" w:rsidP="005F7FEF">
      <w:pPr>
        <w:pStyle w:val="NormalWeb"/>
        <w:jc w:val="center"/>
      </w:pPr>
    </w:p>
    <w:p w14:paraId="0C8A5CC1" w14:textId="5DCFDA0A" w:rsidR="00734443" w:rsidRDefault="005F7FEF" w:rsidP="005F7FEF">
      <w:pPr>
        <w:pStyle w:val="NormalWeb"/>
        <w:jc w:val="center"/>
        <w:rPr>
          <w:rFonts w:ascii="OpenSans" w:hAnsi="OpenSans"/>
          <w:sz w:val="22"/>
          <w:szCs w:val="22"/>
        </w:rPr>
      </w:pPr>
      <w:r>
        <w:rPr>
          <w:rFonts w:asciiTheme="minorEastAsia" w:eastAsiaTheme="minorEastAsia" w:hAnsiTheme="minorEastAsia"/>
          <w:sz w:val="22"/>
          <w:szCs w:val="22"/>
          <w:lang w:eastAsia="zh-CN"/>
        </w:rPr>
        <w:t>Azura Liu</w:t>
      </w:r>
      <w:r>
        <w:rPr>
          <w:rFonts w:ascii="OpenSans" w:hAnsi="OpenSans"/>
          <w:sz w:val="22"/>
          <w:szCs w:val="22"/>
        </w:rPr>
        <w:t xml:space="preserve"> </w:t>
      </w:r>
    </w:p>
    <w:p w14:paraId="09EC967D" w14:textId="77777777" w:rsidR="009F49B4" w:rsidRDefault="009F49B4" w:rsidP="005F7FEF">
      <w:pPr>
        <w:pStyle w:val="NormalWeb"/>
        <w:jc w:val="center"/>
        <w:rPr>
          <w:rFonts w:ascii="OpenSans" w:hAnsi="OpenSans"/>
          <w:sz w:val="22"/>
          <w:szCs w:val="22"/>
        </w:rPr>
      </w:pPr>
    </w:p>
    <w:p w14:paraId="1BF2B7AE" w14:textId="77777777" w:rsidR="00734443" w:rsidRDefault="005F7FEF" w:rsidP="005F7FEF">
      <w:pPr>
        <w:pStyle w:val="NormalWeb"/>
        <w:jc w:val="center"/>
        <w:rPr>
          <w:rFonts w:ascii="OpenSans" w:hAnsi="OpenSans"/>
          <w:sz w:val="22"/>
          <w:szCs w:val="22"/>
        </w:rPr>
      </w:pPr>
      <w:r>
        <w:rPr>
          <w:rFonts w:ascii="OpenSans" w:hAnsi="OpenSans"/>
          <w:sz w:val="22"/>
          <w:szCs w:val="22"/>
        </w:rPr>
        <w:t xml:space="preserve">Dr. </w:t>
      </w:r>
      <w:r w:rsidR="00734443">
        <w:rPr>
          <w:rFonts w:ascii="OpenSans" w:hAnsi="OpenSans"/>
          <w:sz w:val="22"/>
          <w:szCs w:val="22"/>
        </w:rPr>
        <w:t xml:space="preserve">Sari Palmroth, </w:t>
      </w:r>
      <w:r>
        <w:rPr>
          <w:rFonts w:ascii="OpenSans" w:hAnsi="OpenSans"/>
          <w:sz w:val="22"/>
          <w:szCs w:val="22"/>
        </w:rPr>
        <w:t xml:space="preserve">Advisor </w:t>
      </w:r>
    </w:p>
    <w:p w14:paraId="22C941F2" w14:textId="7B82274A" w:rsidR="00734443" w:rsidRDefault="00E3291D" w:rsidP="005F7FEF">
      <w:pPr>
        <w:pStyle w:val="NormalWeb"/>
        <w:jc w:val="center"/>
        <w:rPr>
          <w:rFonts w:ascii="OpenSans" w:hAnsi="OpenSans"/>
          <w:sz w:val="22"/>
          <w:szCs w:val="22"/>
        </w:rPr>
      </w:pPr>
      <w:r>
        <w:rPr>
          <w:rFonts w:ascii="OpenSans" w:hAnsi="OpenSans"/>
          <w:sz w:val="22"/>
          <w:szCs w:val="22"/>
        </w:rPr>
        <w:t xml:space="preserve">Dr. </w:t>
      </w:r>
      <w:r w:rsidR="00734443">
        <w:rPr>
          <w:rFonts w:ascii="OpenSans" w:hAnsi="OpenSans"/>
          <w:sz w:val="22"/>
          <w:szCs w:val="22"/>
        </w:rPr>
        <w:t>Christopher Maier</w:t>
      </w:r>
      <w:r>
        <w:rPr>
          <w:rFonts w:ascii="OpenSans" w:hAnsi="OpenSans"/>
          <w:sz w:val="22"/>
          <w:szCs w:val="22"/>
        </w:rPr>
        <w:t xml:space="preserve">, Advisor </w:t>
      </w:r>
    </w:p>
    <w:p w14:paraId="31F31626" w14:textId="6C4B3077" w:rsidR="005F7FEF" w:rsidRDefault="005F7FEF" w:rsidP="005F7FEF">
      <w:pPr>
        <w:pStyle w:val="NormalWeb"/>
        <w:jc w:val="center"/>
        <w:rPr>
          <w:rFonts w:ascii="OpenSans" w:hAnsi="OpenSans"/>
          <w:sz w:val="22"/>
          <w:szCs w:val="22"/>
        </w:rPr>
      </w:pPr>
      <w:r>
        <w:rPr>
          <w:rFonts w:ascii="OpenSans" w:hAnsi="OpenSans"/>
          <w:sz w:val="22"/>
          <w:szCs w:val="22"/>
        </w:rPr>
        <w:t>8/26/2022</w:t>
      </w:r>
    </w:p>
    <w:p w14:paraId="1B8F26CA" w14:textId="77777777" w:rsidR="009F49B4" w:rsidRDefault="009F49B4" w:rsidP="005F7FEF">
      <w:pPr>
        <w:pStyle w:val="NormalWeb"/>
        <w:jc w:val="center"/>
      </w:pPr>
    </w:p>
    <w:p w14:paraId="55A58DFD" w14:textId="77777777" w:rsidR="005F7FEF" w:rsidRDefault="005F7FEF" w:rsidP="005F7FEF">
      <w:pPr>
        <w:pStyle w:val="NormalWeb"/>
        <w:jc w:val="center"/>
      </w:pPr>
      <w:r>
        <w:rPr>
          <w:rFonts w:ascii="OpenSans" w:hAnsi="OpenSans"/>
          <w:sz w:val="22"/>
          <w:szCs w:val="22"/>
        </w:rPr>
        <w:t>Masters project submitted in partial fulfillment of the requirements for the Master of Environmental Management degree in the Nicholas School of the Environment of</w:t>
      </w:r>
      <w:r>
        <w:rPr>
          <w:rFonts w:ascii="OpenSans" w:hAnsi="OpenSans"/>
          <w:sz w:val="22"/>
          <w:szCs w:val="22"/>
        </w:rPr>
        <w:br/>
        <w:t>Duke University</w:t>
      </w:r>
    </w:p>
    <w:p w14:paraId="4B45091D" w14:textId="77777777" w:rsidR="005F7FEF" w:rsidRDefault="005F7FEF" w:rsidP="005F7FEF">
      <w:pPr>
        <w:jc w:val="center"/>
      </w:pPr>
    </w:p>
    <w:p w14:paraId="42DA1D5F" w14:textId="51B29D78" w:rsidR="005F7FEF" w:rsidRDefault="005F7FEF" w:rsidP="00C64F20">
      <w:pPr>
        <w:spacing w:after="0" w:line="480" w:lineRule="auto"/>
        <w:rPr>
          <w:rFonts w:ascii="Arial" w:hAnsi="Arial" w:cs="Arial"/>
          <w:sz w:val="27"/>
          <w:szCs w:val="27"/>
          <w:shd w:val="clear" w:color="auto" w:fill="FFFFFF"/>
        </w:rPr>
      </w:pPr>
    </w:p>
    <w:p w14:paraId="4C4FD5D1" w14:textId="2DCA88DF" w:rsidR="005F7FEF" w:rsidRDefault="005F7FEF" w:rsidP="00C64F20">
      <w:pPr>
        <w:spacing w:after="0" w:line="480" w:lineRule="auto"/>
        <w:rPr>
          <w:rFonts w:ascii="Arial" w:hAnsi="Arial" w:cs="Arial"/>
          <w:sz w:val="27"/>
          <w:szCs w:val="27"/>
          <w:shd w:val="clear" w:color="auto" w:fill="FFFFFF"/>
        </w:rPr>
      </w:pPr>
    </w:p>
    <w:p w14:paraId="4DF19399" w14:textId="47B84473" w:rsidR="005F7FEF" w:rsidRDefault="005F7FEF" w:rsidP="00C64F20">
      <w:pPr>
        <w:spacing w:after="0" w:line="480" w:lineRule="auto"/>
        <w:rPr>
          <w:rFonts w:ascii="Arial" w:hAnsi="Arial" w:cs="Arial"/>
          <w:sz w:val="27"/>
          <w:szCs w:val="27"/>
          <w:shd w:val="clear" w:color="auto" w:fill="FFFFFF"/>
        </w:rPr>
      </w:pPr>
    </w:p>
    <w:p w14:paraId="0326D0E3" w14:textId="03285788" w:rsidR="005F7FEF" w:rsidRDefault="005F7FEF" w:rsidP="00C64F20">
      <w:pPr>
        <w:spacing w:after="0" w:line="480" w:lineRule="auto"/>
        <w:rPr>
          <w:rFonts w:ascii="Arial" w:hAnsi="Arial" w:cs="Arial"/>
          <w:sz w:val="27"/>
          <w:szCs w:val="27"/>
          <w:shd w:val="clear" w:color="auto" w:fill="FFFFFF"/>
        </w:rPr>
      </w:pPr>
    </w:p>
    <w:p w14:paraId="058BA2E6" w14:textId="58F507CD" w:rsidR="005F7FEF" w:rsidRDefault="005F7FEF" w:rsidP="00C64F20">
      <w:pPr>
        <w:spacing w:after="0" w:line="480" w:lineRule="auto"/>
        <w:rPr>
          <w:rFonts w:ascii="Arial" w:hAnsi="Arial" w:cs="Arial"/>
          <w:sz w:val="27"/>
          <w:szCs w:val="27"/>
          <w:shd w:val="clear" w:color="auto" w:fill="FFFFFF"/>
        </w:rPr>
      </w:pPr>
    </w:p>
    <w:p w14:paraId="4B3930CB" w14:textId="77777777" w:rsidR="005F7FEF" w:rsidRDefault="005F7FEF" w:rsidP="00C64F20">
      <w:pPr>
        <w:spacing w:after="0" w:line="480" w:lineRule="auto"/>
        <w:rPr>
          <w:rFonts w:ascii="Arial" w:hAnsi="Arial" w:cs="Arial"/>
          <w:sz w:val="27"/>
          <w:szCs w:val="27"/>
          <w:shd w:val="clear" w:color="auto" w:fill="FFFFFF"/>
        </w:rPr>
      </w:pPr>
    </w:p>
    <w:p w14:paraId="49B59460" w14:textId="5AE6A5D6" w:rsidR="000529E0" w:rsidRPr="000529E0" w:rsidRDefault="00C40DA1" w:rsidP="000529E0">
      <w:pPr>
        <w:spacing w:after="0" w:line="480" w:lineRule="auto"/>
        <w:jc w:val="center"/>
        <w:rPr>
          <w:rFonts w:asciiTheme="minorEastAsia" w:hAnsiTheme="minorEastAsia" w:cstheme="minorHAnsi"/>
          <w:sz w:val="24"/>
          <w:szCs w:val="24"/>
        </w:rPr>
      </w:pPr>
      <w:r w:rsidRPr="00C40DA1">
        <w:rPr>
          <w:rFonts w:asciiTheme="minorEastAsia" w:hAnsiTheme="minorEastAsia" w:cstheme="minorHAnsi"/>
          <w:sz w:val="24"/>
          <w:szCs w:val="24"/>
        </w:rPr>
        <w:t>Executive Summary</w:t>
      </w:r>
    </w:p>
    <w:p w14:paraId="33A2AA9C" w14:textId="560A0ECD" w:rsidR="00C40DA1" w:rsidRDefault="000529E0" w:rsidP="000529E0">
      <w:pPr>
        <w:spacing w:after="0" w:line="480" w:lineRule="auto"/>
        <w:jc w:val="center"/>
        <w:rPr>
          <w:rFonts w:asciiTheme="minorEastAsia" w:hAnsiTheme="minorEastAsia" w:cstheme="minorHAnsi"/>
          <w:sz w:val="24"/>
          <w:szCs w:val="24"/>
        </w:rPr>
      </w:pPr>
      <w:r w:rsidRPr="000529E0">
        <w:rPr>
          <w:rFonts w:asciiTheme="minorEastAsia" w:hAnsiTheme="minorEastAsia" w:cstheme="minorHAnsi"/>
          <w:sz w:val="24"/>
          <w:szCs w:val="24"/>
        </w:rPr>
        <w:t xml:space="preserve">Impacts of Genetic Variation and Silvicultural Treatments on Loblolly Pine Water Use </w:t>
      </w:r>
      <w:r w:rsidR="00C40DA1" w:rsidRPr="00C40DA1">
        <w:rPr>
          <w:rFonts w:asciiTheme="minorEastAsia" w:hAnsiTheme="minorEastAsia" w:cstheme="minorHAnsi"/>
          <w:sz w:val="24"/>
          <w:szCs w:val="24"/>
        </w:rPr>
        <w:t>By</w:t>
      </w:r>
    </w:p>
    <w:p w14:paraId="4ED18E43" w14:textId="78B3DFD9" w:rsidR="00C40DA1" w:rsidRDefault="000529E0" w:rsidP="00C40DA1">
      <w:pPr>
        <w:spacing w:after="0" w:line="480" w:lineRule="auto"/>
        <w:jc w:val="center"/>
        <w:rPr>
          <w:rFonts w:asciiTheme="minorEastAsia" w:hAnsiTheme="minorEastAsia" w:cstheme="minorHAnsi"/>
          <w:sz w:val="24"/>
          <w:szCs w:val="24"/>
        </w:rPr>
      </w:pPr>
      <w:r>
        <w:rPr>
          <w:rFonts w:asciiTheme="minorEastAsia" w:hAnsiTheme="minorEastAsia" w:cstheme="minorHAnsi"/>
          <w:sz w:val="24"/>
          <w:szCs w:val="24"/>
        </w:rPr>
        <w:t>Azura Liu</w:t>
      </w:r>
    </w:p>
    <w:p w14:paraId="370F2BB6" w14:textId="3EA354AB" w:rsidR="00C40DA1" w:rsidRDefault="000529E0" w:rsidP="00C40DA1">
      <w:pPr>
        <w:spacing w:after="0" w:line="480" w:lineRule="auto"/>
        <w:jc w:val="center"/>
        <w:rPr>
          <w:rFonts w:asciiTheme="minorEastAsia" w:hAnsiTheme="minorEastAsia" w:cstheme="minorHAnsi"/>
          <w:sz w:val="24"/>
          <w:szCs w:val="24"/>
        </w:rPr>
      </w:pPr>
      <w:r>
        <w:rPr>
          <w:rFonts w:asciiTheme="minorEastAsia" w:hAnsiTheme="minorEastAsia" w:cstheme="minorHAnsi"/>
          <w:sz w:val="24"/>
          <w:szCs w:val="24"/>
        </w:rPr>
        <w:t>26</w:t>
      </w:r>
      <w:r w:rsidR="00C40DA1" w:rsidRPr="00C40DA1">
        <w:rPr>
          <w:rFonts w:asciiTheme="minorEastAsia" w:hAnsiTheme="minorEastAsia" w:cstheme="minorHAnsi"/>
          <w:sz w:val="24"/>
          <w:szCs w:val="24"/>
        </w:rPr>
        <w:t xml:space="preserve"> </w:t>
      </w:r>
      <w:r>
        <w:rPr>
          <w:rFonts w:asciiTheme="minorEastAsia" w:hAnsiTheme="minorEastAsia" w:cstheme="minorHAnsi"/>
          <w:sz w:val="24"/>
          <w:szCs w:val="24"/>
        </w:rPr>
        <w:t>August</w:t>
      </w:r>
      <w:r w:rsidR="00C40DA1" w:rsidRPr="00C40DA1">
        <w:rPr>
          <w:rFonts w:asciiTheme="minorEastAsia" w:hAnsiTheme="minorEastAsia" w:cstheme="minorHAnsi"/>
          <w:sz w:val="24"/>
          <w:szCs w:val="24"/>
        </w:rPr>
        <w:t xml:space="preserve"> 202</w:t>
      </w:r>
      <w:r>
        <w:rPr>
          <w:rFonts w:asciiTheme="minorEastAsia" w:hAnsiTheme="minorEastAsia" w:cstheme="minorHAnsi"/>
          <w:sz w:val="24"/>
          <w:szCs w:val="24"/>
        </w:rPr>
        <w:t>2</w:t>
      </w:r>
    </w:p>
    <w:p w14:paraId="6D96CABD" w14:textId="77777777" w:rsidR="00C40DA1" w:rsidRDefault="00C40DA1" w:rsidP="00C40DA1">
      <w:pPr>
        <w:spacing w:after="0" w:line="480" w:lineRule="auto"/>
        <w:rPr>
          <w:rFonts w:asciiTheme="minorEastAsia" w:hAnsiTheme="minorEastAsia" w:cstheme="minorHAnsi"/>
          <w:sz w:val="24"/>
          <w:szCs w:val="24"/>
        </w:rPr>
      </w:pPr>
    </w:p>
    <w:p w14:paraId="6D1FDE30" w14:textId="77777777" w:rsidR="00C40DA1" w:rsidRDefault="00C40DA1" w:rsidP="00C40DA1">
      <w:pPr>
        <w:spacing w:after="0" w:line="480" w:lineRule="auto"/>
        <w:rPr>
          <w:rFonts w:asciiTheme="minorEastAsia" w:hAnsiTheme="minorEastAsia" w:cstheme="minorHAnsi"/>
          <w:sz w:val="24"/>
          <w:szCs w:val="24"/>
        </w:rPr>
      </w:pPr>
    </w:p>
    <w:p w14:paraId="45AFB74A" w14:textId="77777777" w:rsidR="00C40DA1" w:rsidRDefault="00C40DA1" w:rsidP="00C40DA1">
      <w:pPr>
        <w:spacing w:after="0" w:line="480" w:lineRule="auto"/>
        <w:rPr>
          <w:rFonts w:asciiTheme="minorEastAsia" w:hAnsiTheme="minorEastAsia" w:cstheme="minorHAnsi"/>
          <w:sz w:val="24"/>
          <w:szCs w:val="24"/>
        </w:rPr>
      </w:pPr>
    </w:p>
    <w:p w14:paraId="1C00B051" w14:textId="7A9BCA60" w:rsidR="00C40DA1" w:rsidRDefault="00C40DA1" w:rsidP="00C40DA1">
      <w:pPr>
        <w:spacing w:after="0" w:line="480" w:lineRule="auto"/>
        <w:rPr>
          <w:rFonts w:asciiTheme="minorEastAsia" w:hAnsiTheme="minorEastAsia" w:cstheme="minorHAnsi"/>
          <w:sz w:val="24"/>
          <w:szCs w:val="24"/>
        </w:rPr>
        <w:sectPr w:rsidR="00C40DA1">
          <w:footerReference w:type="default" r:id="rId7"/>
          <w:pgSz w:w="12240" w:h="15840"/>
          <w:pgMar w:top="1440" w:right="1440" w:bottom="1440" w:left="1440" w:header="720" w:footer="720" w:gutter="0"/>
          <w:cols w:space="720"/>
          <w:docGrid w:linePitch="360"/>
        </w:sectPr>
      </w:pPr>
    </w:p>
    <w:p w14:paraId="05BCEA9E" w14:textId="77777777" w:rsidR="00C40DA1" w:rsidRDefault="00C40DA1" w:rsidP="00C40DA1">
      <w:pPr>
        <w:spacing w:after="0" w:line="480" w:lineRule="auto"/>
        <w:rPr>
          <w:rFonts w:asciiTheme="minorEastAsia" w:hAnsiTheme="minorEastAsia" w:cstheme="minorHAnsi"/>
          <w:sz w:val="24"/>
          <w:szCs w:val="24"/>
        </w:rPr>
      </w:pPr>
    </w:p>
    <w:p w14:paraId="3DEF3ADB" w14:textId="00F7B2EA"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Approved</w:t>
      </w:r>
    </w:p>
    <w:p w14:paraId="45D2EE34"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_____________________________</w:t>
      </w:r>
    </w:p>
    <w:p w14:paraId="387E9AB2"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(MP adviser signature here)</w:t>
      </w:r>
    </w:p>
    <w:p w14:paraId="467B1AF7"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_____________________________</w:t>
      </w:r>
    </w:p>
    <w:p w14:paraId="06B460A9"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(MP adviser name</w:t>
      </w:r>
      <w:r>
        <w:rPr>
          <w:rFonts w:asciiTheme="minorEastAsia" w:hAnsiTheme="minorEastAsia" w:cstheme="minorHAnsi"/>
          <w:sz w:val="24"/>
          <w:szCs w:val="24"/>
        </w:rPr>
        <w:t xml:space="preserve"> </w:t>
      </w:r>
      <w:r w:rsidRPr="00C40DA1">
        <w:rPr>
          <w:rFonts w:asciiTheme="minorEastAsia" w:hAnsiTheme="minorEastAsia" w:cstheme="minorHAnsi"/>
          <w:sz w:val="24"/>
          <w:szCs w:val="24"/>
        </w:rPr>
        <w:t>printed)</w:t>
      </w:r>
    </w:p>
    <w:p w14:paraId="38A861EB" w14:textId="62E1ACF0"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___________________________</w:t>
      </w:r>
    </w:p>
    <w:p w14:paraId="2D8C91BA"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Date</w:t>
      </w:r>
    </w:p>
    <w:p w14:paraId="6D51CC79" w14:textId="77777777" w:rsidR="00C40DA1" w:rsidRDefault="00C40DA1" w:rsidP="00C40DA1">
      <w:pPr>
        <w:spacing w:after="0" w:line="480" w:lineRule="auto"/>
        <w:rPr>
          <w:rFonts w:asciiTheme="minorEastAsia" w:hAnsiTheme="minorEastAsia" w:cstheme="minorHAnsi"/>
          <w:sz w:val="24"/>
          <w:szCs w:val="24"/>
        </w:rPr>
      </w:pPr>
    </w:p>
    <w:p w14:paraId="761E36AA"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Approved</w:t>
      </w:r>
    </w:p>
    <w:p w14:paraId="00240994"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_____________________________</w:t>
      </w:r>
    </w:p>
    <w:p w14:paraId="019022F3"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(MP adviser signature here)</w:t>
      </w:r>
    </w:p>
    <w:p w14:paraId="11996FE4"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_____________________________</w:t>
      </w:r>
    </w:p>
    <w:p w14:paraId="466634BD"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(MP adviser name</w:t>
      </w:r>
      <w:r>
        <w:rPr>
          <w:rFonts w:asciiTheme="minorEastAsia" w:hAnsiTheme="minorEastAsia" w:cstheme="minorHAnsi"/>
          <w:sz w:val="24"/>
          <w:szCs w:val="24"/>
        </w:rPr>
        <w:t xml:space="preserve"> </w:t>
      </w:r>
      <w:r w:rsidRPr="00C40DA1">
        <w:rPr>
          <w:rFonts w:asciiTheme="minorEastAsia" w:hAnsiTheme="minorEastAsia" w:cstheme="minorHAnsi"/>
          <w:sz w:val="24"/>
          <w:szCs w:val="24"/>
        </w:rPr>
        <w:t>printed)</w:t>
      </w:r>
    </w:p>
    <w:p w14:paraId="5A020A94"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___________________________</w:t>
      </w:r>
    </w:p>
    <w:p w14:paraId="5769B60D" w14:textId="77777777"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Date</w:t>
      </w:r>
    </w:p>
    <w:p w14:paraId="6178DEBA" w14:textId="0D79F6EE" w:rsidR="008B5BBB" w:rsidRDefault="008B5BBB" w:rsidP="00C40DA1">
      <w:pPr>
        <w:spacing w:after="0" w:line="480" w:lineRule="auto"/>
        <w:rPr>
          <w:rFonts w:asciiTheme="minorEastAsia" w:hAnsiTheme="minorEastAsia" w:cstheme="minorHAnsi"/>
          <w:sz w:val="24"/>
          <w:szCs w:val="24"/>
        </w:rPr>
        <w:sectPr w:rsidR="008B5BBB" w:rsidSect="00C40DA1">
          <w:type w:val="continuous"/>
          <w:pgSz w:w="12240" w:h="15840"/>
          <w:pgMar w:top="1440" w:right="1440" w:bottom="1440" w:left="1440" w:header="720" w:footer="720" w:gutter="0"/>
          <w:cols w:num="2" w:space="720"/>
          <w:docGrid w:linePitch="360"/>
        </w:sectPr>
      </w:pPr>
    </w:p>
    <w:p w14:paraId="7F1A92E0" w14:textId="7A9E2F5C" w:rsidR="00C40DA1" w:rsidRDefault="00C40DA1" w:rsidP="00C40DA1">
      <w:pPr>
        <w:spacing w:after="0" w:line="480" w:lineRule="auto"/>
        <w:rPr>
          <w:rFonts w:asciiTheme="minorEastAsia" w:hAnsiTheme="minorEastAsia" w:cstheme="minorHAnsi"/>
          <w:sz w:val="24"/>
          <w:szCs w:val="24"/>
        </w:rPr>
      </w:pPr>
      <w:r w:rsidRPr="00C40DA1">
        <w:rPr>
          <w:rFonts w:asciiTheme="minorEastAsia" w:hAnsiTheme="minorEastAsia" w:cstheme="minorHAnsi"/>
          <w:sz w:val="24"/>
          <w:szCs w:val="24"/>
        </w:rPr>
        <w:t>Master’s Project submitted in partial fulfillment of the requirements for the Master of Environmental Management Degree in the Nicholas School of the Environment, Duke University May 2020</w:t>
      </w:r>
    </w:p>
    <w:p w14:paraId="22B01CB0" w14:textId="77777777" w:rsidR="008B5BBB" w:rsidRDefault="008B5BBB" w:rsidP="00C64F20">
      <w:pPr>
        <w:spacing w:after="0" w:line="480" w:lineRule="auto"/>
        <w:rPr>
          <w:rFonts w:asciiTheme="minorEastAsia" w:hAnsiTheme="minorEastAsia" w:cstheme="minorHAnsi"/>
          <w:sz w:val="28"/>
          <w:szCs w:val="28"/>
          <w:u w:val="single"/>
        </w:rPr>
      </w:pPr>
    </w:p>
    <w:p w14:paraId="7309D324" w14:textId="68B27E9C" w:rsidR="00C40DA1" w:rsidRPr="00B73296" w:rsidRDefault="008B5BBB" w:rsidP="00C64F20">
      <w:pPr>
        <w:spacing w:after="0" w:line="480" w:lineRule="auto"/>
        <w:rPr>
          <w:rFonts w:asciiTheme="minorEastAsia" w:hAnsiTheme="minorEastAsia" w:cstheme="minorHAnsi"/>
          <w:b/>
          <w:bCs/>
          <w:sz w:val="32"/>
          <w:szCs w:val="32"/>
        </w:rPr>
      </w:pPr>
      <w:r w:rsidRPr="00B73296">
        <w:rPr>
          <w:rFonts w:asciiTheme="minorEastAsia" w:hAnsiTheme="minorEastAsia" w:cstheme="minorHAnsi"/>
          <w:b/>
          <w:bCs/>
          <w:sz w:val="32"/>
          <w:szCs w:val="32"/>
        </w:rPr>
        <w:lastRenderedPageBreak/>
        <w:t>Table of Contents</w:t>
      </w:r>
    </w:p>
    <w:p w14:paraId="6C126266" w14:textId="626AD4D6" w:rsidR="008B5BBB" w:rsidRPr="00B73296" w:rsidRDefault="00466752" w:rsidP="00C64F20">
      <w:pPr>
        <w:spacing w:after="0" w:line="480" w:lineRule="auto"/>
        <w:rPr>
          <w:rFonts w:asciiTheme="minorEastAsia" w:hAnsiTheme="minorEastAsia" w:cstheme="minorHAnsi"/>
          <w:b/>
          <w:bCs/>
          <w:sz w:val="24"/>
          <w:szCs w:val="24"/>
        </w:rPr>
      </w:pPr>
      <w:r w:rsidRPr="00B73296">
        <w:rPr>
          <w:rFonts w:asciiTheme="minorEastAsia" w:hAnsiTheme="minorEastAsia" w:cstheme="minorHAnsi"/>
          <w:b/>
          <w:bCs/>
          <w:sz w:val="24"/>
          <w:szCs w:val="24"/>
        </w:rPr>
        <w:t xml:space="preserve">Introduction </w:t>
      </w:r>
    </w:p>
    <w:p w14:paraId="377403D0" w14:textId="41E6005F" w:rsidR="00466752" w:rsidRPr="00B73296" w:rsidRDefault="00466752" w:rsidP="00C64F20">
      <w:pPr>
        <w:spacing w:after="0" w:line="480" w:lineRule="auto"/>
        <w:rPr>
          <w:rFonts w:asciiTheme="minorEastAsia" w:hAnsiTheme="minorEastAsia" w:cstheme="minorHAnsi"/>
          <w:b/>
          <w:bCs/>
          <w:sz w:val="24"/>
          <w:szCs w:val="24"/>
        </w:rPr>
      </w:pPr>
      <w:r w:rsidRPr="00B73296">
        <w:rPr>
          <w:rFonts w:asciiTheme="minorEastAsia" w:hAnsiTheme="minorEastAsia" w:cstheme="minorHAnsi"/>
          <w:b/>
          <w:bCs/>
          <w:sz w:val="24"/>
          <w:szCs w:val="24"/>
        </w:rPr>
        <w:t>Material and Methods</w:t>
      </w:r>
    </w:p>
    <w:p w14:paraId="74949838" w14:textId="77777777" w:rsidR="00466752" w:rsidRPr="00B73296" w:rsidRDefault="00466752" w:rsidP="00C64F20">
      <w:pPr>
        <w:spacing w:after="0" w:line="480" w:lineRule="auto"/>
        <w:rPr>
          <w:rFonts w:asciiTheme="minorEastAsia" w:hAnsiTheme="minorEastAsia" w:cstheme="minorHAnsi"/>
          <w:b/>
          <w:bCs/>
          <w:sz w:val="24"/>
          <w:szCs w:val="24"/>
        </w:rPr>
      </w:pPr>
      <w:r w:rsidRPr="00B73296">
        <w:rPr>
          <w:rFonts w:asciiTheme="minorEastAsia" w:hAnsiTheme="minorEastAsia" w:cstheme="minorHAnsi"/>
          <w:b/>
          <w:bCs/>
          <w:sz w:val="24"/>
          <w:szCs w:val="24"/>
        </w:rPr>
        <w:t xml:space="preserve">Results </w:t>
      </w:r>
    </w:p>
    <w:p w14:paraId="44D60AD8" w14:textId="77777777" w:rsidR="00466752" w:rsidRPr="00B73296" w:rsidRDefault="00466752" w:rsidP="00C64F20">
      <w:pPr>
        <w:spacing w:after="0" w:line="480" w:lineRule="auto"/>
        <w:rPr>
          <w:rFonts w:asciiTheme="minorEastAsia" w:hAnsiTheme="minorEastAsia" w:cstheme="minorHAnsi"/>
          <w:b/>
          <w:bCs/>
          <w:sz w:val="24"/>
          <w:szCs w:val="24"/>
        </w:rPr>
      </w:pPr>
      <w:r w:rsidRPr="00B73296">
        <w:rPr>
          <w:rFonts w:asciiTheme="minorEastAsia" w:hAnsiTheme="minorEastAsia" w:cstheme="minorHAnsi"/>
          <w:b/>
          <w:bCs/>
          <w:sz w:val="24"/>
          <w:szCs w:val="24"/>
        </w:rPr>
        <w:t xml:space="preserve">Discussion </w:t>
      </w:r>
    </w:p>
    <w:p w14:paraId="2CE8E72E" w14:textId="0A785F12" w:rsidR="008B5BBB" w:rsidRPr="00B73296" w:rsidRDefault="00466752" w:rsidP="00C64F20">
      <w:pPr>
        <w:spacing w:after="0" w:line="480" w:lineRule="auto"/>
        <w:rPr>
          <w:rFonts w:asciiTheme="minorEastAsia" w:hAnsiTheme="minorEastAsia" w:cstheme="minorHAnsi"/>
          <w:b/>
          <w:bCs/>
          <w:sz w:val="24"/>
          <w:szCs w:val="24"/>
        </w:rPr>
      </w:pPr>
      <w:r w:rsidRPr="00B73296">
        <w:rPr>
          <w:rFonts w:asciiTheme="minorEastAsia" w:hAnsiTheme="minorEastAsia" w:cstheme="minorHAnsi"/>
          <w:b/>
          <w:bCs/>
          <w:sz w:val="24"/>
          <w:szCs w:val="24"/>
        </w:rPr>
        <w:t>Conclusion</w:t>
      </w:r>
    </w:p>
    <w:p w14:paraId="46E3E8CA" w14:textId="07129E76" w:rsidR="00466752" w:rsidRPr="00B73296" w:rsidRDefault="00466752" w:rsidP="00C64F20">
      <w:pPr>
        <w:spacing w:after="0" w:line="480" w:lineRule="auto"/>
        <w:rPr>
          <w:rFonts w:asciiTheme="minorEastAsia" w:hAnsiTheme="minorEastAsia" w:cstheme="minorHAnsi"/>
          <w:b/>
          <w:bCs/>
          <w:sz w:val="24"/>
          <w:szCs w:val="24"/>
        </w:rPr>
      </w:pPr>
      <w:r w:rsidRPr="00B73296">
        <w:rPr>
          <w:rFonts w:asciiTheme="minorEastAsia" w:hAnsiTheme="minorEastAsia" w:cstheme="minorHAnsi"/>
          <w:b/>
          <w:bCs/>
          <w:sz w:val="24"/>
          <w:szCs w:val="24"/>
        </w:rPr>
        <w:t>References</w:t>
      </w:r>
    </w:p>
    <w:p w14:paraId="6C550A21" w14:textId="77777777" w:rsidR="008B5BBB" w:rsidRDefault="008B5BBB" w:rsidP="00C64F20">
      <w:pPr>
        <w:spacing w:after="0" w:line="480" w:lineRule="auto"/>
      </w:pPr>
    </w:p>
    <w:p w14:paraId="62B566B5" w14:textId="77777777" w:rsidR="008B5BBB" w:rsidRDefault="008B5BBB" w:rsidP="00C64F20">
      <w:pPr>
        <w:spacing w:after="0" w:line="480" w:lineRule="auto"/>
      </w:pPr>
    </w:p>
    <w:p w14:paraId="721758D3" w14:textId="77777777" w:rsidR="008B5BBB" w:rsidRDefault="008B5BBB" w:rsidP="00C64F20">
      <w:pPr>
        <w:spacing w:after="0" w:line="480" w:lineRule="auto"/>
      </w:pPr>
    </w:p>
    <w:p w14:paraId="0DA2753E" w14:textId="77777777" w:rsidR="008B5BBB" w:rsidRDefault="008B5BBB" w:rsidP="00C64F20">
      <w:pPr>
        <w:spacing w:after="0" w:line="480" w:lineRule="auto"/>
      </w:pPr>
    </w:p>
    <w:p w14:paraId="47A8C484" w14:textId="3BBACCE5" w:rsidR="008B5BBB" w:rsidRDefault="008B5BBB" w:rsidP="00C64F20">
      <w:pPr>
        <w:spacing w:after="0" w:line="480" w:lineRule="auto"/>
      </w:pPr>
    </w:p>
    <w:p w14:paraId="08534EFA" w14:textId="7F0981DE" w:rsidR="00FA7087" w:rsidRDefault="00FA7087" w:rsidP="00C64F20">
      <w:pPr>
        <w:spacing w:after="0" w:line="480" w:lineRule="auto"/>
      </w:pPr>
    </w:p>
    <w:p w14:paraId="2AC81291" w14:textId="77777777" w:rsidR="00FA7087" w:rsidRDefault="00FA7087" w:rsidP="00C64F20">
      <w:pPr>
        <w:spacing w:after="0" w:line="480" w:lineRule="auto"/>
      </w:pPr>
    </w:p>
    <w:p w14:paraId="656F666F" w14:textId="77777777" w:rsidR="008B5BBB" w:rsidRDefault="008B5BBB" w:rsidP="00C64F20">
      <w:pPr>
        <w:spacing w:after="0" w:line="480" w:lineRule="auto"/>
      </w:pPr>
    </w:p>
    <w:p w14:paraId="55B093FE" w14:textId="77777777" w:rsidR="008B5BBB" w:rsidRDefault="008B5BBB" w:rsidP="00C64F20">
      <w:pPr>
        <w:spacing w:after="0" w:line="480" w:lineRule="auto"/>
      </w:pPr>
    </w:p>
    <w:p w14:paraId="5E59817B" w14:textId="77777777" w:rsidR="008B5BBB" w:rsidRDefault="008B5BBB" w:rsidP="00C64F20">
      <w:pPr>
        <w:spacing w:after="0" w:line="480" w:lineRule="auto"/>
      </w:pPr>
    </w:p>
    <w:p w14:paraId="0160DAFA" w14:textId="77777777" w:rsidR="008B5BBB" w:rsidRDefault="008B5BBB" w:rsidP="00C64F20">
      <w:pPr>
        <w:spacing w:after="0" w:line="480" w:lineRule="auto"/>
      </w:pPr>
    </w:p>
    <w:p w14:paraId="2A84E18B" w14:textId="77777777" w:rsidR="008B5BBB" w:rsidRDefault="008B5BBB" w:rsidP="00C64F20">
      <w:pPr>
        <w:spacing w:after="0" w:line="480" w:lineRule="auto"/>
      </w:pPr>
    </w:p>
    <w:p w14:paraId="4EC174C3" w14:textId="77777777" w:rsidR="008B5BBB" w:rsidRDefault="008B5BBB" w:rsidP="00C64F20">
      <w:pPr>
        <w:spacing w:after="0" w:line="480" w:lineRule="auto"/>
      </w:pPr>
    </w:p>
    <w:p w14:paraId="5724FD09" w14:textId="7055D8F9" w:rsidR="008B5BBB" w:rsidRDefault="008B5BBB" w:rsidP="00C64F20">
      <w:pPr>
        <w:spacing w:after="0" w:line="480" w:lineRule="auto"/>
      </w:pPr>
    </w:p>
    <w:p w14:paraId="2871CCEF" w14:textId="77777777" w:rsidR="00466752" w:rsidRDefault="00466752" w:rsidP="00C64F20">
      <w:pPr>
        <w:spacing w:after="0" w:line="480" w:lineRule="auto"/>
      </w:pPr>
    </w:p>
    <w:p w14:paraId="253A4A30" w14:textId="187EDFD5" w:rsidR="00C64F20" w:rsidRPr="00B73296" w:rsidRDefault="00B73296" w:rsidP="00C64F20">
      <w:pPr>
        <w:spacing w:after="0" w:line="480" w:lineRule="auto"/>
        <w:rPr>
          <w:rFonts w:asciiTheme="minorEastAsia" w:hAnsiTheme="minorEastAsia" w:cstheme="minorHAnsi"/>
          <w:b/>
          <w:bCs/>
          <w:sz w:val="32"/>
          <w:szCs w:val="32"/>
        </w:rPr>
      </w:pPr>
      <w:r>
        <w:rPr>
          <w:rFonts w:asciiTheme="minorEastAsia" w:hAnsiTheme="minorEastAsia" w:cstheme="minorHAnsi"/>
          <w:b/>
          <w:bCs/>
          <w:sz w:val="32"/>
          <w:szCs w:val="32"/>
        </w:rPr>
        <w:lastRenderedPageBreak/>
        <w:t xml:space="preserve">1 </w:t>
      </w:r>
      <w:r w:rsidR="00C64F20" w:rsidRPr="00B73296">
        <w:rPr>
          <w:rFonts w:asciiTheme="minorEastAsia" w:hAnsiTheme="minorEastAsia" w:cstheme="minorHAnsi"/>
          <w:b/>
          <w:bCs/>
          <w:sz w:val="32"/>
          <w:szCs w:val="32"/>
        </w:rPr>
        <w:t>Introduction</w:t>
      </w:r>
      <w:r w:rsidR="00E3291D" w:rsidRPr="00B73296">
        <w:rPr>
          <w:rFonts w:asciiTheme="minorEastAsia" w:hAnsiTheme="minorEastAsia" w:cstheme="minorHAnsi"/>
          <w:b/>
          <w:bCs/>
          <w:sz w:val="32"/>
          <w:szCs w:val="32"/>
        </w:rPr>
        <w:t xml:space="preserve"> </w:t>
      </w:r>
    </w:p>
    <w:p w14:paraId="483CD7EC" w14:textId="5CAF05F9" w:rsidR="00C64F20" w:rsidRDefault="00C64F20" w:rsidP="00C64F20">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Water moves passively from soil into the atmosphere through the root, xylem, and shoots of trees, carrying necessary nutrients and supports photosynthesis (Sinha, 2004). Transpiration is defined as the amount of water used in this process (Hanrahan, 2011). Plant transpiration is an integrate part of local and global carbon and hydrological cycle (</w:t>
      </w:r>
      <w:proofErr w:type="spellStart"/>
      <w:r w:rsidRPr="00C040A5">
        <w:rPr>
          <w:rFonts w:asciiTheme="minorEastAsia" w:hAnsiTheme="minorEastAsia" w:cstheme="minorHAnsi"/>
          <w:sz w:val="24"/>
          <w:szCs w:val="24"/>
        </w:rPr>
        <w:t>Jasechko</w:t>
      </w:r>
      <w:proofErr w:type="spellEnd"/>
      <w:r w:rsidRPr="00C040A5">
        <w:rPr>
          <w:rFonts w:asciiTheme="minorEastAsia" w:hAnsiTheme="minorEastAsia" w:cstheme="minorHAnsi"/>
          <w:sz w:val="24"/>
          <w:szCs w:val="24"/>
        </w:rPr>
        <w:t xml:space="preserve"> et al., 2013). </w:t>
      </w:r>
    </w:p>
    <w:p w14:paraId="61345352" w14:textId="77777777" w:rsidR="00C64F20" w:rsidRPr="00C040A5" w:rsidRDefault="00C64F20" w:rsidP="00C64F20">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Transpiration</w:t>
      </w:r>
      <w:r w:rsidRPr="00C040A5">
        <w:rPr>
          <w:rFonts w:asciiTheme="minorEastAsia" w:hAnsiTheme="minorEastAsia" w:cstheme="minorHAnsi"/>
          <w:sz w:val="24"/>
          <w:szCs w:val="24"/>
        </w:rPr>
        <w:t xml:space="preserve"> responds to both biotic and abiotic factors including individual tree crown architecture, planting density, water content in the air, and soil moisture.</w:t>
      </w:r>
      <w:r>
        <w:rPr>
          <w:rFonts w:asciiTheme="minorEastAsia" w:hAnsiTheme="minorEastAsia" w:cstheme="minorHAnsi"/>
          <w:sz w:val="24"/>
          <w:szCs w:val="24"/>
        </w:rPr>
        <w:t xml:space="preserve"> </w:t>
      </w:r>
      <w:r w:rsidRPr="00C040A5">
        <w:rPr>
          <w:rFonts w:asciiTheme="minorEastAsia" w:hAnsiTheme="minorEastAsia" w:cstheme="minorHAnsi"/>
          <w:sz w:val="24"/>
          <w:szCs w:val="24"/>
        </w:rPr>
        <w:t>Transpiration changes with tree characteristics as the conductance of water flow varies with each tree’s morphology and physiology (Kimball, 2007). Crown architecture, or ideotype, is restricted to consistent morphological expressions including crown size, density, branching patterns, angle of leaves relative to each other, etc. (</w:t>
      </w:r>
      <w:proofErr w:type="spellStart"/>
      <w:r w:rsidRPr="00C040A5">
        <w:rPr>
          <w:rFonts w:asciiTheme="minorEastAsia" w:hAnsiTheme="minorEastAsia" w:cstheme="minorHAnsi"/>
          <w:sz w:val="24"/>
          <w:szCs w:val="24"/>
        </w:rPr>
        <w:t>Dickmann</w:t>
      </w:r>
      <w:proofErr w:type="spellEnd"/>
      <w:r w:rsidRPr="00C040A5">
        <w:rPr>
          <w:rFonts w:asciiTheme="minorEastAsia" w:hAnsiTheme="minorEastAsia" w:cstheme="minorHAnsi"/>
          <w:sz w:val="24"/>
          <w:szCs w:val="24"/>
        </w:rPr>
        <w:t>, 1985; Martin, Johnsen, &amp; White, 2001). Although it is innate with a tree’s genetic entry, the traits can be influenced by environmental factors (</w:t>
      </w:r>
      <w:proofErr w:type="spellStart"/>
      <w:r w:rsidRPr="00C040A5">
        <w:rPr>
          <w:rFonts w:asciiTheme="minorEastAsia" w:hAnsiTheme="minorEastAsia" w:cstheme="minorHAnsi"/>
          <w:sz w:val="24"/>
          <w:szCs w:val="24"/>
        </w:rPr>
        <w:t>Carbaugh</w:t>
      </w:r>
      <w:proofErr w:type="spellEnd"/>
      <w:r w:rsidRPr="00C040A5">
        <w:rPr>
          <w:rFonts w:asciiTheme="minorEastAsia" w:hAnsiTheme="minorEastAsia" w:cstheme="minorHAnsi"/>
          <w:sz w:val="24"/>
          <w:szCs w:val="24"/>
        </w:rPr>
        <w:t>, 2015). Crown ideotype largely defines leaf area, an important measure of plant growth and productivity as it determines light interception and transpiration (</w:t>
      </w:r>
      <w:proofErr w:type="spellStart"/>
      <w:r w:rsidRPr="00C040A5">
        <w:rPr>
          <w:rFonts w:asciiTheme="minorEastAsia" w:hAnsiTheme="minorEastAsia" w:cstheme="minorHAnsi"/>
          <w:sz w:val="24"/>
          <w:szCs w:val="24"/>
        </w:rPr>
        <w:t>Vose</w:t>
      </w:r>
      <w:proofErr w:type="spellEnd"/>
      <w:r w:rsidRPr="00C040A5">
        <w:rPr>
          <w:rFonts w:asciiTheme="minorEastAsia" w:hAnsiTheme="minorEastAsia" w:cstheme="minorHAnsi"/>
          <w:sz w:val="24"/>
          <w:szCs w:val="24"/>
        </w:rPr>
        <w:t xml:space="preserve"> &amp; Allen, 1988; Wright et al., 2004). </w:t>
      </w:r>
    </w:p>
    <w:p w14:paraId="2F6D61C8" w14:textId="77777777" w:rsidR="00C64F20" w:rsidRPr="00C040A5" w:rsidRDefault="00C64F20" w:rsidP="00C64F20">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Spacing is a common silvicultural practice to meet various management objectives. Spacing regimes affect transpiration by manipulating the interactions between trees. High planting density promotes competition and reduces individual tree sizes (Carlson et al., 2009; Harms, Whitesell, &amp; </w:t>
      </w:r>
      <w:proofErr w:type="spellStart"/>
      <w:r w:rsidRPr="00C040A5">
        <w:rPr>
          <w:rFonts w:asciiTheme="minorEastAsia" w:hAnsiTheme="minorEastAsia" w:cstheme="minorHAnsi"/>
          <w:sz w:val="24"/>
          <w:szCs w:val="24"/>
        </w:rPr>
        <w:t>DeBell</w:t>
      </w:r>
      <w:proofErr w:type="spellEnd"/>
      <w:r w:rsidRPr="00C040A5">
        <w:rPr>
          <w:rFonts w:asciiTheme="minorEastAsia" w:hAnsiTheme="minorEastAsia" w:cstheme="minorHAnsi"/>
          <w:sz w:val="24"/>
          <w:szCs w:val="24"/>
        </w:rPr>
        <w:t>, 2000), thus encourages narrow crown development—</w:t>
      </w:r>
      <w:r w:rsidRPr="00C040A5">
        <w:rPr>
          <w:rFonts w:asciiTheme="minorEastAsia" w:hAnsiTheme="minorEastAsia" w:cstheme="minorHAnsi"/>
          <w:sz w:val="24"/>
          <w:szCs w:val="24"/>
        </w:rPr>
        <w:lastRenderedPageBreak/>
        <w:t xml:space="preserve">vice versa for low planting density. Past study has proven that low planting density of P. taeda yields greater diameter branches and stem, foliage and branch biomass, leaf area and canopy density, longer-lived crown, lower height to live crown and lower foliage to branch mass ratio comparing to high planting density (Albaugh et al., 2019; Akers et al., 2012). </w:t>
      </w:r>
    </w:p>
    <w:p w14:paraId="124D0C34" w14:textId="77777777" w:rsidR="00C64F20" w:rsidRPr="00C040A5" w:rsidRDefault="00C64F20" w:rsidP="00C64F20">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Because water movement follows a high to low water potential gradient, moving from wet to dryer places, the low water potential in the ambient air becomes the primary driving force deciding how much water is pulled out through leaf stomata (Freeman, 2014). This water potential, or how “wet/dry” the air is, can be expressed as vapor pressure deficit (VPD, </w:t>
      </w:r>
      <w:r>
        <w:rPr>
          <w:rFonts w:asciiTheme="minorEastAsia" w:hAnsiTheme="minorEastAsia" w:cstheme="minorHAnsi"/>
          <w:sz w:val="24"/>
          <w:szCs w:val="24"/>
        </w:rPr>
        <w:t xml:space="preserve">the </w:t>
      </w:r>
      <w:r w:rsidRPr="00B23181">
        <w:rPr>
          <w:rFonts w:asciiTheme="minorEastAsia" w:hAnsiTheme="minorEastAsia" w:cstheme="minorHAnsi"/>
          <w:sz w:val="24"/>
          <w:szCs w:val="24"/>
        </w:rPr>
        <w:t>measure</w:t>
      </w:r>
      <w:r>
        <w:rPr>
          <w:rFonts w:asciiTheme="minorEastAsia" w:hAnsiTheme="minorEastAsia" w:cstheme="minorHAnsi"/>
          <w:sz w:val="24"/>
          <w:szCs w:val="24"/>
        </w:rPr>
        <w:t xml:space="preserve"> of </w:t>
      </w:r>
      <w:r w:rsidRPr="00B23181">
        <w:rPr>
          <w:rFonts w:asciiTheme="minorEastAsia" w:hAnsiTheme="minorEastAsia" w:cstheme="minorHAnsi"/>
          <w:sz w:val="24"/>
          <w:szCs w:val="24"/>
        </w:rPr>
        <w:t>how much water is in the air versus the maximum amount of water vapor that can exist in that air</w:t>
      </w:r>
      <w:r>
        <w:rPr>
          <w:rFonts w:asciiTheme="minorEastAsia" w:hAnsiTheme="minorEastAsia" w:cstheme="minorHAnsi"/>
          <w:sz w:val="24"/>
          <w:szCs w:val="24"/>
        </w:rPr>
        <w:t xml:space="preserve"> or fully saturated air</w:t>
      </w:r>
      <w:r w:rsidRPr="00C040A5">
        <w:rPr>
          <w:rFonts w:asciiTheme="minorEastAsia" w:hAnsiTheme="minorEastAsia" w:cstheme="minorHAnsi"/>
          <w:sz w:val="24"/>
          <w:szCs w:val="24"/>
        </w:rPr>
        <w:t xml:space="preserve">) (Lawrence, 2005). </w:t>
      </w:r>
    </w:p>
    <w:p w14:paraId="30D9D280" w14:textId="77777777" w:rsidR="00C64F20" w:rsidRPr="00C040A5" w:rsidRDefault="00C64F20" w:rsidP="00C64F20">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Soil w</w:t>
      </w:r>
      <w:r w:rsidRPr="00C040A5">
        <w:rPr>
          <w:rFonts w:asciiTheme="minorEastAsia" w:hAnsiTheme="minorEastAsia" w:cstheme="minorHAnsi"/>
          <w:sz w:val="24"/>
          <w:szCs w:val="24"/>
        </w:rPr>
        <w:t xml:space="preserve">ater availability is another critical consideration especially when we are facing the challenge of climate change, as drought is the primary factor contributing to reduced productivity and increased mortality (Allen et al., 2010). Zhao and Running (2009) estimated a drought-induced reduction of 0.55 </w:t>
      </w:r>
      <w:proofErr w:type="spellStart"/>
      <w:r w:rsidRPr="00C040A5">
        <w:rPr>
          <w:rFonts w:asciiTheme="minorEastAsia" w:hAnsiTheme="minorEastAsia" w:cstheme="minorHAnsi"/>
          <w:sz w:val="24"/>
          <w:szCs w:val="24"/>
        </w:rPr>
        <w:t>petagram</w:t>
      </w:r>
      <w:proofErr w:type="spellEnd"/>
      <w:r w:rsidRPr="00C040A5">
        <w:rPr>
          <w:rFonts w:asciiTheme="minorEastAsia" w:hAnsiTheme="minorEastAsia" w:cstheme="minorHAnsi"/>
          <w:sz w:val="24"/>
          <w:szCs w:val="24"/>
        </w:rPr>
        <w:t xml:space="preserve"> carbon in global net primary productivity from 2000 to 2009. Plants can cope with restricted water supply by closing their stomata to stop transpiring, at the same time pausing photosynthesis (</w:t>
      </w:r>
      <w:proofErr w:type="spellStart"/>
      <w:r w:rsidRPr="00C040A5">
        <w:rPr>
          <w:rFonts w:asciiTheme="minorEastAsia" w:hAnsiTheme="minorEastAsia" w:cstheme="minorHAnsi"/>
          <w:sz w:val="24"/>
          <w:szCs w:val="24"/>
        </w:rPr>
        <w:t>Agurla</w:t>
      </w:r>
      <w:proofErr w:type="spellEnd"/>
      <w:r w:rsidRPr="00C040A5">
        <w:rPr>
          <w:rFonts w:asciiTheme="minorEastAsia" w:hAnsiTheme="minorEastAsia" w:cstheme="minorHAnsi"/>
          <w:sz w:val="24"/>
          <w:szCs w:val="24"/>
        </w:rPr>
        <w:t xml:space="preserve"> et al., 2018). Permanent cavitation of water-transporting xylems can occur </w:t>
      </w:r>
      <w:r>
        <w:rPr>
          <w:rFonts w:asciiTheme="minorEastAsia" w:hAnsiTheme="minorEastAsia" w:cstheme="minorHAnsi"/>
          <w:sz w:val="24"/>
          <w:szCs w:val="24"/>
        </w:rPr>
        <w:t xml:space="preserve">when </w:t>
      </w:r>
      <w:r w:rsidRPr="00C040A5">
        <w:rPr>
          <w:rFonts w:asciiTheme="minorEastAsia" w:hAnsiTheme="minorEastAsia" w:cstheme="minorHAnsi"/>
          <w:sz w:val="24"/>
          <w:szCs w:val="24"/>
        </w:rPr>
        <w:t>extreme water potential difference</w:t>
      </w:r>
      <w:r>
        <w:rPr>
          <w:rFonts w:asciiTheme="minorEastAsia" w:hAnsiTheme="minorEastAsia" w:cstheme="minorHAnsi"/>
          <w:sz w:val="24"/>
          <w:szCs w:val="24"/>
        </w:rPr>
        <w:t xml:space="preserve"> “breaks” the water continuum</w:t>
      </w:r>
      <w:r w:rsidRPr="00C040A5">
        <w:rPr>
          <w:rFonts w:asciiTheme="minorEastAsia" w:hAnsiTheme="minorEastAsia" w:cstheme="minorHAnsi"/>
          <w:sz w:val="24"/>
          <w:szCs w:val="24"/>
        </w:rPr>
        <w:t>, consequently</w:t>
      </w:r>
      <w:r>
        <w:rPr>
          <w:rFonts w:asciiTheme="minorEastAsia" w:hAnsiTheme="minorEastAsia" w:cstheme="minorHAnsi"/>
          <w:sz w:val="24"/>
          <w:szCs w:val="24"/>
        </w:rPr>
        <w:t>,</w:t>
      </w:r>
      <w:r w:rsidRPr="00C040A5">
        <w:rPr>
          <w:rFonts w:asciiTheme="minorEastAsia" w:hAnsiTheme="minorEastAsia" w:cstheme="minorHAnsi"/>
          <w:sz w:val="24"/>
          <w:szCs w:val="24"/>
        </w:rPr>
        <w:t xml:space="preserve"> reduces a tree’s ability to conduct water, to grow and to survive (Zhang et al., 2016).  Thus, transpiration can be </w:t>
      </w:r>
      <w:r w:rsidRPr="00C040A5">
        <w:rPr>
          <w:rFonts w:asciiTheme="minorEastAsia" w:hAnsiTheme="minorEastAsia" w:cstheme="minorHAnsi"/>
          <w:sz w:val="24"/>
          <w:szCs w:val="24"/>
        </w:rPr>
        <w:lastRenderedPageBreak/>
        <w:t>affected by stomata closure drastically under different water availabilities, expressed as soil moisture measurements.</w:t>
      </w:r>
      <w:r>
        <w:rPr>
          <w:rFonts w:asciiTheme="minorEastAsia" w:hAnsiTheme="minorEastAsia" w:cstheme="minorHAnsi"/>
          <w:sz w:val="24"/>
          <w:szCs w:val="24"/>
        </w:rPr>
        <w:t xml:space="preserve"> </w:t>
      </w:r>
      <w:r w:rsidRPr="00C040A5">
        <w:rPr>
          <w:rFonts w:asciiTheme="minorEastAsia" w:hAnsiTheme="minorEastAsia" w:cstheme="minorHAnsi"/>
          <w:sz w:val="24"/>
          <w:szCs w:val="24"/>
        </w:rPr>
        <w:t xml:space="preserve">The amount of water available to plants can be expressed as soil moisture </w:t>
      </w:r>
      <w:r>
        <w:rPr>
          <w:rFonts w:asciiTheme="minorEastAsia" w:hAnsiTheme="minorEastAsia" w:cstheme="minorHAnsi"/>
          <w:sz w:val="24"/>
          <w:szCs w:val="24"/>
        </w:rPr>
        <w:t>percentage</w:t>
      </w:r>
      <w:r w:rsidRPr="00C040A5">
        <w:rPr>
          <w:rFonts w:asciiTheme="minorEastAsia" w:hAnsiTheme="minorEastAsia" w:cstheme="minorHAnsi"/>
          <w:sz w:val="24"/>
          <w:szCs w:val="24"/>
        </w:rPr>
        <w:t xml:space="preserve">. </w:t>
      </w:r>
    </w:p>
    <w:p w14:paraId="0E58F82A" w14:textId="1CF546FB" w:rsidR="00C64F20" w:rsidRPr="00C040A5" w:rsidRDefault="00C64F20" w:rsidP="00AC22D6">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Transpiration</w:t>
      </w:r>
      <w:r w:rsidRPr="00C040A5">
        <w:rPr>
          <w:rFonts w:asciiTheme="minorEastAsia" w:hAnsiTheme="minorEastAsia" w:cstheme="minorHAnsi"/>
          <w:sz w:val="24"/>
          <w:szCs w:val="24"/>
        </w:rPr>
        <w:t xml:space="preserve"> can be either estimated or directly measured. Gauged watershed method simply subtracts runoff from precipitation to generate transpiration (</w:t>
      </w:r>
      <w:proofErr w:type="spellStart"/>
      <w:r w:rsidRPr="00C040A5">
        <w:rPr>
          <w:rFonts w:asciiTheme="minorEastAsia" w:hAnsiTheme="minorEastAsia" w:cstheme="minorHAnsi"/>
          <w:sz w:val="24"/>
          <w:szCs w:val="24"/>
        </w:rPr>
        <w:t>Hasenmueller</w:t>
      </w:r>
      <w:proofErr w:type="spellEnd"/>
      <w:r w:rsidRPr="00C040A5">
        <w:rPr>
          <w:rFonts w:asciiTheme="minorEastAsia" w:hAnsiTheme="minorEastAsia" w:cstheme="minorHAnsi"/>
          <w:sz w:val="24"/>
          <w:szCs w:val="24"/>
        </w:rPr>
        <w:t xml:space="preserve"> &amp; Criss, 2013,); energy balance methods such as the Penman-Monteith Equation considers transpiration as component of an integrated mass-transfer system and estimates transpiration from stomatal conductance (Monteith &amp; Unsworth, 1990); the Eddy covariance and flux gradient method calculates flux by computing the covariance between fluctuations in vertical wind velocity and fluctuations of transferred properties such as heat and moisture (Lee &amp; Law, 2004); there are also various hydrological models for estimating transpiration (</w:t>
      </w:r>
      <w:proofErr w:type="spellStart"/>
      <w:r w:rsidRPr="00C040A5">
        <w:rPr>
          <w:rFonts w:asciiTheme="minorEastAsia" w:hAnsiTheme="minorEastAsia" w:cstheme="minorHAnsi"/>
          <w:sz w:val="24"/>
          <w:szCs w:val="24"/>
        </w:rPr>
        <w:t>Vose</w:t>
      </w:r>
      <w:proofErr w:type="spellEnd"/>
      <w:r w:rsidRPr="00C040A5">
        <w:rPr>
          <w:rFonts w:asciiTheme="minorEastAsia" w:hAnsiTheme="minorEastAsia" w:cstheme="minorHAnsi"/>
          <w:sz w:val="24"/>
          <w:szCs w:val="24"/>
        </w:rPr>
        <w:t xml:space="preserve"> &amp; Swank</w:t>
      </w:r>
      <w:r w:rsidR="008315CC">
        <w:rPr>
          <w:rFonts w:asciiTheme="minorEastAsia" w:hAnsiTheme="minorEastAsia" w:cstheme="minorHAnsi"/>
          <w:sz w:val="24"/>
          <w:szCs w:val="24"/>
        </w:rPr>
        <w:t>,</w:t>
      </w:r>
      <w:r w:rsidRPr="00C040A5">
        <w:rPr>
          <w:rFonts w:asciiTheme="minorEastAsia" w:hAnsiTheme="minorEastAsia" w:cstheme="minorHAnsi"/>
          <w:sz w:val="24"/>
          <w:szCs w:val="24"/>
        </w:rPr>
        <w:t xml:space="preserve"> 1992).</w:t>
      </w:r>
      <w:r>
        <w:rPr>
          <w:rFonts w:asciiTheme="minorEastAsia" w:hAnsiTheme="minorEastAsia" w:cstheme="minorHAnsi"/>
          <w:sz w:val="24"/>
          <w:szCs w:val="24"/>
        </w:rPr>
        <w:t xml:space="preserve"> </w:t>
      </w:r>
      <w:r w:rsidRPr="00C040A5">
        <w:rPr>
          <w:rFonts w:asciiTheme="minorEastAsia" w:hAnsiTheme="minorEastAsia" w:cstheme="minorHAnsi"/>
          <w:sz w:val="24"/>
          <w:szCs w:val="24"/>
        </w:rPr>
        <w:t>On the other hand, direct measurements of individual tree sap flow provide the basis for above methods and generates most reliable results (</w:t>
      </w:r>
      <w:proofErr w:type="spellStart"/>
      <w:r w:rsidRPr="00C040A5">
        <w:rPr>
          <w:rFonts w:asciiTheme="minorEastAsia" w:hAnsiTheme="minorEastAsia" w:cstheme="minorHAnsi"/>
          <w:sz w:val="24"/>
          <w:szCs w:val="24"/>
        </w:rPr>
        <w:t>Vose</w:t>
      </w:r>
      <w:proofErr w:type="spellEnd"/>
      <w:r w:rsidRPr="00C040A5">
        <w:rPr>
          <w:rFonts w:asciiTheme="minorEastAsia" w:hAnsiTheme="minorEastAsia" w:cstheme="minorHAnsi"/>
          <w:sz w:val="24"/>
          <w:szCs w:val="24"/>
        </w:rPr>
        <w:t xml:space="preserve"> et al., 2003). </w:t>
      </w:r>
      <w:proofErr w:type="spellStart"/>
      <w:r w:rsidRPr="00C040A5">
        <w:rPr>
          <w:rFonts w:asciiTheme="minorEastAsia" w:hAnsiTheme="minorEastAsia" w:cstheme="minorHAnsi"/>
          <w:sz w:val="24"/>
          <w:szCs w:val="24"/>
        </w:rPr>
        <w:t>Granier</w:t>
      </w:r>
      <w:proofErr w:type="spellEnd"/>
      <w:r w:rsidRPr="00C040A5">
        <w:rPr>
          <w:rFonts w:asciiTheme="minorEastAsia" w:hAnsiTheme="minorEastAsia" w:cstheme="minorHAnsi"/>
          <w:sz w:val="24"/>
          <w:szCs w:val="24"/>
        </w:rPr>
        <w:t xml:space="preserve"> (1985) </w:t>
      </w:r>
      <w:r>
        <w:rPr>
          <w:rFonts w:asciiTheme="minorEastAsia" w:hAnsiTheme="minorEastAsia" w:cstheme="minorHAnsi"/>
          <w:sz w:val="24"/>
          <w:szCs w:val="24"/>
        </w:rPr>
        <w:t>proposed</w:t>
      </w:r>
      <w:r w:rsidRPr="00C040A5">
        <w:rPr>
          <w:rFonts w:asciiTheme="minorEastAsia" w:hAnsiTheme="minorEastAsia" w:cstheme="minorHAnsi"/>
          <w:sz w:val="24"/>
          <w:szCs w:val="24"/>
        </w:rPr>
        <w:t xml:space="preserve"> sap flux density as a function thermal conductivity.  A thermal sensor with two probes, one electrically heated at </w:t>
      </w:r>
      <w:r>
        <w:rPr>
          <w:rFonts w:asciiTheme="minorEastAsia" w:hAnsiTheme="minorEastAsia" w:cstheme="minorHAnsi"/>
          <w:sz w:val="24"/>
          <w:szCs w:val="24"/>
        </w:rPr>
        <w:t>upper</w:t>
      </w:r>
      <w:r w:rsidRPr="00C040A5">
        <w:rPr>
          <w:rFonts w:asciiTheme="minorEastAsia" w:hAnsiTheme="minorEastAsia" w:cstheme="minorHAnsi"/>
          <w:sz w:val="24"/>
          <w:szCs w:val="24"/>
        </w:rPr>
        <w:t xml:space="preserve"> position and one at ambient temperature at </w:t>
      </w:r>
      <w:r>
        <w:rPr>
          <w:rFonts w:asciiTheme="minorEastAsia" w:hAnsiTheme="minorEastAsia" w:cstheme="minorHAnsi"/>
          <w:sz w:val="24"/>
          <w:szCs w:val="24"/>
        </w:rPr>
        <w:t>lower</w:t>
      </w:r>
      <w:r w:rsidRPr="00C040A5">
        <w:rPr>
          <w:rFonts w:asciiTheme="minorEastAsia" w:hAnsiTheme="minorEastAsia" w:cstheme="minorHAnsi"/>
          <w:sz w:val="24"/>
          <w:szCs w:val="24"/>
        </w:rPr>
        <w:t xml:space="preserve"> position, is inserted into the sapwood of a tree trunk where water transportation occurs (Liu, Urban &amp; Zhao, 2004). </w:t>
      </w:r>
      <w:r>
        <w:rPr>
          <w:rFonts w:asciiTheme="minorEastAsia" w:hAnsiTheme="minorEastAsia" w:cstheme="minorHAnsi"/>
          <w:sz w:val="24"/>
          <w:szCs w:val="24"/>
        </w:rPr>
        <w:t>The</w:t>
      </w:r>
      <w:r w:rsidRPr="00C040A5">
        <w:rPr>
          <w:rFonts w:asciiTheme="minorEastAsia" w:hAnsiTheme="minorEastAsia" w:cstheme="minorHAnsi"/>
          <w:sz w:val="24"/>
          <w:szCs w:val="24"/>
        </w:rPr>
        <w:t xml:space="preserve"> heat dissipated by the </w:t>
      </w:r>
      <w:r>
        <w:rPr>
          <w:rFonts w:asciiTheme="minorEastAsia" w:hAnsiTheme="minorEastAsia" w:cstheme="minorHAnsi"/>
          <w:sz w:val="24"/>
          <w:szCs w:val="24"/>
        </w:rPr>
        <w:t>upper</w:t>
      </w:r>
      <w:r w:rsidRPr="00C040A5">
        <w:rPr>
          <w:rFonts w:asciiTheme="minorEastAsia" w:hAnsiTheme="minorEastAsia" w:cstheme="minorHAnsi"/>
          <w:sz w:val="24"/>
          <w:szCs w:val="24"/>
        </w:rPr>
        <w:t xml:space="preserve"> probe affects the temperature of the </w:t>
      </w:r>
      <w:r>
        <w:rPr>
          <w:rFonts w:asciiTheme="minorEastAsia" w:hAnsiTheme="minorEastAsia" w:cstheme="minorHAnsi"/>
          <w:sz w:val="24"/>
          <w:szCs w:val="24"/>
        </w:rPr>
        <w:t>lower</w:t>
      </w:r>
      <w:r w:rsidRPr="00C040A5">
        <w:rPr>
          <w:rFonts w:asciiTheme="minorEastAsia" w:hAnsiTheme="minorEastAsia" w:cstheme="minorHAnsi"/>
          <w:sz w:val="24"/>
          <w:szCs w:val="24"/>
        </w:rPr>
        <w:t xml:space="preserve"> probe. The temperature differences between the two probes can therefore be transformed into sap flux density, or how </w:t>
      </w:r>
      <w:r>
        <w:rPr>
          <w:rFonts w:asciiTheme="minorEastAsia" w:hAnsiTheme="minorEastAsia" w:cstheme="minorHAnsi"/>
          <w:sz w:val="24"/>
          <w:szCs w:val="24"/>
        </w:rPr>
        <w:t>quickly</w:t>
      </w:r>
      <w:r w:rsidRPr="00C040A5">
        <w:rPr>
          <w:rFonts w:asciiTheme="minorEastAsia" w:hAnsiTheme="minorEastAsia" w:cstheme="minorHAnsi"/>
          <w:sz w:val="24"/>
          <w:szCs w:val="24"/>
        </w:rPr>
        <w:t xml:space="preserve"> water is passing through xylem</w:t>
      </w:r>
      <w:r>
        <w:rPr>
          <w:rFonts w:asciiTheme="minorEastAsia" w:hAnsiTheme="minorEastAsia" w:cstheme="minorHAnsi"/>
          <w:sz w:val="24"/>
          <w:szCs w:val="24"/>
        </w:rPr>
        <w:t xml:space="preserve"> using the empirical function </w:t>
      </w:r>
      <w:proofErr w:type="spellStart"/>
      <w:r w:rsidRPr="00C040A5">
        <w:rPr>
          <w:rFonts w:asciiTheme="minorEastAsia" w:hAnsiTheme="minorEastAsia" w:cstheme="minorHAnsi"/>
          <w:sz w:val="24"/>
          <w:szCs w:val="24"/>
        </w:rPr>
        <w:t>Fd</w:t>
      </w:r>
      <w:proofErr w:type="spellEnd"/>
      <w:r w:rsidRPr="00C040A5">
        <w:rPr>
          <w:rFonts w:asciiTheme="minorEastAsia" w:hAnsiTheme="minorEastAsia" w:cstheme="minorHAnsi"/>
          <w:sz w:val="24"/>
          <w:szCs w:val="24"/>
        </w:rPr>
        <w:t xml:space="preserve"> = 119 *k</w:t>
      </w:r>
      <w:r>
        <w:rPr>
          <w:rFonts w:asciiTheme="minorEastAsia" w:hAnsiTheme="minorEastAsia" w:cstheme="minorHAnsi"/>
          <w:sz w:val="24"/>
          <w:szCs w:val="24"/>
        </w:rPr>
        <w:t>^</w:t>
      </w:r>
      <w:r w:rsidRPr="00C040A5">
        <w:rPr>
          <w:rFonts w:asciiTheme="minorEastAsia" w:hAnsiTheme="minorEastAsia" w:cstheme="minorHAnsi"/>
          <w:sz w:val="24"/>
          <w:szCs w:val="24"/>
        </w:rPr>
        <w:t>1.231</w:t>
      </w:r>
      <w:r>
        <w:rPr>
          <w:rFonts w:asciiTheme="minorEastAsia" w:hAnsiTheme="minorEastAsia" w:cstheme="minorHAnsi"/>
          <w:sz w:val="24"/>
          <w:szCs w:val="24"/>
        </w:rPr>
        <w:t xml:space="preserve">, where </w:t>
      </w:r>
      <w:proofErr w:type="spellStart"/>
      <w:r>
        <w:rPr>
          <w:rFonts w:asciiTheme="minorEastAsia" w:hAnsiTheme="minorEastAsia" w:cstheme="minorHAnsi"/>
          <w:sz w:val="24"/>
          <w:szCs w:val="24"/>
        </w:rPr>
        <w:t>Fd</w:t>
      </w:r>
      <w:proofErr w:type="spellEnd"/>
      <w:r>
        <w:rPr>
          <w:rFonts w:asciiTheme="minorEastAsia" w:hAnsiTheme="minorEastAsia" w:cstheme="minorHAnsi"/>
          <w:sz w:val="24"/>
          <w:szCs w:val="24"/>
        </w:rPr>
        <w:t xml:space="preserve"> </w:t>
      </w:r>
      <w:r>
        <w:rPr>
          <w:rFonts w:asciiTheme="minorEastAsia" w:hAnsiTheme="minorEastAsia" w:cstheme="minorHAnsi"/>
          <w:sz w:val="24"/>
          <w:szCs w:val="24"/>
        </w:rPr>
        <w:lastRenderedPageBreak/>
        <w:t>is sap flux density (g H2O/m-2/s-1</w:t>
      </w:r>
      <w:proofErr w:type="gramStart"/>
      <w:r>
        <w:rPr>
          <w:rFonts w:asciiTheme="minorEastAsia" w:hAnsiTheme="minorEastAsia" w:cstheme="minorHAnsi"/>
          <w:sz w:val="24"/>
          <w:szCs w:val="24"/>
        </w:rPr>
        <w:t>)</w:t>
      </w:r>
      <w:proofErr w:type="gramEnd"/>
      <w:r>
        <w:rPr>
          <w:rFonts w:asciiTheme="minorEastAsia" w:hAnsiTheme="minorEastAsia" w:cstheme="minorHAnsi"/>
          <w:sz w:val="24"/>
          <w:szCs w:val="24"/>
        </w:rPr>
        <w:t xml:space="preserve"> and k is the flow index calculated from the temperature differential between heated and non-heated probes</w:t>
      </w:r>
      <w:r w:rsidRPr="00C040A5">
        <w:rPr>
          <w:rFonts w:asciiTheme="minorEastAsia" w:hAnsiTheme="minorEastAsia" w:cstheme="minorHAnsi"/>
          <w:sz w:val="24"/>
          <w:szCs w:val="24"/>
        </w:rPr>
        <w:t xml:space="preserve">. From the point measurements, we can </w:t>
      </w:r>
      <w:r>
        <w:rPr>
          <w:rFonts w:asciiTheme="minorEastAsia" w:hAnsiTheme="minorEastAsia" w:cstheme="minorHAnsi"/>
          <w:sz w:val="24"/>
          <w:szCs w:val="24"/>
        </w:rPr>
        <w:t xml:space="preserve">scale </w:t>
      </w:r>
      <w:r w:rsidRPr="00C040A5">
        <w:rPr>
          <w:rFonts w:asciiTheme="minorEastAsia" w:hAnsiTheme="minorEastAsia" w:cstheme="minorHAnsi"/>
          <w:sz w:val="24"/>
          <w:szCs w:val="24"/>
        </w:rPr>
        <w:t xml:space="preserve">it </w:t>
      </w:r>
      <w:r>
        <w:rPr>
          <w:rFonts w:asciiTheme="minorEastAsia" w:hAnsiTheme="minorEastAsia" w:cstheme="minorHAnsi"/>
          <w:sz w:val="24"/>
          <w:szCs w:val="24"/>
        </w:rPr>
        <w:t xml:space="preserve">up </w:t>
      </w:r>
      <w:r w:rsidRPr="00C040A5">
        <w:rPr>
          <w:rFonts w:asciiTheme="minorEastAsia" w:hAnsiTheme="minorEastAsia" w:cstheme="minorHAnsi"/>
          <w:sz w:val="24"/>
          <w:szCs w:val="24"/>
        </w:rPr>
        <w:t xml:space="preserve">to tree-level and stand-level transpiration using sapwood area. </w:t>
      </w:r>
    </w:p>
    <w:p w14:paraId="06350A26" w14:textId="42EB2BD8" w:rsidR="00C64F20" w:rsidRPr="00B73296" w:rsidRDefault="00B73296" w:rsidP="00C64F20">
      <w:pPr>
        <w:spacing w:after="0" w:line="480" w:lineRule="auto"/>
        <w:rPr>
          <w:rFonts w:asciiTheme="minorEastAsia" w:hAnsiTheme="minorEastAsia" w:cstheme="minorHAnsi"/>
          <w:b/>
          <w:bCs/>
          <w:sz w:val="28"/>
          <w:szCs w:val="28"/>
        </w:rPr>
      </w:pPr>
      <w:r w:rsidRPr="00B73296">
        <w:rPr>
          <w:rFonts w:asciiTheme="minorEastAsia" w:hAnsiTheme="minorEastAsia" w:cstheme="minorHAnsi"/>
          <w:b/>
          <w:bCs/>
          <w:sz w:val="28"/>
          <w:szCs w:val="28"/>
        </w:rPr>
        <w:t xml:space="preserve">1.1 </w:t>
      </w:r>
      <w:r w:rsidR="00C64F20" w:rsidRPr="00B73296">
        <w:rPr>
          <w:rFonts w:asciiTheme="minorEastAsia" w:hAnsiTheme="minorEastAsia" w:cstheme="minorHAnsi"/>
          <w:b/>
          <w:bCs/>
          <w:sz w:val="28"/>
          <w:szCs w:val="28"/>
        </w:rPr>
        <w:t>Goals &amp; Objectives</w:t>
      </w:r>
    </w:p>
    <w:p w14:paraId="3BD311B2" w14:textId="5E181F4C" w:rsidR="00C64F20" w:rsidRPr="00CD2725" w:rsidRDefault="00C64F20" w:rsidP="00C64F20">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In this MP, we test</w:t>
      </w:r>
      <w:r w:rsidR="00466752">
        <w:rPr>
          <w:rFonts w:asciiTheme="minorEastAsia" w:hAnsiTheme="minorEastAsia" w:cstheme="minorHAnsi"/>
          <w:sz w:val="24"/>
          <w:szCs w:val="24"/>
        </w:rPr>
        <w:t>ed</w:t>
      </w:r>
      <w:r w:rsidRPr="00C040A5">
        <w:rPr>
          <w:rFonts w:asciiTheme="minorEastAsia" w:hAnsiTheme="minorEastAsia" w:cstheme="minorHAnsi"/>
          <w:sz w:val="24"/>
          <w:szCs w:val="24"/>
        </w:rPr>
        <w:t xml:space="preserve"> two biotic factors that theoretically affect transpiration: crown architecture and planting density. </w:t>
      </w:r>
      <w:r>
        <w:rPr>
          <w:rFonts w:asciiTheme="minorEastAsia" w:hAnsiTheme="minorEastAsia" w:cstheme="minorHAnsi"/>
          <w:sz w:val="24"/>
          <w:szCs w:val="24"/>
        </w:rPr>
        <w:t>F</w:t>
      </w:r>
      <w:r w:rsidRPr="00C040A5">
        <w:rPr>
          <w:rFonts w:asciiTheme="minorEastAsia" w:hAnsiTheme="minorEastAsia" w:cstheme="minorHAnsi"/>
          <w:sz w:val="24"/>
          <w:szCs w:val="24"/>
        </w:rPr>
        <w:t xml:space="preserve">our genetic entries </w:t>
      </w:r>
      <w:r w:rsidR="00466752">
        <w:rPr>
          <w:rFonts w:asciiTheme="minorEastAsia" w:hAnsiTheme="minorEastAsia" w:cstheme="minorHAnsi"/>
          <w:sz w:val="24"/>
          <w:szCs w:val="24"/>
        </w:rPr>
        <w:t>were</w:t>
      </w:r>
      <w:r w:rsidRPr="00C040A5">
        <w:rPr>
          <w:rFonts w:asciiTheme="minorEastAsia" w:hAnsiTheme="minorEastAsia" w:cstheme="minorHAnsi"/>
          <w:sz w:val="24"/>
          <w:szCs w:val="24"/>
        </w:rPr>
        <w:t xml:space="preserve"> chosen to represent different crown architectures</w:t>
      </w:r>
      <w:r>
        <w:rPr>
          <w:rFonts w:asciiTheme="minorEastAsia" w:hAnsiTheme="minorEastAsia" w:cstheme="minorHAnsi"/>
          <w:sz w:val="24"/>
          <w:szCs w:val="24"/>
        </w:rPr>
        <w:t xml:space="preserve"> that represent narrow and broad crown ideotypes</w:t>
      </w:r>
      <w:r w:rsidRPr="00C040A5">
        <w:rPr>
          <w:rFonts w:asciiTheme="minorEastAsia" w:hAnsiTheme="minorEastAsia" w:cstheme="minorHAnsi"/>
          <w:sz w:val="24"/>
          <w:szCs w:val="24"/>
        </w:rPr>
        <w:t xml:space="preserve">. We </w:t>
      </w:r>
      <w:r w:rsidR="00466752">
        <w:rPr>
          <w:rFonts w:asciiTheme="minorEastAsia" w:hAnsiTheme="minorEastAsia" w:cstheme="minorHAnsi"/>
          <w:sz w:val="24"/>
          <w:szCs w:val="24"/>
        </w:rPr>
        <w:t>were</w:t>
      </w:r>
      <w:r w:rsidRPr="00C040A5">
        <w:rPr>
          <w:rFonts w:asciiTheme="minorEastAsia" w:hAnsiTheme="minorEastAsia" w:cstheme="minorHAnsi"/>
          <w:sz w:val="24"/>
          <w:szCs w:val="24"/>
        </w:rPr>
        <w:t xml:space="preserve"> interested in how water costs might differ for each ideotype and planting density, along with their interactions.</w:t>
      </w:r>
      <w:r>
        <w:rPr>
          <w:rFonts w:asciiTheme="minorEastAsia" w:hAnsiTheme="minorEastAsia" w:cstheme="minorHAnsi"/>
          <w:sz w:val="24"/>
          <w:szCs w:val="24"/>
        </w:rPr>
        <w:t xml:space="preserve"> </w:t>
      </w:r>
      <w:r w:rsidRPr="00C040A5">
        <w:rPr>
          <w:rFonts w:asciiTheme="minorEastAsia" w:hAnsiTheme="minorEastAsia" w:cstheme="minorHAnsi"/>
          <w:sz w:val="24"/>
          <w:szCs w:val="24"/>
        </w:rPr>
        <w:t>We also want</w:t>
      </w:r>
      <w:r w:rsidR="00466752">
        <w:rPr>
          <w:rFonts w:asciiTheme="minorEastAsia" w:hAnsiTheme="minorEastAsia" w:cstheme="minorHAnsi"/>
          <w:sz w:val="24"/>
          <w:szCs w:val="24"/>
        </w:rPr>
        <w:t>ed</w:t>
      </w:r>
      <w:r w:rsidRPr="00C040A5">
        <w:rPr>
          <w:rFonts w:asciiTheme="minorEastAsia" w:hAnsiTheme="minorEastAsia" w:cstheme="minorHAnsi"/>
          <w:sz w:val="24"/>
          <w:szCs w:val="24"/>
        </w:rPr>
        <w:t xml:space="preserve"> to test the variation in responses to environmental factors</w:t>
      </w:r>
      <w:r>
        <w:rPr>
          <w:rFonts w:asciiTheme="minorEastAsia" w:hAnsiTheme="minorEastAsia" w:cstheme="minorHAnsi"/>
          <w:sz w:val="24"/>
          <w:szCs w:val="24"/>
        </w:rPr>
        <w:t xml:space="preserve">. We </w:t>
      </w:r>
      <w:r w:rsidRPr="00C040A5">
        <w:rPr>
          <w:rFonts w:asciiTheme="minorEastAsia" w:hAnsiTheme="minorEastAsia" w:cstheme="minorHAnsi"/>
          <w:sz w:val="24"/>
          <w:szCs w:val="24"/>
        </w:rPr>
        <w:t>evaluate</w:t>
      </w:r>
      <w:r w:rsidR="00466752">
        <w:rPr>
          <w:rFonts w:asciiTheme="minorEastAsia" w:hAnsiTheme="minorEastAsia" w:cstheme="minorHAnsi"/>
          <w:sz w:val="24"/>
          <w:szCs w:val="24"/>
        </w:rPr>
        <w:t>d</w:t>
      </w:r>
      <w:r w:rsidRPr="00C040A5">
        <w:rPr>
          <w:rFonts w:asciiTheme="minorEastAsia" w:hAnsiTheme="minorEastAsia" w:cstheme="minorHAnsi"/>
          <w:sz w:val="24"/>
          <w:szCs w:val="24"/>
        </w:rPr>
        <w:t xml:space="preserve"> whether there is a difference in how each treatment group respond to VPD</w:t>
      </w:r>
      <w:r>
        <w:rPr>
          <w:rFonts w:asciiTheme="minorEastAsia" w:hAnsiTheme="minorEastAsia" w:cstheme="minorHAnsi"/>
          <w:sz w:val="24"/>
          <w:szCs w:val="24"/>
        </w:rPr>
        <w:t>; b</w:t>
      </w:r>
      <w:r w:rsidRPr="00C040A5">
        <w:rPr>
          <w:rFonts w:asciiTheme="minorEastAsia" w:hAnsiTheme="minorEastAsia" w:cstheme="minorHAnsi"/>
          <w:sz w:val="24"/>
          <w:szCs w:val="24"/>
        </w:rPr>
        <w:t xml:space="preserve">ecause the stomata closure response can change transpiration drastically, we </w:t>
      </w:r>
      <w:r w:rsidR="00466752">
        <w:rPr>
          <w:rFonts w:asciiTheme="minorEastAsia" w:hAnsiTheme="minorEastAsia" w:cstheme="minorHAnsi"/>
          <w:sz w:val="24"/>
          <w:szCs w:val="24"/>
        </w:rPr>
        <w:t>were</w:t>
      </w:r>
      <w:r w:rsidRPr="00C040A5">
        <w:rPr>
          <w:rFonts w:asciiTheme="minorEastAsia" w:hAnsiTheme="minorEastAsia" w:cstheme="minorHAnsi"/>
          <w:sz w:val="24"/>
          <w:szCs w:val="24"/>
        </w:rPr>
        <w:t xml:space="preserve"> also interested in how P. taeda transpiration responds to VPD </w:t>
      </w:r>
      <w:r>
        <w:rPr>
          <w:rFonts w:asciiTheme="minorEastAsia" w:hAnsiTheme="minorEastAsia" w:cstheme="minorHAnsi"/>
          <w:sz w:val="24"/>
          <w:szCs w:val="24"/>
        </w:rPr>
        <w:t>with seasonal changes in</w:t>
      </w:r>
      <w:r w:rsidRPr="00C040A5">
        <w:rPr>
          <w:rFonts w:asciiTheme="minorEastAsia" w:hAnsiTheme="minorEastAsia" w:cstheme="minorHAnsi"/>
          <w:sz w:val="24"/>
          <w:szCs w:val="24"/>
        </w:rPr>
        <w:t xml:space="preserve"> soil moisture.</w:t>
      </w:r>
    </w:p>
    <w:p w14:paraId="2B5AB4DA" w14:textId="77777777" w:rsidR="00C64F20" w:rsidRPr="00C040A5" w:rsidRDefault="00C64F20" w:rsidP="00C64F20">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This Master’s Project (MP) exists as part of a larger project collaborated between United States Forest Service (USFS), North Carolina State University, Virginia Tech, and Federal University of Santa Catarina, Brazil. The larger study is a long-term silviculture (three planting densities), site (North Carolina Coastal Plain, Virginia Piedmont, and Brazil), and genetic (six genotypes) experiment in efforts to further understand P. taeda </w:t>
      </w:r>
      <w:r w:rsidRPr="00C040A5">
        <w:rPr>
          <w:rFonts w:asciiTheme="minorEastAsia" w:hAnsiTheme="minorEastAsia" w:cstheme="minorHAnsi"/>
          <w:sz w:val="24"/>
          <w:szCs w:val="24"/>
        </w:rPr>
        <w:lastRenderedPageBreak/>
        <w:t>physiology. This Master Project focuses on the Virginia site intending to assess the variation in P. taeda water use.</w:t>
      </w:r>
    </w:p>
    <w:p w14:paraId="51D8EB35" w14:textId="77777777" w:rsidR="00C64F20" w:rsidRPr="00C040A5" w:rsidRDefault="00C64F20" w:rsidP="00C64F20">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 xml:space="preserve">Goals: </w:t>
      </w:r>
    </w:p>
    <w:p w14:paraId="09C42C32" w14:textId="77777777" w:rsidR="00C64F20" w:rsidRPr="00C040A5" w:rsidRDefault="00C64F20" w:rsidP="00C64F20">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w:t>
      </w:r>
      <w:r w:rsidRPr="00C040A5">
        <w:rPr>
          <w:rFonts w:asciiTheme="minorEastAsia" w:hAnsiTheme="minorEastAsia" w:cstheme="minorHAnsi"/>
          <w:sz w:val="24"/>
          <w:szCs w:val="24"/>
        </w:rPr>
        <w:tab/>
        <w:t>To enhance the understanding of P. taeda physiology</w:t>
      </w:r>
      <w:r>
        <w:rPr>
          <w:rFonts w:asciiTheme="minorEastAsia" w:hAnsiTheme="minorEastAsia" w:cstheme="minorHAnsi"/>
          <w:sz w:val="24"/>
          <w:szCs w:val="24"/>
        </w:rPr>
        <w:t>.</w:t>
      </w:r>
    </w:p>
    <w:p w14:paraId="45E028C5" w14:textId="77777777" w:rsidR="00C64F20" w:rsidRPr="00C040A5" w:rsidRDefault="00C64F20" w:rsidP="00C64F20">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 xml:space="preserve">Objective:   </w:t>
      </w:r>
    </w:p>
    <w:p w14:paraId="4388E6A8" w14:textId="77777777" w:rsidR="00C64F20" w:rsidRPr="00C040A5" w:rsidRDefault="00C64F20" w:rsidP="00C64F20">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w:t>
      </w:r>
      <w:r w:rsidRPr="00C040A5">
        <w:rPr>
          <w:rFonts w:asciiTheme="minorEastAsia" w:hAnsiTheme="minorEastAsia" w:cstheme="minorHAnsi"/>
          <w:sz w:val="24"/>
          <w:szCs w:val="24"/>
        </w:rPr>
        <w:tab/>
        <w:t xml:space="preserve">To understand how P. taeda transpiration is affected by crown architecture and planting density, accounting for </w:t>
      </w:r>
      <w:r>
        <w:rPr>
          <w:rFonts w:asciiTheme="minorEastAsia" w:hAnsiTheme="minorEastAsia" w:cstheme="minorHAnsi"/>
          <w:sz w:val="24"/>
          <w:szCs w:val="24"/>
        </w:rPr>
        <w:t>variation in</w:t>
      </w:r>
      <w:r w:rsidRPr="00C040A5">
        <w:rPr>
          <w:rFonts w:asciiTheme="minorEastAsia" w:hAnsiTheme="minorEastAsia" w:cstheme="minorHAnsi"/>
          <w:sz w:val="24"/>
          <w:szCs w:val="24"/>
        </w:rPr>
        <w:t xml:space="preserve"> environmental parameters</w:t>
      </w:r>
      <w:r>
        <w:rPr>
          <w:rFonts w:asciiTheme="minorEastAsia" w:hAnsiTheme="minorEastAsia" w:cstheme="minorHAnsi"/>
          <w:sz w:val="24"/>
          <w:szCs w:val="24"/>
        </w:rPr>
        <w:t xml:space="preserve"> (VPD, soil moisture, and light availability)</w:t>
      </w:r>
      <w:r w:rsidRPr="00C040A5">
        <w:rPr>
          <w:rFonts w:asciiTheme="minorEastAsia" w:hAnsiTheme="minorEastAsia" w:cstheme="minorHAnsi"/>
          <w:sz w:val="24"/>
          <w:szCs w:val="24"/>
        </w:rPr>
        <w:t>, in efforts to answer the following sub questions:</w:t>
      </w:r>
    </w:p>
    <w:p w14:paraId="760593BE" w14:textId="77777777" w:rsidR="00C64F20" w:rsidRPr="00C040A5" w:rsidRDefault="00C64F20" w:rsidP="00C64F20">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1.</w:t>
      </w:r>
      <w:r w:rsidRPr="00C040A5">
        <w:rPr>
          <w:rFonts w:asciiTheme="minorEastAsia" w:hAnsiTheme="minorEastAsia" w:cstheme="minorHAnsi"/>
          <w:sz w:val="24"/>
          <w:szCs w:val="24"/>
        </w:rPr>
        <w:tab/>
        <w:t xml:space="preserve">Does transpiration vary with genotypes and planting densities?  </w:t>
      </w:r>
    </w:p>
    <w:p w14:paraId="4F01E29F" w14:textId="77777777" w:rsidR="00C64F20" w:rsidRPr="00C040A5" w:rsidRDefault="00C64F20" w:rsidP="00C64F20">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2.</w:t>
      </w:r>
      <w:r w:rsidRPr="00C040A5">
        <w:rPr>
          <w:rFonts w:asciiTheme="minorEastAsia" w:hAnsiTheme="minorEastAsia" w:cstheme="minorHAnsi"/>
          <w:sz w:val="24"/>
          <w:szCs w:val="24"/>
        </w:rPr>
        <w:tab/>
        <w:t>Does transpiration respond to VPD differently with different genotypes and planting densities?</w:t>
      </w:r>
    </w:p>
    <w:p w14:paraId="165FDEAE" w14:textId="77777777" w:rsidR="00C64F20" w:rsidRDefault="00C64F20" w:rsidP="00C64F20">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3.</w:t>
      </w:r>
      <w:r w:rsidRPr="00C040A5">
        <w:rPr>
          <w:rFonts w:asciiTheme="minorEastAsia" w:hAnsiTheme="minorEastAsia" w:cstheme="minorHAnsi"/>
          <w:sz w:val="24"/>
          <w:szCs w:val="24"/>
        </w:rPr>
        <w:tab/>
        <w:t>Does response to VPD vary with different levels of soil moisture between genotypes and planting densities?</w:t>
      </w:r>
    </w:p>
    <w:p w14:paraId="76EE88C8" w14:textId="77777777" w:rsidR="00C64F20" w:rsidRDefault="00C64F20" w:rsidP="00C64F20">
      <w:pPr>
        <w:spacing w:after="0" w:line="480" w:lineRule="auto"/>
        <w:rPr>
          <w:rFonts w:asciiTheme="minorEastAsia" w:hAnsiTheme="minorEastAsia" w:cstheme="minorHAnsi"/>
          <w:sz w:val="24"/>
          <w:szCs w:val="24"/>
        </w:rPr>
      </w:pPr>
    </w:p>
    <w:p w14:paraId="38025D1D" w14:textId="37C0B691" w:rsidR="00C64F20" w:rsidRPr="00B73296" w:rsidRDefault="00B73296" w:rsidP="00C64F20">
      <w:pPr>
        <w:spacing w:after="0" w:line="480" w:lineRule="auto"/>
        <w:rPr>
          <w:rFonts w:asciiTheme="minorEastAsia" w:hAnsiTheme="minorEastAsia" w:cstheme="minorHAnsi"/>
          <w:b/>
          <w:bCs/>
          <w:sz w:val="32"/>
          <w:szCs w:val="32"/>
        </w:rPr>
      </w:pPr>
      <w:r>
        <w:rPr>
          <w:rFonts w:asciiTheme="minorEastAsia" w:hAnsiTheme="minorEastAsia" w:cstheme="minorHAnsi"/>
          <w:b/>
          <w:bCs/>
          <w:sz w:val="32"/>
          <w:szCs w:val="32"/>
        </w:rPr>
        <w:t xml:space="preserve">2 </w:t>
      </w:r>
      <w:r w:rsidR="00F97F7A" w:rsidRPr="00B73296">
        <w:rPr>
          <w:rFonts w:asciiTheme="minorEastAsia" w:hAnsiTheme="minorEastAsia" w:cstheme="minorHAnsi"/>
          <w:b/>
          <w:bCs/>
          <w:sz w:val="32"/>
          <w:szCs w:val="32"/>
        </w:rPr>
        <w:t>Material and Methods</w:t>
      </w:r>
    </w:p>
    <w:p w14:paraId="4DBAF022" w14:textId="186035E1" w:rsidR="00C64F20" w:rsidRPr="00B73296" w:rsidRDefault="00B73296" w:rsidP="00C64F20">
      <w:pPr>
        <w:spacing w:after="0" w:line="480" w:lineRule="auto"/>
        <w:rPr>
          <w:rFonts w:asciiTheme="minorEastAsia" w:hAnsiTheme="minorEastAsia" w:cstheme="minorHAnsi"/>
          <w:b/>
          <w:bCs/>
          <w:sz w:val="28"/>
          <w:szCs w:val="28"/>
        </w:rPr>
      </w:pPr>
      <w:r>
        <w:rPr>
          <w:rFonts w:asciiTheme="minorEastAsia" w:hAnsiTheme="minorEastAsia" w:cstheme="minorHAnsi"/>
          <w:b/>
          <w:bCs/>
          <w:sz w:val="28"/>
          <w:szCs w:val="28"/>
        </w:rPr>
        <w:t xml:space="preserve">2.1 </w:t>
      </w:r>
      <w:r w:rsidR="00C64F20" w:rsidRPr="00B73296">
        <w:rPr>
          <w:rFonts w:asciiTheme="minorEastAsia" w:hAnsiTheme="minorEastAsia" w:cstheme="minorHAnsi"/>
          <w:b/>
          <w:bCs/>
          <w:sz w:val="28"/>
          <w:szCs w:val="28"/>
        </w:rPr>
        <w:t>Study Area</w:t>
      </w:r>
    </w:p>
    <w:p w14:paraId="179B36F3" w14:textId="77777777" w:rsidR="00C64F20" w:rsidRPr="00C040A5" w:rsidRDefault="00C64F20" w:rsidP="00C64F20">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Three experimental sites were established in the larger study, including one in the Piedmonts (Reynolds Homestead Center, Virginia, northern edge of P. taeda range), one located on the coastal plain (Bladen lakes, NC, a typical P. taeda site), and one far away </w:t>
      </w:r>
      <w:r w:rsidRPr="00C040A5">
        <w:rPr>
          <w:rFonts w:asciiTheme="minorEastAsia" w:hAnsiTheme="minorEastAsia" w:cstheme="minorHAnsi"/>
          <w:sz w:val="24"/>
          <w:szCs w:val="24"/>
        </w:rPr>
        <w:lastRenderedPageBreak/>
        <w:t>from P. taeda range (</w:t>
      </w:r>
      <w:proofErr w:type="spellStart"/>
      <w:r w:rsidRPr="00C040A5">
        <w:rPr>
          <w:rFonts w:asciiTheme="minorEastAsia" w:hAnsiTheme="minorEastAsia" w:cstheme="minorHAnsi"/>
          <w:sz w:val="24"/>
          <w:szCs w:val="24"/>
        </w:rPr>
        <w:t>Renova</w:t>
      </w:r>
      <w:proofErr w:type="spellEnd"/>
      <w:r w:rsidRPr="00C040A5">
        <w:rPr>
          <w:rFonts w:asciiTheme="minorEastAsia" w:hAnsiTheme="minorEastAsia" w:cstheme="minorHAnsi"/>
          <w:sz w:val="24"/>
          <w:szCs w:val="24"/>
        </w:rPr>
        <w:t xml:space="preserve"> Forest, Brazil). The data analyzed in this MP solely came from the Piedmont site in Virginia. Although slightly outside of the northern range of P. taeda, the species has established successfully in the Piedmont. </w:t>
      </w:r>
    </w:p>
    <w:p w14:paraId="3897BFA6" w14:textId="2188BC83" w:rsidR="00C64F20" w:rsidRPr="00B73296" w:rsidRDefault="00B73296" w:rsidP="00C64F20">
      <w:pPr>
        <w:spacing w:after="0" w:line="480" w:lineRule="auto"/>
        <w:rPr>
          <w:rFonts w:asciiTheme="minorEastAsia" w:hAnsiTheme="minorEastAsia" w:cstheme="minorHAnsi"/>
          <w:b/>
          <w:bCs/>
          <w:sz w:val="28"/>
          <w:szCs w:val="28"/>
        </w:rPr>
      </w:pPr>
      <w:r w:rsidRPr="00B73296">
        <w:rPr>
          <w:rFonts w:asciiTheme="minorEastAsia" w:hAnsiTheme="minorEastAsia" w:cstheme="minorHAnsi"/>
          <w:b/>
          <w:bCs/>
          <w:sz w:val="28"/>
          <w:szCs w:val="28"/>
        </w:rPr>
        <w:t xml:space="preserve">2.2 </w:t>
      </w:r>
      <w:r w:rsidR="00C64F20" w:rsidRPr="00B73296">
        <w:rPr>
          <w:rFonts w:asciiTheme="minorEastAsia" w:hAnsiTheme="minorEastAsia" w:cstheme="minorHAnsi"/>
          <w:b/>
          <w:bCs/>
          <w:sz w:val="28"/>
          <w:szCs w:val="28"/>
        </w:rPr>
        <w:t>Data Source &amp; Experiment Setup</w:t>
      </w:r>
    </w:p>
    <w:p w14:paraId="1FEB4BD1" w14:textId="7F592CF7" w:rsidR="00287A0F" w:rsidRDefault="009F71BA" w:rsidP="00C64F20">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 xml:space="preserve">Data for the experiment was provided by </w:t>
      </w:r>
      <w:r w:rsidRPr="00C040A5">
        <w:rPr>
          <w:rFonts w:asciiTheme="minorEastAsia" w:hAnsiTheme="minorEastAsia" w:cstheme="minorHAnsi"/>
          <w:sz w:val="24"/>
          <w:szCs w:val="24"/>
        </w:rPr>
        <w:t xml:space="preserve">USFS </w:t>
      </w:r>
      <w:r>
        <w:rPr>
          <w:rFonts w:asciiTheme="minorEastAsia" w:hAnsiTheme="minorEastAsia" w:cstheme="minorHAnsi"/>
          <w:sz w:val="24"/>
          <w:szCs w:val="24"/>
        </w:rPr>
        <w:t>R</w:t>
      </w:r>
      <w:r w:rsidRPr="00C040A5">
        <w:rPr>
          <w:rFonts w:asciiTheme="minorEastAsia" w:hAnsiTheme="minorEastAsia" w:cstheme="minorHAnsi"/>
          <w:sz w:val="24"/>
          <w:szCs w:val="24"/>
        </w:rPr>
        <w:t xml:space="preserve">esearch </w:t>
      </w:r>
      <w:r>
        <w:rPr>
          <w:rFonts w:asciiTheme="minorEastAsia" w:hAnsiTheme="minorEastAsia" w:cstheme="minorHAnsi"/>
          <w:sz w:val="24"/>
          <w:szCs w:val="24"/>
        </w:rPr>
        <w:t>B</w:t>
      </w:r>
      <w:r w:rsidRPr="00C040A5">
        <w:rPr>
          <w:rFonts w:asciiTheme="minorEastAsia" w:hAnsiTheme="minorEastAsia" w:cstheme="minorHAnsi"/>
          <w:sz w:val="24"/>
          <w:szCs w:val="24"/>
        </w:rPr>
        <w:t xml:space="preserve">iological </w:t>
      </w:r>
      <w:r>
        <w:rPr>
          <w:rFonts w:asciiTheme="minorEastAsia" w:hAnsiTheme="minorEastAsia" w:cstheme="minorHAnsi"/>
          <w:sz w:val="24"/>
          <w:szCs w:val="24"/>
        </w:rPr>
        <w:t>S</w:t>
      </w:r>
      <w:r w:rsidRPr="00C040A5">
        <w:rPr>
          <w:rFonts w:asciiTheme="minorEastAsia" w:hAnsiTheme="minorEastAsia" w:cstheme="minorHAnsi"/>
          <w:sz w:val="24"/>
          <w:szCs w:val="24"/>
        </w:rPr>
        <w:t>cientist Chris Maier</w:t>
      </w:r>
      <w:r>
        <w:rPr>
          <w:rFonts w:asciiTheme="minorEastAsia" w:hAnsiTheme="minorEastAsia" w:cstheme="minorHAnsi"/>
          <w:sz w:val="24"/>
          <w:szCs w:val="24"/>
        </w:rPr>
        <w:t xml:space="preserve"> (</w:t>
      </w:r>
      <w:r w:rsidR="005664A2">
        <w:rPr>
          <w:rFonts w:asciiTheme="minorEastAsia" w:hAnsiTheme="minorEastAsia" w:cstheme="minorHAnsi"/>
          <w:sz w:val="24"/>
          <w:szCs w:val="24"/>
        </w:rPr>
        <w:t xml:space="preserve">my </w:t>
      </w:r>
      <w:r>
        <w:rPr>
          <w:rFonts w:asciiTheme="minorEastAsia" w:hAnsiTheme="minorEastAsia" w:cstheme="minorHAnsi"/>
          <w:sz w:val="24"/>
          <w:szCs w:val="24"/>
        </w:rPr>
        <w:t>a</w:t>
      </w:r>
      <w:r w:rsidRPr="00C040A5">
        <w:rPr>
          <w:rFonts w:asciiTheme="minorEastAsia" w:hAnsiTheme="minorEastAsia" w:cstheme="minorHAnsi"/>
          <w:sz w:val="24"/>
          <w:szCs w:val="24"/>
        </w:rPr>
        <w:t>dditional MP advisor</w:t>
      </w:r>
      <w:r>
        <w:rPr>
          <w:rFonts w:asciiTheme="minorEastAsia" w:hAnsiTheme="minorEastAsia" w:cstheme="minorHAnsi"/>
          <w:sz w:val="24"/>
          <w:szCs w:val="24"/>
        </w:rPr>
        <w:t>)</w:t>
      </w:r>
      <w:r w:rsidRPr="00C040A5">
        <w:rPr>
          <w:rFonts w:asciiTheme="minorEastAsia" w:hAnsiTheme="minorEastAsia" w:cstheme="minorHAnsi"/>
          <w:sz w:val="24"/>
          <w:szCs w:val="24"/>
        </w:rPr>
        <w:t>.</w:t>
      </w:r>
      <w:r>
        <w:rPr>
          <w:rFonts w:asciiTheme="minorEastAsia" w:hAnsiTheme="minorEastAsia" w:cstheme="minorHAnsi"/>
          <w:sz w:val="24"/>
          <w:szCs w:val="24"/>
        </w:rPr>
        <w:t xml:space="preserve"> </w:t>
      </w:r>
      <w:r w:rsidR="00B905AA">
        <w:rPr>
          <w:rFonts w:asciiTheme="minorEastAsia" w:hAnsiTheme="minorEastAsia" w:cstheme="minorHAnsi"/>
          <w:sz w:val="24"/>
          <w:szCs w:val="24"/>
        </w:rPr>
        <w:t>The</w:t>
      </w:r>
      <w:r w:rsidR="00C64F20" w:rsidRPr="00C040A5">
        <w:rPr>
          <w:rFonts w:asciiTheme="minorEastAsia" w:hAnsiTheme="minorEastAsia" w:cstheme="minorHAnsi"/>
          <w:sz w:val="24"/>
          <w:szCs w:val="24"/>
        </w:rPr>
        <w:t xml:space="preserve"> experiment </w:t>
      </w:r>
      <w:r w:rsidR="00496D7C">
        <w:rPr>
          <w:rFonts w:asciiTheme="minorEastAsia" w:hAnsiTheme="minorEastAsia" w:cstheme="minorHAnsi"/>
          <w:sz w:val="24"/>
          <w:szCs w:val="24"/>
        </w:rPr>
        <w:t>was</w:t>
      </w:r>
      <w:r w:rsidR="00C64F20" w:rsidRPr="00C040A5">
        <w:rPr>
          <w:rFonts w:asciiTheme="minorEastAsia" w:hAnsiTheme="minorEastAsia" w:cstheme="minorHAnsi"/>
          <w:sz w:val="24"/>
          <w:szCs w:val="24"/>
        </w:rPr>
        <w:t xml:space="preserve"> </w:t>
      </w:r>
      <w:r w:rsidR="00496D7C">
        <w:rPr>
          <w:rFonts w:asciiTheme="minorEastAsia" w:hAnsiTheme="minorEastAsia" w:cstheme="minorHAnsi"/>
          <w:sz w:val="24"/>
          <w:szCs w:val="24"/>
        </w:rPr>
        <w:t xml:space="preserve">designed as </w:t>
      </w:r>
      <w:r w:rsidR="00C64F20" w:rsidRPr="00C040A5">
        <w:rPr>
          <w:rFonts w:asciiTheme="minorEastAsia" w:hAnsiTheme="minorEastAsia" w:cstheme="minorHAnsi"/>
          <w:sz w:val="24"/>
          <w:szCs w:val="24"/>
        </w:rPr>
        <w:t xml:space="preserve">a block plot with a split-split plot design replicated </w:t>
      </w:r>
      <w:r>
        <w:rPr>
          <w:rFonts w:asciiTheme="minorEastAsia" w:hAnsiTheme="minorEastAsia" w:cstheme="minorHAnsi"/>
          <w:sz w:val="24"/>
          <w:szCs w:val="24"/>
        </w:rPr>
        <w:t>four</w:t>
      </w:r>
      <w:r w:rsidR="00C64F20" w:rsidRPr="00C040A5">
        <w:rPr>
          <w:rFonts w:asciiTheme="minorEastAsia" w:hAnsiTheme="minorEastAsia" w:cstheme="minorHAnsi"/>
          <w:sz w:val="24"/>
          <w:szCs w:val="24"/>
        </w:rPr>
        <w:t xml:space="preserve"> times (</w:t>
      </w:r>
      <w:r>
        <w:rPr>
          <w:rFonts w:asciiTheme="minorEastAsia" w:hAnsiTheme="minorEastAsia" w:cstheme="minorHAnsi"/>
          <w:sz w:val="24"/>
          <w:szCs w:val="24"/>
        </w:rPr>
        <w:t>four</w:t>
      </w:r>
      <w:r w:rsidR="00C64F20" w:rsidRPr="00C040A5">
        <w:rPr>
          <w:rFonts w:asciiTheme="minorEastAsia" w:hAnsiTheme="minorEastAsia" w:cstheme="minorHAnsi"/>
          <w:sz w:val="24"/>
          <w:szCs w:val="24"/>
        </w:rPr>
        <w:t xml:space="preserve"> </w:t>
      </w:r>
      <w:r w:rsidR="00A372E9">
        <w:rPr>
          <w:rFonts w:asciiTheme="minorEastAsia" w:hAnsiTheme="minorEastAsia" w:cstheme="minorHAnsi"/>
          <w:sz w:val="24"/>
          <w:szCs w:val="24"/>
        </w:rPr>
        <w:t>blocks</w:t>
      </w:r>
      <w:r w:rsidR="00C64F20" w:rsidRPr="00C040A5">
        <w:rPr>
          <w:rFonts w:asciiTheme="minorEastAsia" w:hAnsiTheme="minorEastAsia" w:cstheme="minorHAnsi"/>
          <w:sz w:val="24"/>
          <w:szCs w:val="24"/>
        </w:rPr>
        <w:t>)</w:t>
      </w:r>
      <w:r w:rsidR="00A372E9">
        <w:rPr>
          <w:rFonts w:asciiTheme="minorEastAsia" w:hAnsiTheme="minorEastAsia" w:cstheme="minorHAnsi"/>
          <w:sz w:val="24"/>
          <w:szCs w:val="24"/>
        </w:rPr>
        <w:t>. S</w:t>
      </w:r>
      <w:r w:rsidR="00A372E9" w:rsidRPr="00C040A5">
        <w:rPr>
          <w:rFonts w:asciiTheme="minorEastAsia" w:hAnsiTheme="minorEastAsia" w:cstheme="minorHAnsi"/>
          <w:sz w:val="24"/>
          <w:szCs w:val="24"/>
        </w:rPr>
        <w:t xml:space="preserve">ilviculture is the main </w:t>
      </w:r>
      <w:proofErr w:type="gramStart"/>
      <w:r w:rsidR="00A372E9" w:rsidRPr="00C040A5">
        <w:rPr>
          <w:rFonts w:asciiTheme="minorEastAsia" w:hAnsiTheme="minorEastAsia" w:cstheme="minorHAnsi"/>
          <w:sz w:val="24"/>
          <w:szCs w:val="24"/>
        </w:rPr>
        <w:t>plot</w:t>
      </w:r>
      <w:r w:rsidR="00B905AA">
        <w:rPr>
          <w:rFonts w:asciiTheme="minorEastAsia" w:hAnsiTheme="minorEastAsia" w:cstheme="minorHAnsi"/>
          <w:sz w:val="24"/>
          <w:szCs w:val="24"/>
        </w:rPr>
        <w:t>,</w:t>
      </w:r>
      <w:r w:rsidR="00A372E9" w:rsidRPr="00C040A5">
        <w:rPr>
          <w:rFonts w:asciiTheme="minorEastAsia" w:hAnsiTheme="minorEastAsia" w:cstheme="minorHAnsi"/>
          <w:sz w:val="24"/>
          <w:szCs w:val="24"/>
        </w:rPr>
        <w:t xml:space="preserve"> and</w:t>
      </w:r>
      <w:proofErr w:type="gramEnd"/>
      <w:r w:rsidR="00A372E9" w:rsidRPr="00C040A5">
        <w:rPr>
          <w:rFonts w:asciiTheme="minorEastAsia" w:hAnsiTheme="minorEastAsia" w:cstheme="minorHAnsi"/>
          <w:sz w:val="24"/>
          <w:szCs w:val="24"/>
        </w:rPr>
        <w:t xml:space="preserve"> spacing and genetic entry are the split plots (Albaugh et al., 2018). </w:t>
      </w:r>
      <w:r w:rsidR="00441BE5">
        <w:rPr>
          <w:rFonts w:asciiTheme="minorEastAsia" w:hAnsiTheme="minorEastAsia" w:cstheme="minorHAnsi"/>
          <w:sz w:val="24"/>
          <w:szCs w:val="24"/>
        </w:rPr>
        <w:t xml:space="preserve">Silviculture treatments include two densities of planting: high planting density at 750 trees per acre (TPA) and low planting density at 250 TPA. </w:t>
      </w:r>
      <w:r w:rsidR="00287A0F">
        <w:rPr>
          <w:rFonts w:asciiTheme="minorEastAsia" w:hAnsiTheme="minorEastAsia" w:cstheme="minorHAnsi"/>
          <w:sz w:val="24"/>
          <w:szCs w:val="24"/>
        </w:rPr>
        <w:t>Each high density plot measures a total of 404.43 m^2 (18.3 * 22.1 m) and each low density plot measures 134.505 m^2 (18.3 * 7.35 m).</w:t>
      </w:r>
    </w:p>
    <w:p w14:paraId="30A02610" w14:textId="00AE6BD7" w:rsidR="00C64F20" w:rsidRPr="00C040A5" w:rsidRDefault="00A372E9" w:rsidP="00C64F20">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 xml:space="preserve">Within each block contains </w:t>
      </w:r>
      <w:r w:rsidR="009F71BA">
        <w:rPr>
          <w:rFonts w:asciiTheme="minorEastAsia" w:hAnsiTheme="minorEastAsia" w:cstheme="minorHAnsi"/>
          <w:sz w:val="24"/>
          <w:szCs w:val="24"/>
        </w:rPr>
        <w:t>eight</w:t>
      </w:r>
      <w:r>
        <w:rPr>
          <w:rFonts w:asciiTheme="minorEastAsia" w:hAnsiTheme="minorEastAsia" w:cstheme="minorHAnsi"/>
          <w:sz w:val="24"/>
          <w:szCs w:val="24"/>
        </w:rPr>
        <w:t xml:space="preserve"> plots of different treatment combination </w:t>
      </w:r>
      <w:r w:rsidRPr="00C040A5">
        <w:rPr>
          <w:rFonts w:asciiTheme="minorEastAsia" w:hAnsiTheme="minorEastAsia" w:cstheme="minorHAnsi"/>
          <w:sz w:val="24"/>
          <w:szCs w:val="24"/>
        </w:rPr>
        <w:t>(one clone planted at one density</w:t>
      </w:r>
      <w:r w:rsidR="009F71BA">
        <w:rPr>
          <w:rFonts w:asciiTheme="minorEastAsia" w:hAnsiTheme="minorEastAsia" w:cstheme="minorHAnsi"/>
          <w:sz w:val="24"/>
          <w:szCs w:val="24"/>
        </w:rPr>
        <w:t>)</w:t>
      </w:r>
      <w:r>
        <w:rPr>
          <w:rFonts w:asciiTheme="minorEastAsia" w:hAnsiTheme="minorEastAsia" w:cstheme="minorHAnsi"/>
          <w:sz w:val="24"/>
          <w:szCs w:val="24"/>
        </w:rPr>
        <w:t xml:space="preserve">. </w:t>
      </w:r>
      <w:r w:rsidR="00C64F20" w:rsidRPr="00C040A5">
        <w:rPr>
          <w:rFonts w:asciiTheme="minorEastAsia" w:hAnsiTheme="minorEastAsia" w:cstheme="minorHAnsi"/>
          <w:sz w:val="24"/>
          <w:szCs w:val="24"/>
        </w:rPr>
        <w:t xml:space="preserve">The experiment </w:t>
      </w:r>
      <w:r>
        <w:rPr>
          <w:rFonts w:asciiTheme="minorEastAsia" w:hAnsiTheme="minorEastAsia" w:cstheme="minorHAnsi"/>
          <w:sz w:val="24"/>
          <w:szCs w:val="24"/>
        </w:rPr>
        <w:t xml:space="preserve">of the measured block </w:t>
      </w:r>
      <w:r w:rsidR="00C64F20" w:rsidRPr="00C040A5">
        <w:rPr>
          <w:rFonts w:asciiTheme="minorEastAsia" w:hAnsiTheme="minorEastAsia" w:cstheme="minorHAnsi"/>
          <w:sz w:val="24"/>
          <w:szCs w:val="24"/>
        </w:rPr>
        <w:t xml:space="preserve">was </w:t>
      </w:r>
      <w:r w:rsidR="00B905AA">
        <w:rPr>
          <w:rFonts w:asciiTheme="minorEastAsia" w:hAnsiTheme="minorEastAsia" w:cstheme="minorHAnsi"/>
          <w:sz w:val="24"/>
          <w:szCs w:val="24"/>
        </w:rPr>
        <w:t xml:space="preserve">divided into four systems and was </w:t>
      </w:r>
      <w:r w:rsidR="00C64F20" w:rsidRPr="00C040A5">
        <w:rPr>
          <w:rFonts w:asciiTheme="minorEastAsia" w:hAnsiTheme="minorEastAsia" w:cstheme="minorHAnsi"/>
          <w:sz w:val="24"/>
          <w:szCs w:val="24"/>
        </w:rPr>
        <w:t>set up as the chart below:</w:t>
      </w:r>
    </w:p>
    <w:p w14:paraId="0AE0F6BA" w14:textId="77777777" w:rsidR="00C64F20" w:rsidRDefault="00C64F20" w:rsidP="00C64F20">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 xml:space="preserve">Table 1. Experimental Setup  </w:t>
      </w:r>
    </w:p>
    <w:tbl>
      <w:tblPr>
        <w:tblStyle w:val="TableGrid"/>
        <w:tblW w:w="9585" w:type="dxa"/>
        <w:tblLook w:val="04A0" w:firstRow="1" w:lastRow="0" w:firstColumn="1" w:lastColumn="0" w:noHBand="0" w:noVBand="1"/>
      </w:tblPr>
      <w:tblGrid>
        <w:gridCol w:w="1454"/>
        <w:gridCol w:w="4379"/>
        <w:gridCol w:w="3752"/>
      </w:tblGrid>
      <w:tr w:rsidR="00C64F20" w:rsidRPr="0069495B" w14:paraId="52B015FF" w14:textId="77777777" w:rsidTr="00DC31E3">
        <w:trPr>
          <w:trHeight w:val="653"/>
        </w:trPr>
        <w:tc>
          <w:tcPr>
            <w:tcW w:w="1454" w:type="dxa"/>
          </w:tcPr>
          <w:p w14:paraId="7365F8E9"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System</w:t>
            </w:r>
          </w:p>
        </w:tc>
        <w:tc>
          <w:tcPr>
            <w:tcW w:w="4379" w:type="dxa"/>
          </w:tcPr>
          <w:p w14:paraId="2A0AFD74"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Genotype (crown architecture variation)</w:t>
            </w:r>
          </w:p>
        </w:tc>
        <w:tc>
          <w:tcPr>
            <w:tcW w:w="3752" w:type="dxa"/>
          </w:tcPr>
          <w:p w14:paraId="02AA19E5"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Density (trees/acre)</w:t>
            </w:r>
          </w:p>
        </w:tc>
      </w:tr>
      <w:tr w:rsidR="00C64F20" w:rsidRPr="0069495B" w14:paraId="08F4D3A9" w14:textId="77777777" w:rsidTr="00DC31E3">
        <w:trPr>
          <w:trHeight w:val="642"/>
        </w:trPr>
        <w:tc>
          <w:tcPr>
            <w:tcW w:w="1454" w:type="dxa"/>
            <w:vMerge w:val="restart"/>
          </w:tcPr>
          <w:p w14:paraId="4848AD22"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1</w:t>
            </w:r>
          </w:p>
        </w:tc>
        <w:tc>
          <w:tcPr>
            <w:tcW w:w="4379" w:type="dxa"/>
          </w:tcPr>
          <w:p w14:paraId="2726C57F"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C4</w:t>
            </w:r>
          </w:p>
        </w:tc>
        <w:tc>
          <w:tcPr>
            <w:tcW w:w="3752" w:type="dxa"/>
          </w:tcPr>
          <w:p w14:paraId="1573724E"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r w:rsidR="00C64F20" w:rsidRPr="0069495B" w14:paraId="1600A44B" w14:textId="77777777" w:rsidTr="00DC31E3">
        <w:trPr>
          <w:trHeight w:val="663"/>
        </w:trPr>
        <w:tc>
          <w:tcPr>
            <w:tcW w:w="1454" w:type="dxa"/>
            <w:vMerge/>
          </w:tcPr>
          <w:p w14:paraId="3368AC26"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p>
        </w:tc>
        <w:tc>
          <w:tcPr>
            <w:tcW w:w="4379" w:type="dxa"/>
          </w:tcPr>
          <w:p w14:paraId="51A0F8A8"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OP</w:t>
            </w:r>
          </w:p>
        </w:tc>
        <w:tc>
          <w:tcPr>
            <w:tcW w:w="3752" w:type="dxa"/>
          </w:tcPr>
          <w:p w14:paraId="2770307B"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C64F20" w:rsidRPr="0069495B" w14:paraId="4745B878" w14:textId="77777777" w:rsidTr="00DC31E3">
        <w:trPr>
          <w:trHeight w:val="642"/>
        </w:trPr>
        <w:tc>
          <w:tcPr>
            <w:tcW w:w="1454" w:type="dxa"/>
            <w:vMerge w:val="restart"/>
          </w:tcPr>
          <w:p w14:paraId="31ABA145"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w:t>
            </w:r>
          </w:p>
        </w:tc>
        <w:tc>
          <w:tcPr>
            <w:tcW w:w="4379" w:type="dxa"/>
          </w:tcPr>
          <w:p w14:paraId="2056AD9C"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C4</w:t>
            </w:r>
          </w:p>
        </w:tc>
        <w:tc>
          <w:tcPr>
            <w:tcW w:w="3752" w:type="dxa"/>
          </w:tcPr>
          <w:p w14:paraId="384EEF79"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C64F20" w:rsidRPr="0069495B" w14:paraId="0ECB834A" w14:textId="77777777" w:rsidTr="00DC31E3">
        <w:trPr>
          <w:trHeight w:val="663"/>
        </w:trPr>
        <w:tc>
          <w:tcPr>
            <w:tcW w:w="1454" w:type="dxa"/>
            <w:vMerge/>
          </w:tcPr>
          <w:p w14:paraId="58C2A052"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p>
        </w:tc>
        <w:tc>
          <w:tcPr>
            <w:tcW w:w="4379" w:type="dxa"/>
          </w:tcPr>
          <w:p w14:paraId="3D8D43A1"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OP</w:t>
            </w:r>
          </w:p>
        </w:tc>
        <w:tc>
          <w:tcPr>
            <w:tcW w:w="3752" w:type="dxa"/>
          </w:tcPr>
          <w:p w14:paraId="6F684928"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r w:rsidR="00C64F20" w:rsidRPr="0069495B" w14:paraId="6782C32B" w14:textId="77777777" w:rsidTr="00DC31E3">
        <w:trPr>
          <w:trHeight w:val="642"/>
        </w:trPr>
        <w:tc>
          <w:tcPr>
            <w:tcW w:w="1454" w:type="dxa"/>
            <w:vMerge w:val="restart"/>
          </w:tcPr>
          <w:p w14:paraId="307855D2"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3</w:t>
            </w:r>
          </w:p>
        </w:tc>
        <w:tc>
          <w:tcPr>
            <w:tcW w:w="4379" w:type="dxa"/>
          </w:tcPr>
          <w:p w14:paraId="13812C03"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C2</w:t>
            </w:r>
          </w:p>
        </w:tc>
        <w:tc>
          <w:tcPr>
            <w:tcW w:w="3752" w:type="dxa"/>
          </w:tcPr>
          <w:p w14:paraId="5D8236F2"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C64F20" w:rsidRPr="0069495B" w14:paraId="3C6D87CC" w14:textId="77777777" w:rsidTr="00DC31E3">
        <w:trPr>
          <w:trHeight w:val="663"/>
        </w:trPr>
        <w:tc>
          <w:tcPr>
            <w:tcW w:w="1454" w:type="dxa"/>
            <w:vMerge/>
          </w:tcPr>
          <w:p w14:paraId="1E863FFC"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p>
        </w:tc>
        <w:tc>
          <w:tcPr>
            <w:tcW w:w="4379" w:type="dxa"/>
          </w:tcPr>
          <w:p w14:paraId="1F516796"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C3</w:t>
            </w:r>
          </w:p>
        </w:tc>
        <w:tc>
          <w:tcPr>
            <w:tcW w:w="3752" w:type="dxa"/>
          </w:tcPr>
          <w:p w14:paraId="10FFB272"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250</w:t>
            </w:r>
          </w:p>
        </w:tc>
      </w:tr>
      <w:tr w:rsidR="00C64F20" w:rsidRPr="0069495B" w14:paraId="66B38EDC" w14:textId="77777777" w:rsidTr="00DC31E3">
        <w:trPr>
          <w:trHeight w:val="642"/>
        </w:trPr>
        <w:tc>
          <w:tcPr>
            <w:tcW w:w="1454" w:type="dxa"/>
            <w:vMerge w:val="restart"/>
          </w:tcPr>
          <w:p w14:paraId="50FF626B"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4</w:t>
            </w:r>
          </w:p>
        </w:tc>
        <w:tc>
          <w:tcPr>
            <w:tcW w:w="4379" w:type="dxa"/>
          </w:tcPr>
          <w:p w14:paraId="706F7D62"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C3</w:t>
            </w:r>
          </w:p>
        </w:tc>
        <w:tc>
          <w:tcPr>
            <w:tcW w:w="3752" w:type="dxa"/>
          </w:tcPr>
          <w:p w14:paraId="002A02A1"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r w:rsidR="00C64F20" w:rsidRPr="0069495B" w14:paraId="1DC319CA" w14:textId="77777777" w:rsidTr="00DC31E3">
        <w:trPr>
          <w:trHeight w:val="663"/>
        </w:trPr>
        <w:tc>
          <w:tcPr>
            <w:tcW w:w="1454" w:type="dxa"/>
            <w:vMerge/>
          </w:tcPr>
          <w:p w14:paraId="117C8CDB"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p>
        </w:tc>
        <w:tc>
          <w:tcPr>
            <w:tcW w:w="4379" w:type="dxa"/>
          </w:tcPr>
          <w:p w14:paraId="723463E1"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C2</w:t>
            </w:r>
          </w:p>
        </w:tc>
        <w:tc>
          <w:tcPr>
            <w:tcW w:w="3752" w:type="dxa"/>
          </w:tcPr>
          <w:p w14:paraId="5EE8A307" w14:textId="77777777" w:rsidR="00C64F20" w:rsidRPr="0069495B" w:rsidRDefault="00C64F20" w:rsidP="00DC31E3">
            <w:pPr>
              <w:pStyle w:val="xmsonormal"/>
              <w:spacing w:line="480" w:lineRule="auto"/>
              <w:jc w:val="center"/>
              <w:rPr>
                <w:rStyle w:val="xhotkey-layer"/>
                <w:rFonts w:asciiTheme="minorEastAsia" w:hAnsiTheme="minorEastAsia" w:cs="Arial"/>
                <w:sz w:val="24"/>
                <w:szCs w:val="24"/>
              </w:rPr>
            </w:pPr>
            <w:r w:rsidRPr="0069495B">
              <w:rPr>
                <w:rStyle w:val="xhotkey-layer"/>
                <w:rFonts w:asciiTheme="minorEastAsia" w:hAnsiTheme="minorEastAsia" w:cs="Arial"/>
                <w:sz w:val="24"/>
                <w:szCs w:val="24"/>
              </w:rPr>
              <w:t>750</w:t>
            </w:r>
          </w:p>
        </w:tc>
      </w:tr>
    </w:tbl>
    <w:p w14:paraId="60C1107B" w14:textId="77777777" w:rsidR="00C64F20" w:rsidRPr="00C040A5" w:rsidRDefault="00C64F20" w:rsidP="00C64F20">
      <w:pPr>
        <w:spacing w:after="0" w:line="480" w:lineRule="auto"/>
        <w:rPr>
          <w:rFonts w:asciiTheme="minorEastAsia" w:hAnsiTheme="minorEastAsia" w:cstheme="minorHAnsi"/>
          <w:sz w:val="24"/>
          <w:szCs w:val="24"/>
        </w:rPr>
      </w:pPr>
    </w:p>
    <w:p w14:paraId="69A21E11" w14:textId="77777777" w:rsidR="00C64F20" w:rsidRPr="00C040A5" w:rsidRDefault="00C64F20" w:rsidP="00C64F20">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 xml:space="preserve">Where according to </w:t>
      </w:r>
      <w:proofErr w:type="spellStart"/>
      <w:r w:rsidRPr="00C040A5">
        <w:rPr>
          <w:rFonts w:asciiTheme="minorEastAsia" w:hAnsiTheme="minorEastAsia" w:cstheme="minorHAnsi"/>
          <w:sz w:val="24"/>
          <w:szCs w:val="24"/>
        </w:rPr>
        <w:t>Carbaugh</w:t>
      </w:r>
      <w:proofErr w:type="spellEnd"/>
      <w:r w:rsidRPr="00C040A5">
        <w:rPr>
          <w:rFonts w:asciiTheme="minorEastAsia" w:hAnsiTheme="minorEastAsia" w:cstheme="minorHAnsi"/>
          <w:sz w:val="24"/>
          <w:szCs w:val="24"/>
        </w:rPr>
        <w:t xml:space="preserve"> (2015), OP stands for an open-pollinated family and C refers to clones. C3 is considered narrow crown genotype whereas C2 and C4 are considered broad crown genotypes. The narrow crown genotype possesses smaller branch diameter, branch length, and crown volume than the broad crown genotypes. Within the broad crown genotypes, C4 has a slightly larger crown volume than C2. The OP family share similar branch characteristics to the broad crowned clones with a crown volume in between of broad and narrow crowned clones.</w:t>
      </w:r>
      <w:r>
        <w:rPr>
          <w:rFonts w:asciiTheme="minorEastAsia" w:hAnsiTheme="minorEastAsia" w:cstheme="minorHAnsi"/>
          <w:sz w:val="24"/>
          <w:szCs w:val="24"/>
        </w:rPr>
        <w:t xml:space="preserve"> Seedlings were </w:t>
      </w:r>
      <w:r w:rsidRPr="00C040A5">
        <w:rPr>
          <w:rFonts w:asciiTheme="minorEastAsia" w:hAnsiTheme="minorEastAsia" w:cstheme="minorHAnsi"/>
          <w:sz w:val="24"/>
          <w:szCs w:val="24"/>
        </w:rPr>
        <w:t>planted in 2009</w:t>
      </w:r>
      <w:r>
        <w:rPr>
          <w:rFonts w:asciiTheme="minorEastAsia" w:hAnsiTheme="minorEastAsia" w:cstheme="minorHAnsi"/>
          <w:sz w:val="24"/>
          <w:szCs w:val="24"/>
        </w:rPr>
        <w:t>.</w:t>
      </w:r>
    </w:p>
    <w:p w14:paraId="0B6854C9" w14:textId="507F631D" w:rsidR="00C64F20" w:rsidRDefault="00C64F20" w:rsidP="005664A2">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 xml:space="preserve">Sapflux was measured </w:t>
      </w:r>
      <w:r w:rsidR="005664A2">
        <w:rPr>
          <w:rFonts w:asciiTheme="minorEastAsia" w:hAnsiTheme="minorEastAsia" w:cstheme="minorHAnsi"/>
          <w:sz w:val="24"/>
          <w:szCs w:val="24"/>
        </w:rPr>
        <w:t xml:space="preserve">using </w:t>
      </w:r>
      <w:proofErr w:type="spellStart"/>
      <w:r w:rsidR="005664A2" w:rsidRPr="00C040A5">
        <w:rPr>
          <w:rFonts w:asciiTheme="minorEastAsia" w:hAnsiTheme="minorEastAsia" w:cstheme="minorHAnsi"/>
          <w:sz w:val="24"/>
          <w:szCs w:val="24"/>
        </w:rPr>
        <w:t>Granier</w:t>
      </w:r>
      <w:proofErr w:type="spellEnd"/>
      <w:r w:rsidR="005664A2" w:rsidRPr="00C040A5">
        <w:rPr>
          <w:rFonts w:asciiTheme="minorEastAsia" w:hAnsiTheme="minorEastAsia" w:cstheme="minorHAnsi"/>
          <w:sz w:val="24"/>
          <w:szCs w:val="24"/>
        </w:rPr>
        <w:t xml:space="preserve"> </w:t>
      </w:r>
      <w:r w:rsidR="005664A2">
        <w:rPr>
          <w:rFonts w:asciiTheme="minorEastAsia" w:hAnsiTheme="minorEastAsia" w:cstheme="minorHAnsi"/>
          <w:sz w:val="24"/>
          <w:szCs w:val="24"/>
        </w:rPr>
        <w:t xml:space="preserve">‘s thermal probe </w:t>
      </w:r>
      <w:r>
        <w:rPr>
          <w:rFonts w:asciiTheme="minorEastAsia" w:hAnsiTheme="minorEastAsia" w:cstheme="minorHAnsi"/>
          <w:sz w:val="24"/>
          <w:szCs w:val="24"/>
        </w:rPr>
        <w:t>at stand age 8-9 (2016-2017)</w:t>
      </w:r>
      <w:r w:rsidR="00FE0A1A">
        <w:rPr>
          <w:rFonts w:asciiTheme="minorEastAsia" w:hAnsiTheme="minorEastAsia" w:cstheme="minorHAnsi"/>
          <w:sz w:val="24"/>
          <w:szCs w:val="24"/>
        </w:rPr>
        <w:t xml:space="preserve"> for </w:t>
      </w:r>
      <w:commentRangeStart w:id="1"/>
      <w:r w:rsidR="00FE0A1A">
        <w:rPr>
          <w:rFonts w:asciiTheme="minorEastAsia" w:hAnsiTheme="minorEastAsia" w:cstheme="minorHAnsi"/>
          <w:sz w:val="24"/>
          <w:szCs w:val="24"/>
        </w:rPr>
        <w:t xml:space="preserve">block </w:t>
      </w:r>
      <w:commentRangeEnd w:id="1"/>
      <w:r w:rsidR="00FE0A1A">
        <w:rPr>
          <w:rStyle w:val="CommentReference"/>
        </w:rPr>
        <w:commentReference w:id="1"/>
      </w:r>
      <w:r w:rsidR="00FE0A1A">
        <w:rPr>
          <w:rFonts w:asciiTheme="minorEastAsia" w:hAnsiTheme="minorEastAsia" w:cstheme="minorHAnsi"/>
          <w:sz w:val="24"/>
          <w:szCs w:val="24"/>
        </w:rPr>
        <w:t>?</w:t>
      </w:r>
      <w:r>
        <w:rPr>
          <w:rFonts w:asciiTheme="minorEastAsia" w:hAnsiTheme="minorEastAsia" w:cstheme="minorHAnsi"/>
          <w:sz w:val="24"/>
          <w:szCs w:val="24"/>
        </w:rPr>
        <w:t xml:space="preserve">. </w:t>
      </w:r>
      <w:r w:rsidR="00B53547">
        <w:rPr>
          <w:rFonts w:asciiTheme="minorEastAsia" w:hAnsiTheme="minorEastAsia" w:cstheme="minorHAnsi"/>
          <w:sz w:val="24"/>
          <w:szCs w:val="24"/>
        </w:rPr>
        <w:t xml:space="preserve">We used </w:t>
      </w:r>
      <w:r w:rsidR="00D06511">
        <w:rPr>
          <w:rFonts w:asciiTheme="minorEastAsia" w:hAnsiTheme="minorEastAsia" w:cstheme="minorHAnsi"/>
          <w:sz w:val="24"/>
          <w:szCs w:val="24"/>
        </w:rPr>
        <w:t xml:space="preserve">data during </w:t>
      </w:r>
      <w:r w:rsidR="00B53547">
        <w:rPr>
          <w:rFonts w:asciiTheme="minorEastAsia" w:hAnsiTheme="minorEastAsia" w:cstheme="minorHAnsi"/>
          <w:sz w:val="24"/>
          <w:szCs w:val="24"/>
        </w:rPr>
        <w:t>the growing season (Jun</w:t>
      </w:r>
      <w:r w:rsidR="00D06511">
        <w:rPr>
          <w:rFonts w:asciiTheme="minorEastAsia" w:hAnsiTheme="minorEastAsia" w:cstheme="minorHAnsi"/>
          <w:sz w:val="24"/>
          <w:szCs w:val="24"/>
        </w:rPr>
        <w:t>e</w:t>
      </w:r>
      <w:r w:rsidR="00B53547">
        <w:rPr>
          <w:rFonts w:asciiTheme="minorEastAsia" w:hAnsiTheme="minorEastAsia" w:cstheme="minorHAnsi"/>
          <w:sz w:val="24"/>
          <w:szCs w:val="24"/>
        </w:rPr>
        <w:t xml:space="preserve">-September) of 2017 because </w:t>
      </w:r>
      <w:r w:rsidR="005664A2">
        <w:rPr>
          <w:rFonts w:asciiTheme="minorEastAsia" w:hAnsiTheme="minorEastAsia" w:cstheme="minorHAnsi"/>
          <w:sz w:val="24"/>
          <w:szCs w:val="24"/>
        </w:rPr>
        <w:t xml:space="preserve">data of 2017 </w:t>
      </w:r>
      <w:r w:rsidR="008315CC">
        <w:rPr>
          <w:rFonts w:asciiTheme="minorEastAsia" w:hAnsiTheme="minorEastAsia" w:cstheme="minorHAnsi"/>
          <w:sz w:val="24"/>
          <w:szCs w:val="24"/>
        </w:rPr>
        <w:t>was relatively complete</w:t>
      </w:r>
      <w:r w:rsidR="00D06511">
        <w:rPr>
          <w:rFonts w:asciiTheme="minorEastAsia" w:hAnsiTheme="minorEastAsia" w:cstheme="minorHAnsi"/>
          <w:sz w:val="24"/>
          <w:szCs w:val="24"/>
        </w:rPr>
        <w:t>;</w:t>
      </w:r>
      <w:r w:rsidR="008315CC">
        <w:rPr>
          <w:rFonts w:asciiTheme="minorEastAsia" w:hAnsiTheme="minorEastAsia" w:cstheme="minorHAnsi"/>
          <w:sz w:val="24"/>
          <w:szCs w:val="24"/>
        </w:rPr>
        <w:t xml:space="preserve"> and during growing season, </w:t>
      </w:r>
      <w:r w:rsidR="004164C9">
        <w:rPr>
          <w:rFonts w:asciiTheme="minorEastAsia" w:hAnsiTheme="minorEastAsia" w:cstheme="minorHAnsi"/>
          <w:sz w:val="24"/>
          <w:szCs w:val="24"/>
        </w:rPr>
        <w:t xml:space="preserve">trees are the most active and </w:t>
      </w:r>
      <w:r w:rsidR="008315CC">
        <w:rPr>
          <w:rFonts w:asciiTheme="minorEastAsia" w:hAnsiTheme="minorEastAsia" w:cstheme="minorHAnsi"/>
          <w:sz w:val="24"/>
          <w:szCs w:val="24"/>
        </w:rPr>
        <w:t xml:space="preserve">generates </w:t>
      </w:r>
      <w:r w:rsidR="004164C9">
        <w:rPr>
          <w:rFonts w:asciiTheme="minorEastAsia" w:hAnsiTheme="minorEastAsia" w:cstheme="minorHAnsi"/>
          <w:sz w:val="24"/>
          <w:szCs w:val="24"/>
        </w:rPr>
        <w:t xml:space="preserve">the </w:t>
      </w:r>
      <w:r w:rsidR="008315CC">
        <w:rPr>
          <w:rFonts w:asciiTheme="minorEastAsia" w:hAnsiTheme="minorEastAsia" w:cstheme="minorHAnsi"/>
          <w:sz w:val="24"/>
          <w:szCs w:val="24"/>
        </w:rPr>
        <w:t xml:space="preserve">most drastic </w:t>
      </w:r>
      <w:r w:rsidR="004164C9">
        <w:rPr>
          <w:rFonts w:asciiTheme="minorEastAsia" w:hAnsiTheme="minorEastAsia" w:cstheme="minorHAnsi"/>
          <w:sz w:val="24"/>
          <w:szCs w:val="24"/>
        </w:rPr>
        <w:t xml:space="preserve">sapflow </w:t>
      </w:r>
      <w:r w:rsidR="008315CC">
        <w:rPr>
          <w:rFonts w:asciiTheme="minorEastAsia" w:hAnsiTheme="minorEastAsia" w:cstheme="minorHAnsi"/>
          <w:sz w:val="24"/>
          <w:szCs w:val="24"/>
        </w:rPr>
        <w:t xml:space="preserve">patterns that best represents individual </w:t>
      </w:r>
      <w:r w:rsidR="004164C9">
        <w:rPr>
          <w:rFonts w:asciiTheme="minorEastAsia" w:hAnsiTheme="minorEastAsia" w:cstheme="minorHAnsi"/>
          <w:sz w:val="24"/>
          <w:szCs w:val="24"/>
        </w:rPr>
        <w:t>tree characteristics</w:t>
      </w:r>
      <w:r w:rsidR="008315CC">
        <w:rPr>
          <w:rFonts w:asciiTheme="minorEastAsia" w:hAnsiTheme="minorEastAsia" w:cstheme="minorHAnsi"/>
          <w:sz w:val="24"/>
          <w:szCs w:val="24"/>
        </w:rPr>
        <w:t xml:space="preserve"> (</w:t>
      </w:r>
      <w:commentRangeStart w:id="2"/>
      <w:proofErr w:type="spellStart"/>
      <w:r w:rsidR="008315CC">
        <w:rPr>
          <w:rFonts w:asciiTheme="minorEastAsia" w:hAnsiTheme="minorEastAsia" w:cstheme="minorHAnsi"/>
          <w:sz w:val="24"/>
          <w:szCs w:val="24"/>
        </w:rPr>
        <w:t>Lyu</w:t>
      </w:r>
      <w:proofErr w:type="spellEnd"/>
      <w:r w:rsidR="008315CC">
        <w:rPr>
          <w:rFonts w:asciiTheme="minorEastAsia" w:hAnsiTheme="minorEastAsia" w:cstheme="minorHAnsi"/>
          <w:sz w:val="24"/>
          <w:szCs w:val="24"/>
        </w:rPr>
        <w:t xml:space="preserve"> </w:t>
      </w:r>
      <w:commentRangeEnd w:id="2"/>
      <w:r w:rsidR="008315CC">
        <w:rPr>
          <w:rStyle w:val="CommentReference"/>
        </w:rPr>
        <w:commentReference w:id="2"/>
      </w:r>
      <w:r w:rsidR="008315CC">
        <w:rPr>
          <w:rFonts w:asciiTheme="minorEastAsia" w:hAnsiTheme="minorEastAsia" w:cstheme="minorHAnsi"/>
          <w:sz w:val="24"/>
          <w:szCs w:val="24"/>
        </w:rPr>
        <w:t>et al., 2020)</w:t>
      </w:r>
      <w:r w:rsidR="005664A2">
        <w:rPr>
          <w:rFonts w:asciiTheme="minorEastAsia" w:hAnsiTheme="minorEastAsia" w:cstheme="minorHAnsi"/>
          <w:sz w:val="24"/>
          <w:szCs w:val="24"/>
        </w:rPr>
        <w:t xml:space="preserve"> </w:t>
      </w:r>
      <w:r>
        <w:rPr>
          <w:rFonts w:asciiTheme="minorEastAsia" w:hAnsiTheme="minorEastAsia" w:cstheme="minorHAnsi"/>
          <w:sz w:val="24"/>
          <w:szCs w:val="24"/>
        </w:rPr>
        <w:t>Briefly, w</w:t>
      </w:r>
      <w:r w:rsidRPr="00C040A5">
        <w:rPr>
          <w:rFonts w:asciiTheme="minorEastAsia" w:hAnsiTheme="minorEastAsia" w:cstheme="minorHAnsi"/>
          <w:sz w:val="24"/>
          <w:szCs w:val="24"/>
        </w:rPr>
        <w:t xml:space="preserve">ithin each treatment plot, eight trees </w:t>
      </w:r>
      <w:r>
        <w:rPr>
          <w:rFonts w:asciiTheme="minorEastAsia" w:hAnsiTheme="minorEastAsia" w:cstheme="minorHAnsi"/>
          <w:sz w:val="24"/>
          <w:szCs w:val="24"/>
        </w:rPr>
        <w:t xml:space="preserve">were selected for sapflux measurement. Each tree had a </w:t>
      </w:r>
      <w:r w:rsidRPr="00C040A5">
        <w:rPr>
          <w:rFonts w:asciiTheme="minorEastAsia" w:hAnsiTheme="minorEastAsia" w:cstheme="minorHAnsi"/>
          <w:sz w:val="24"/>
          <w:szCs w:val="24"/>
        </w:rPr>
        <w:t xml:space="preserve">pair of </w:t>
      </w:r>
      <w:r>
        <w:rPr>
          <w:rFonts w:asciiTheme="minorEastAsia" w:hAnsiTheme="minorEastAsia" w:cstheme="minorHAnsi"/>
          <w:sz w:val="24"/>
          <w:szCs w:val="24"/>
        </w:rPr>
        <w:t xml:space="preserve">sapflux </w:t>
      </w:r>
      <w:r w:rsidRPr="00C040A5">
        <w:rPr>
          <w:rFonts w:asciiTheme="minorEastAsia" w:hAnsiTheme="minorEastAsia" w:cstheme="minorHAnsi"/>
          <w:sz w:val="24"/>
          <w:szCs w:val="24"/>
        </w:rPr>
        <w:t>probes inserted from 0-20 mm (shallow) on the north and south side of the tree</w:t>
      </w:r>
      <w:r>
        <w:rPr>
          <w:rFonts w:asciiTheme="minorEastAsia" w:hAnsiTheme="minorEastAsia" w:cstheme="minorHAnsi"/>
          <w:sz w:val="24"/>
          <w:szCs w:val="24"/>
        </w:rPr>
        <w:t>. Two of the trees</w:t>
      </w:r>
      <w:r w:rsidRPr="00C040A5">
        <w:rPr>
          <w:rFonts w:asciiTheme="minorEastAsia" w:hAnsiTheme="minorEastAsia" w:cstheme="minorHAnsi"/>
          <w:sz w:val="24"/>
          <w:szCs w:val="24"/>
        </w:rPr>
        <w:t xml:space="preserve"> in each plot had </w:t>
      </w:r>
      <w:r w:rsidRPr="00C040A5">
        <w:rPr>
          <w:rFonts w:asciiTheme="minorEastAsia" w:hAnsiTheme="minorEastAsia" w:cstheme="minorHAnsi"/>
          <w:sz w:val="24"/>
          <w:szCs w:val="24"/>
        </w:rPr>
        <w:lastRenderedPageBreak/>
        <w:t xml:space="preserve">an additional probe inserted from 20-40mm (deep). </w:t>
      </w:r>
      <w:r>
        <w:rPr>
          <w:rFonts w:asciiTheme="minorEastAsia" w:hAnsiTheme="minorEastAsia" w:cstheme="minorHAnsi"/>
          <w:sz w:val="24"/>
          <w:szCs w:val="24"/>
        </w:rPr>
        <w:t>Sapflux was measured every 30 seconds and then averaged over a 15-minute time step.</w:t>
      </w:r>
    </w:p>
    <w:p w14:paraId="7654B45C" w14:textId="379F1EBC" w:rsidR="00D2170C" w:rsidRPr="00C040A5" w:rsidRDefault="00B905AA" w:rsidP="005664A2">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T</w:t>
      </w:r>
      <w:r w:rsidR="00D2170C">
        <w:rPr>
          <w:rFonts w:asciiTheme="minorEastAsia" w:hAnsiTheme="minorEastAsia" w:cstheme="minorHAnsi"/>
          <w:sz w:val="24"/>
          <w:szCs w:val="24"/>
        </w:rPr>
        <w:t xml:space="preserve">ree diameter </w:t>
      </w:r>
      <w:r w:rsidR="00D913E0">
        <w:rPr>
          <w:rFonts w:asciiTheme="minorEastAsia" w:hAnsiTheme="minorEastAsia" w:cstheme="minorHAnsi"/>
          <w:sz w:val="24"/>
          <w:szCs w:val="24"/>
        </w:rPr>
        <w:t xml:space="preserve">(cm) </w:t>
      </w:r>
      <w:r w:rsidR="00FE0A1A">
        <w:rPr>
          <w:rFonts w:asciiTheme="minorEastAsia" w:hAnsiTheme="minorEastAsia" w:cstheme="minorHAnsi"/>
          <w:sz w:val="24"/>
          <w:szCs w:val="24"/>
        </w:rPr>
        <w:t xml:space="preserve">was </w:t>
      </w:r>
      <w:r w:rsidR="00D913E0">
        <w:rPr>
          <w:rFonts w:asciiTheme="minorEastAsia" w:hAnsiTheme="minorEastAsia" w:cstheme="minorHAnsi"/>
          <w:sz w:val="24"/>
          <w:szCs w:val="24"/>
        </w:rPr>
        <w:t>measured</w:t>
      </w:r>
      <w:r w:rsidR="00FE0A1A">
        <w:rPr>
          <w:rFonts w:asciiTheme="minorEastAsia" w:hAnsiTheme="minorEastAsia" w:cstheme="minorHAnsi"/>
          <w:sz w:val="24"/>
          <w:szCs w:val="24"/>
        </w:rPr>
        <w:t xml:space="preserve"> for </w:t>
      </w:r>
      <w:commentRangeStart w:id="3"/>
      <w:r w:rsidR="00FE0A1A">
        <w:rPr>
          <w:rFonts w:asciiTheme="minorEastAsia" w:hAnsiTheme="minorEastAsia" w:cstheme="minorHAnsi"/>
          <w:sz w:val="24"/>
          <w:szCs w:val="24"/>
        </w:rPr>
        <w:t xml:space="preserve">all </w:t>
      </w:r>
      <w:commentRangeEnd w:id="3"/>
      <w:r>
        <w:rPr>
          <w:rStyle w:val="CommentReference"/>
        </w:rPr>
        <w:commentReference w:id="3"/>
      </w:r>
      <w:r w:rsidR="00FE0A1A">
        <w:rPr>
          <w:rFonts w:asciiTheme="minorEastAsia" w:hAnsiTheme="minorEastAsia" w:cstheme="minorHAnsi"/>
          <w:sz w:val="24"/>
          <w:szCs w:val="24"/>
        </w:rPr>
        <w:t>trees</w:t>
      </w:r>
      <w:r>
        <w:rPr>
          <w:rFonts w:asciiTheme="minorEastAsia" w:hAnsiTheme="minorEastAsia" w:cstheme="minorHAnsi"/>
          <w:sz w:val="24"/>
          <w:szCs w:val="24"/>
        </w:rPr>
        <w:t xml:space="preserve"> at the beginning and the end of each experimental year. </w:t>
      </w:r>
    </w:p>
    <w:p w14:paraId="3C8957FF" w14:textId="286153BE" w:rsidR="00C64F20" w:rsidRDefault="00C64F20" w:rsidP="00C64F20">
      <w:pPr>
        <w:spacing w:after="0" w:line="480" w:lineRule="auto"/>
        <w:rPr>
          <w:rFonts w:asciiTheme="minorEastAsia" w:hAnsiTheme="minorEastAsia" w:cstheme="minorHAnsi"/>
          <w:sz w:val="24"/>
          <w:szCs w:val="24"/>
        </w:rPr>
      </w:pPr>
      <w:r w:rsidRPr="00C040A5">
        <w:rPr>
          <w:rFonts w:asciiTheme="minorEastAsia" w:hAnsiTheme="minorEastAsia" w:cstheme="minorHAnsi"/>
          <w:sz w:val="24"/>
          <w:szCs w:val="24"/>
        </w:rPr>
        <w:tab/>
      </w:r>
      <w:r w:rsidR="00FE0A1A">
        <w:rPr>
          <w:rFonts w:asciiTheme="minorEastAsia" w:hAnsiTheme="minorEastAsia" w:cstheme="minorHAnsi"/>
          <w:sz w:val="24"/>
          <w:szCs w:val="24"/>
        </w:rPr>
        <w:t>Specific soil moisture (</w:t>
      </w:r>
      <w:r w:rsidR="003F08F7">
        <w:rPr>
          <w:rFonts w:asciiTheme="minorEastAsia" w:hAnsiTheme="minorEastAsia" w:cstheme="minorHAnsi"/>
          <w:sz w:val="24"/>
          <w:szCs w:val="24"/>
        </w:rPr>
        <w:t>% water per volume soil</w:t>
      </w:r>
      <w:r w:rsidR="00FE0A1A">
        <w:rPr>
          <w:rFonts w:asciiTheme="minorEastAsia" w:hAnsiTheme="minorEastAsia" w:cstheme="minorHAnsi"/>
          <w:sz w:val="24"/>
          <w:szCs w:val="24"/>
        </w:rPr>
        <w:t xml:space="preserve">) was available for </w:t>
      </w:r>
      <w:proofErr w:type="gramStart"/>
      <w:r w:rsidR="00FE0A1A">
        <w:rPr>
          <w:rFonts w:asciiTheme="minorEastAsia" w:hAnsiTheme="minorEastAsia" w:cstheme="minorHAnsi"/>
          <w:sz w:val="24"/>
          <w:szCs w:val="24"/>
        </w:rPr>
        <w:t>block</w:t>
      </w:r>
      <w:r w:rsidR="00BA6EF3">
        <w:rPr>
          <w:rFonts w:asciiTheme="minorEastAsia" w:hAnsiTheme="minorEastAsia" w:cstheme="minorHAnsi"/>
          <w:sz w:val="24"/>
          <w:szCs w:val="24"/>
        </w:rPr>
        <w:t xml:space="preserve"> </w:t>
      </w:r>
      <w:commentRangeStart w:id="4"/>
      <w:r w:rsidR="00BA6EF3">
        <w:rPr>
          <w:rFonts w:asciiTheme="minorEastAsia" w:hAnsiTheme="minorEastAsia" w:cstheme="minorHAnsi"/>
          <w:sz w:val="24"/>
          <w:szCs w:val="24"/>
        </w:rPr>
        <w:t>?</w:t>
      </w:r>
      <w:proofErr w:type="gramEnd"/>
      <w:r w:rsidR="00BA6EF3">
        <w:rPr>
          <w:rFonts w:asciiTheme="minorEastAsia" w:hAnsiTheme="minorEastAsia" w:cstheme="minorHAnsi"/>
          <w:sz w:val="24"/>
          <w:szCs w:val="24"/>
        </w:rPr>
        <w:t xml:space="preserve"> </w:t>
      </w:r>
      <w:commentRangeEnd w:id="4"/>
      <w:r w:rsidR="00BA6EF3">
        <w:rPr>
          <w:rStyle w:val="CommentReference"/>
        </w:rPr>
        <w:commentReference w:id="4"/>
      </w:r>
      <w:r w:rsidR="00BA6EF3">
        <w:rPr>
          <w:rFonts w:asciiTheme="minorEastAsia" w:hAnsiTheme="minorEastAsia" w:cstheme="minorHAnsi"/>
          <w:sz w:val="24"/>
          <w:szCs w:val="24"/>
        </w:rPr>
        <w:t>for each treatment plot.</w:t>
      </w:r>
      <w:r w:rsidR="00FE0A1A">
        <w:rPr>
          <w:rFonts w:asciiTheme="minorEastAsia" w:hAnsiTheme="minorEastAsia" w:cstheme="minorHAnsi"/>
          <w:sz w:val="24"/>
          <w:szCs w:val="24"/>
        </w:rPr>
        <w:t xml:space="preserve"> </w:t>
      </w:r>
      <w:r w:rsidR="00BA6EF3">
        <w:rPr>
          <w:rFonts w:asciiTheme="minorEastAsia" w:hAnsiTheme="minorEastAsia" w:cstheme="minorHAnsi"/>
          <w:sz w:val="24"/>
          <w:szCs w:val="24"/>
        </w:rPr>
        <w:t xml:space="preserve"> </w:t>
      </w:r>
      <w:r w:rsidRPr="00C040A5">
        <w:rPr>
          <w:rFonts w:asciiTheme="minorEastAsia" w:hAnsiTheme="minorEastAsia" w:cstheme="minorHAnsi"/>
          <w:sz w:val="24"/>
          <w:szCs w:val="24"/>
        </w:rPr>
        <w:t>Additional data related to the weather parameters were obtained from on-site weather station.</w:t>
      </w:r>
    </w:p>
    <w:p w14:paraId="62C6146B" w14:textId="298C7A1F" w:rsidR="00B53547" w:rsidRPr="00B73296" w:rsidRDefault="00B73296" w:rsidP="00B53547">
      <w:pPr>
        <w:spacing w:after="0" w:line="480" w:lineRule="auto"/>
        <w:rPr>
          <w:rFonts w:asciiTheme="minorEastAsia" w:hAnsiTheme="minorEastAsia" w:cstheme="minorHAnsi"/>
          <w:b/>
          <w:bCs/>
          <w:sz w:val="28"/>
          <w:szCs w:val="28"/>
        </w:rPr>
      </w:pPr>
      <w:r w:rsidRPr="00B73296">
        <w:rPr>
          <w:rFonts w:asciiTheme="minorEastAsia" w:hAnsiTheme="minorEastAsia" w:cstheme="minorHAnsi"/>
          <w:b/>
          <w:bCs/>
          <w:sz w:val="28"/>
          <w:szCs w:val="28"/>
        </w:rPr>
        <w:t xml:space="preserve">2.3 </w:t>
      </w:r>
      <w:r w:rsidR="00C64F20" w:rsidRPr="00B73296">
        <w:rPr>
          <w:rFonts w:asciiTheme="minorEastAsia" w:hAnsiTheme="minorEastAsia" w:cstheme="minorHAnsi"/>
          <w:b/>
          <w:bCs/>
          <w:sz w:val="28"/>
          <w:szCs w:val="28"/>
        </w:rPr>
        <w:t xml:space="preserve">Data </w:t>
      </w:r>
      <w:r w:rsidR="00717268" w:rsidRPr="00B73296">
        <w:rPr>
          <w:rFonts w:asciiTheme="minorEastAsia" w:hAnsiTheme="minorEastAsia" w:cstheme="minorHAnsi"/>
          <w:b/>
          <w:bCs/>
          <w:sz w:val="28"/>
          <w:szCs w:val="28"/>
        </w:rPr>
        <w:t>Preparation</w:t>
      </w:r>
      <w:r w:rsidR="00C64F20" w:rsidRPr="00B73296">
        <w:rPr>
          <w:rFonts w:asciiTheme="minorEastAsia" w:hAnsiTheme="minorEastAsia" w:cstheme="minorHAnsi"/>
          <w:b/>
          <w:bCs/>
          <w:sz w:val="28"/>
          <w:szCs w:val="28"/>
        </w:rPr>
        <w:t xml:space="preserve"> </w:t>
      </w:r>
    </w:p>
    <w:p w14:paraId="62E3384A" w14:textId="613AA264" w:rsidR="00A75016" w:rsidRPr="00A75016" w:rsidRDefault="00A75016" w:rsidP="00A75016">
      <w:pPr>
        <w:spacing w:after="0" w:line="480" w:lineRule="auto"/>
        <w:rPr>
          <w:rFonts w:asciiTheme="minorEastAsia" w:hAnsiTheme="minorEastAsia" w:cstheme="minorHAnsi"/>
          <w:b/>
          <w:bCs/>
          <w:sz w:val="24"/>
          <w:szCs w:val="24"/>
        </w:rPr>
      </w:pPr>
      <w:r w:rsidRPr="00A75016">
        <w:rPr>
          <w:rFonts w:asciiTheme="minorEastAsia" w:hAnsiTheme="minorEastAsia" w:cstheme="minorHAnsi"/>
          <w:b/>
          <w:bCs/>
          <w:sz w:val="24"/>
          <w:szCs w:val="24"/>
        </w:rPr>
        <w:t>Data Cleaning</w:t>
      </w:r>
    </w:p>
    <w:p w14:paraId="63C67F66" w14:textId="2174D230" w:rsidR="00C64F20" w:rsidRDefault="00C64F20" w:rsidP="00C64F20">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The 15-minute-interval raw k-values generated from thermal probes </w:t>
      </w:r>
      <w:r w:rsidR="00717268">
        <w:rPr>
          <w:rFonts w:asciiTheme="minorEastAsia" w:hAnsiTheme="minorEastAsia" w:cstheme="minorHAnsi"/>
          <w:sz w:val="24"/>
          <w:szCs w:val="24"/>
        </w:rPr>
        <w:t xml:space="preserve">were </w:t>
      </w:r>
      <w:r w:rsidRPr="00C040A5">
        <w:rPr>
          <w:rFonts w:asciiTheme="minorEastAsia" w:hAnsiTheme="minorEastAsia" w:cstheme="minorHAnsi"/>
          <w:sz w:val="24"/>
          <w:szCs w:val="24"/>
        </w:rPr>
        <w:t xml:space="preserve">transformed into sap flux density using </w:t>
      </w:r>
      <w:proofErr w:type="spellStart"/>
      <w:r w:rsidRPr="00C040A5">
        <w:rPr>
          <w:rFonts w:asciiTheme="minorEastAsia" w:hAnsiTheme="minorEastAsia" w:cstheme="minorHAnsi"/>
          <w:sz w:val="24"/>
          <w:szCs w:val="24"/>
        </w:rPr>
        <w:t>Granier’s</w:t>
      </w:r>
      <w:proofErr w:type="spellEnd"/>
      <w:r w:rsidRPr="00C040A5">
        <w:rPr>
          <w:rFonts w:asciiTheme="minorEastAsia" w:hAnsiTheme="minorEastAsia" w:cstheme="minorHAnsi"/>
          <w:sz w:val="24"/>
          <w:szCs w:val="24"/>
        </w:rPr>
        <w:t xml:space="preserve"> Equation</w:t>
      </w:r>
      <w:r>
        <w:rPr>
          <w:rFonts w:asciiTheme="minorEastAsia" w:hAnsiTheme="minorEastAsia" w:cstheme="minorHAnsi"/>
          <w:sz w:val="24"/>
          <w:szCs w:val="24"/>
        </w:rPr>
        <w:t xml:space="preserve"> (</w:t>
      </w:r>
      <w:proofErr w:type="spellStart"/>
      <w:r w:rsidRPr="00C040A5">
        <w:rPr>
          <w:rFonts w:asciiTheme="minorEastAsia" w:hAnsiTheme="minorEastAsia" w:cstheme="minorHAnsi"/>
          <w:sz w:val="24"/>
          <w:szCs w:val="24"/>
        </w:rPr>
        <w:t>Fd</w:t>
      </w:r>
      <w:proofErr w:type="spellEnd"/>
      <w:r w:rsidRPr="00C040A5">
        <w:rPr>
          <w:rFonts w:asciiTheme="minorEastAsia" w:hAnsiTheme="minorEastAsia" w:cstheme="minorHAnsi"/>
          <w:sz w:val="24"/>
          <w:szCs w:val="24"/>
        </w:rPr>
        <w:t xml:space="preserve"> = 119 *k</w:t>
      </w:r>
      <w:r>
        <w:rPr>
          <w:rFonts w:asciiTheme="minorEastAsia" w:hAnsiTheme="minorEastAsia" w:cstheme="minorHAnsi"/>
          <w:sz w:val="24"/>
          <w:szCs w:val="24"/>
        </w:rPr>
        <w:t>^</w:t>
      </w:r>
      <w:r w:rsidRPr="00C040A5">
        <w:rPr>
          <w:rFonts w:asciiTheme="minorEastAsia" w:hAnsiTheme="minorEastAsia" w:cstheme="minorHAnsi"/>
          <w:sz w:val="24"/>
          <w:szCs w:val="24"/>
        </w:rPr>
        <w:t>1.231</w:t>
      </w:r>
      <w:r>
        <w:rPr>
          <w:rFonts w:asciiTheme="minorEastAsia" w:hAnsiTheme="minorEastAsia" w:cstheme="minorHAnsi"/>
          <w:sz w:val="24"/>
          <w:szCs w:val="24"/>
        </w:rPr>
        <w:t>)</w:t>
      </w:r>
      <w:r w:rsidRPr="00C040A5">
        <w:rPr>
          <w:rFonts w:asciiTheme="minorEastAsia" w:hAnsiTheme="minorEastAsia" w:cstheme="minorHAnsi"/>
          <w:sz w:val="24"/>
          <w:szCs w:val="24"/>
        </w:rPr>
        <w:t xml:space="preserve">. Data </w:t>
      </w:r>
      <w:r w:rsidR="00717268">
        <w:rPr>
          <w:rFonts w:asciiTheme="minorEastAsia" w:hAnsiTheme="minorEastAsia" w:cstheme="minorHAnsi"/>
          <w:sz w:val="24"/>
          <w:szCs w:val="24"/>
        </w:rPr>
        <w:t xml:space="preserve">was </w:t>
      </w:r>
      <w:r w:rsidRPr="00C040A5">
        <w:rPr>
          <w:rFonts w:asciiTheme="minorEastAsia" w:hAnsiTheme="minorEastAsia" w:cstheme="minorHAnsi"/>
          <w:sz w:val="24"/>
          <w:szCs w:val="24"/>
        </w:rPr>
        <w:t xml:space="preserve">visually presented and checked for error and interesting patterns. </w:t>
      </w:r>
    </w:p>
    <w:p w14:paraId="19B046F8" w14:textId="64B39D15" w:rsidR="00A75016" w:rsidRPr="00A75016" w:rsidRDefault="00A75016" w:rsidP="00A75016">
      <w:pPr>
        <w:spacing w:after="0" w:line="480" w:lineRule="auto"/>
        <w:rPr>
          <w:rFonts w:asciiTheme="minorEastAsia" w:hAnsiTheme="minorEastAsia" w:cstheme="minorHAnsi"/>
          <w:b/>
          <w:bCs/>
          <w:sz w:val="24"/>
          <w:szCs w:val="24"/>
        </w:rPr>
      </w:pPr>
      <w:r w:rsidRPr="00A75016">
        <w:rPr>
          <w:rFonts w:asciiTheme="minorEastAsia" w:hAnsiTheme="minorEastAsia" w:cstheme="minorHAnsi"/>
          <w:b/>
          <w:bCs/>
          <w:sz w:val="24"/>
          <w:szCs w:val="24"/>
        </w:rPr>
        <w:t>Gap-filling</w:t>
      </w:r>
    </w:p>
    <w:p w14:paraId="0B0E356A" w14:textId="599E1CFF" w:rsidR="008A1FCE" w:rsidRDefault="00717268" w:rsidP="00C64F20">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The smallest gaps (&lt;5 entries) in the raw data were interpolated. Relatively small</w:t>
      </w:r>
      <w:r w:rsidR="00C64F20" w:rsidRPr="00C040A5">
        <w:rPr>
          <w:rFonts w:asciiTheme="minorEastAsia" w:hAnsiTheme="minorEastAsia" w:cstheme="minorHAnsi"/>
          <w:sz w:val="24"/>
          <w:szCs w:val="24"/>
        </w:rPr>
        <w:t xml:space="preserve"> gaps (&lt;48 entries, or half day) of individual probes </w:t>
      </w:r>
      <w:r>
        <w:rPr>
          <w:rFonts w:asciiTheme="minorEastAsia" w:hAnsiTheme="minorEastAsia" w:cstheme="minorHAnsi"/>
          <w:sz w:val="24"/>
          <w:szCs w:val="24"/>
        </w:rPr>
        <w:t>were</w:t>
      </w:r>
      <w:r w:rsidR="00C64F20" w:rsidRPr="00C040A5">
        <w:rPr>
          <w:rFonts w:asciiTheme="minorEastAsia" w:hAnsiTheme="minorEastAsia" w:cstheme="minorHAnsi"/>
          <w:sz w:val="24"/>
          <w:szCs w:val="24"/>
        </w:rPr>
        <w:t xml:space="preserve"> filled in with simple linear regression between probes for each 15-minute entry. </w:t>
      </w:r>
      <w:r w:rsidR="008A1FCE" w:rsidRPr="00C040A5">
        <w:rPr>
          <w:rFonts w:asciiTheme="minorEastAsia" w:hAnsiTheme="minorEastAsia" w:cstheme="minorHAnsi"/>
          <w:sz w:val="24"/>
          <w:szCs w:val="24"/>
        </w:rPr>
        <w:t xml:space="preserve">Gaps </w:t>
      </w:r>
      <w:r w:rsidR="008A1FCE">
        <w:rPr>
          <w:rFonts w:asciiTheme="minorEastAsia" w:hAnsiTheme="minorEastAsia" w:cstheme="minorHAnsi"/>
          <w:sz w:val="24"/>
          <w:szCs w:val="24"/>
        </w:rPr>
        <w:t>larger</w:t>
      </w:r>
      <w:r w:rsidR="008A1FCE" w:rsidRPr="00C040A5">
        <w:rPr>
          <w:rFonts w:asciiTheme="minorEastAsia" w:hAnsiTheme="minorEastAsia" w:cstheme="minorHAnsi"/>
          <w:sz w:val="24"/>
          <w:szCs w:val="24"/>
        </w:rPr>
        <w:t xml:space="preserve"> than 48 entries </w:t>
      </w:r>
      <w:r w:rsidR="008A1FCE">
        <w:rPr>
          <w:rFonts w:asciiTheme="minorEastAsia" w:hAnsiTheme="minorEastAsia" w:cstheme="minorHAnsi"/>
          <w:sz w:val="24"/>
          <w:szCs w:val="24"/>
        </w:rPr>
        <w:t xml:space="preserve">were </w:t>
      </w:r>
      <w:r w:rsidR="008A1FCE" w:rsidRPr="00C040A5">
        <w:rPr>
          <w:rFonts w:asciiTheme="minorEastAsia" w:hAnsiTheme="minorEastAsia" w:cstheme="minorHAnsi"/>
          <w:sz w:val="24"/>
          <w:szCs w:val="24"/>
        </w:rPr>
        <w:t>gap-filled</w:t>
      </w:r>
      <w:r w:rsidR="008A1FCE">
        <w:rPr>
          <w:rFonts w:asciiTheme="minorEastAsia" w:hAnsiTheme="minorEastAsia" w:cstheme="minorHAnsi"/>
          <w:sz w:val="24"/>
          <w:szCs w:val="24"/>
        </w:rPr>
        <w:t xml:space="preserve"> after calculating daily sums</w:t>
      </w:r>
      <w:r w:rsidR="008A1FCE" w:rsidRPr="00C040A5">
        <w:rPr>
          <w:rFonts w:asciiTheme="minorEastAsia" w:hAnsiTheme="minorEastAsia" w:cstheme="minorHAnsi"/>
          <w:sz w:val="24"/>
          <w:szCs w:val="24"/>
        </w:rPr>
        <w:t xml:space="preserve"> using simple linear regression between probes for each daily sum.</w:t>
      </w:r>
    </w:p>
    <w:p w14:paraId="21CB51D5" w14:textId="1EC0C087" w:rsidR="00A75016" w:rsidRPr="00A75016" w:rsidRDefault="00A75016" w:rsidP="00A75016">
      <w:pPr>
        <w:spacing w:after="0" w:line="480" w:lineRule="auto"/>
        <w:rPr>
          <w:rFonts w:asciiTheme="minorEastAsia" w:hAnsiTheme="minorEastAsia" w:cstheme="minorHAnsi"/>
          <w:b/>
          <w:bCs/>
          <w:sz w:val="24"/>
          <w:szCs w:val="24"/>
        </w:rPr>
      </w:pPr>
      <w:r w:rsidRPr="00A75016">
        <w:rPr>
          <w:rFonts w:asciiTheme="minorEastAsia" w:hAnsiTheme="minorEastAsia" w:cstheme="minorHAnsi"/>
          <w:b/>
          <w:bCs/>
          <w:sz w:val="24"/>
          <w:szCs w:val="24"/>
        </w:rPr>
        <w:t>Sapwood Area</w:t>
      </w:r>
    </w:p>
    <w:p w14:paraId="1CF3EBDB" w14:textId="7979097E" w:rsidR="00D2170C" w:rsidRDefault="005A198F" w:rsidP="00D2170C">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D</w:t>
      </w:r>
      <w:r w:rsidR="00D2170C">
        <w:rPr>
          <w:rFonts w:asciiTheme="minorEastAsia" w:hAnsiTheme="minorEastAsia" w:cstheme="minorHAnsi"/>
          <w:sz w:val="24"/>
          <w:szCs w:val="24"/>
        </w:rPr>
        <w:t xml:space="preserve">iurnal tree diameters </w:t>
      </w:r>
      <w:r>
        <w:rPr>
          <w:rFonts w:asciiTheme="minorEastAsia" w:hAnsiTheme="minorEastAsia" w:cstheme="minorHAnsi"/>
          <w:sz w:val="24"/>
          <w:szCs w:val="24"/>
        </w:rPr>
        <w:t xml:space="preserve">were calculated </w:t>
      </w:r>
      <w:r w:rsidR="00D2170C">
        <w:rPr>
          <w:rFonts w:asciiTheme="minorEastAsia" w:hAnsiTheme="minorEastAsia" w:cstheme="minorHAnsi"/>
          <w:sz w:val="24"/>
          <w:szCs w:val="24"/>
        </w:rPr>
        <w:t>using the</w:t>
      </w:r>
      <w:r>
        <w:rPr>
          <w:rFonts w:asciiTheme="minorEastAsia" w:hAnsiTheme="minorEastAsia" w:cstheme="minorHAnsi"/>
          <w:sz w:val="24"/>
          <w:szCs w:val="24"/>
        </w:rPr>
        <w:t xml:space="preserve"> set of</w:t>
      </w:r>
      <w:r w:rsidR="00D2170C">
        <w:rPr>
          <w:rFonts w:asciiTheme="minorEastAsia" w:hAnsiTheme="minorEastAsia" w:cstheme="minorHAnsi"/>
          <w:sz w:val="24"/>
          <w:szCs w:val="24"/>
        </w:rPr>
        <w:t xml:space="preserve"> </w:t>
      </w:r>
      <w:commentRangeStart w:id="5"/>
      <w:r w:rsidR="00D2170C">
        <w:rPr>
          <w:rFonts w:asciiTheme="minorEastAsia" w:hAnsiTheme="minorEastAsia" w:cstheme="minorHAnsi"/>
          <w:sz w:val="24"/>
          <w:szCs w:val="24"/>
        </w:rPr>
        <w:t>equation</w:t>
      </w:r>
      <w:commentRangeEnd w:id="5"/>
      <w:r>
        <w:rPr>
          <w:rStyle w:val="CommentReference"/>
        </w:rPr>
        <w:commentReference w:id="5"/>
      </w:r>
      <w:r>
        <w:rPr>
          <w:rFonts w:asciiTheme="minorEastAsia" w:hAnsiTheme="minorEastAsia" w:cstheme="minorHAnsi"/>
          <w:sz w:val="24"/>
          <w:szCs w:val="24"/>
        </w:rPr>
        <w:t xml:space="preserve">s </w:t>
      </w:r>
      <w:r w:rsidR="000836B4">
        <w:rPr>
          <w:rFonts w:asciiTheme="minorEastAsia" w:hAnsiTheme="minorEastAsia" w:cstheme="minorHAnsi"/>
          <w:sz w:val="24"/>
          <w:szCs w:val="24"/>
        </w:rPr>
        <w:t>as</w:t>
      </w:r>
      <w:r>
        <w:rPr>
          <w:rFonts w:asciiTheme="minorEastAsia" w:hAnsiTheme="minorEastAsia" w:cstheme="minorHAnsi"/>
          <w:sz w:val="24"/>
          <w:szCs w:val="24"/>
        </w:rPr>
        <w:t>:</w:t>
      </w:r>
    </w:p>
    <w:p w14:paraId="1207A295" w14:textId="28C8EA72" w:rsidR="005A198F" w:rsidRPr="005A198F" w:rsidRDefault="005A198F" w:rsidP="005A198F">
      <w:pPr>
        <w:spacing w:after="0" w:line="480" w:lineRule="auto"/>
        <w:ind w:firstLine="720"/>
        <w:rPr>
          <w:rFonts w:asciiTheme="minorEastAsia" w:hAnsiTheme="minorEastAsia" w:cstheme="minorHAnsi"/>
          <w:sz w:val="24"/>
          <w:szCs w:val="24"/>
        </w:rPr>
      </w:pPr>
      <w:proofErr w:type="spellStart"/>
      <w:r w:rsidRPr="005A198F">
        <w:rPr>
          <w:rFonts w:asciiTheme="minorEastAsia" w:hAnsiTheme="minorEastAsia" w:cstheme="minorHAnsi"/>
          <w:sz w:val="24"/>
          <w:szCs w:val="24"/>
        </w:rPr>
        <w:lastRenderedPageBreak/>
        <w:t>dbhrel</w:t>
      </w:r>
      <w:proofErr w:type="spellEnd"/>
      <w:r w:rsidRPr="005A198F">
        <w:rPr>
          <w:rFonts w:asciiTheme="minorEastAsia" w:hAnsiTheme="minorEastAsia" w:cstheme="minorHAnsi"/>
          <w:sz w:val="24"/>
          <w:szCs w:val="24"/>
        </w:rPr>
        <w:t xml:space="preserve"> = 1 / (1+(b0*(exp(-b1*</w:t>
      </w:r>
      <w:r w:rsidR="007B2361">
        <w:rPr>
          <w:rFonts w:asciiTheme="minorEastAsia" w:hAnsiTheme="minorEastAsia" w:cstheme="minorHAnsi"/>
          <w:sz w:val="24"/>
          <w:szCs w:val="24"/>
        </w:rPr>
        <w:t>DOY</w:t>
      </w:r>
      <w:r w:rsidRPr="005A198F">
        <w:rPr>
          <w:rFonts w:asciiTheme="minorEastAsia" w:hAnsiTheme="minorEastAsia" w:cstheme="minorHAnsi"/>
          <w:sz w:val="24"/>
          <w:szCs w:val="24"/>
        </w:rPr>
        <w:t>))))</w:t>
      </w:r>
    </w:p>
    <w:p w14:paraId="70DB4391" w14:textId="62AF3284" w:rsidR="005A198F" w:rsidRDefault="005A198F" w:rsidP="005A198F">
      <w:pPr>
        <w:spacing w:after="0" w:line="480" w:lineRule="auto"/>
        <w:ind w:firstLine="720"/>
        <w:rPr>
          <w:rFonts w:asciiTheme="minorEastAsia" w:hAnsiTheme="minorEastAsia" w:cstheme="minorHAnsi"/>
          <w:sz w:val="24"/>
          <w:szCs w:val="24"/>
        </w:rPr>
      </w:pPr>
      <w:r w:rsidRPr="005A198F">
        <w:rPr>
          <w:rFonts w:asciiTheme="minorEastAsia" w:hAnsiTheme="minorEastAsia" w:cstheme="minorHAnsi"/>
          <w:sz w:val="24"/>
          <w:szCs w:val="24"/>
        </w:rPr>
        <w:t>DBH = ((DBH1-DBH</w:t>
      </w:r>
      <w:proofErr w:type="gramStart"/>
      <w:r w:rsidRPr="005A198F">
        <w:rPr>
          <w:rFonts w:asciiTheme="minorEastAsia" w:hAnsiTheme="minorEastAsia" w:cstheme="minorHAnsi"/>
          <w:sz w:val="24"/>
          <w:szCs w:val="24"/>
        </w:rPr>
        <w:t>0)*</w:t>
      </w:r>
      <w:proofErr w:type="spellStart"/>
      <w:proofErr w:type="gramEnd"/>
      <w:r w:rsidRPr="005A198F">
        <w:rPr>
          <w:rFonts w:asciiTheme="minorEastAsia" w:hAnsiTheme="minorEastAsia" w:cstheme="minorHAnsi"/>
          <w:sz w:val="24"/>
          <w:szCs w:val="24"/>
        </w:rPr>
        <w:t>dbhrel</w:t>
      </w:r>
      <w:proofErr w:type="spellEnd"/>
      <w:r w:rsidRPr="005A198F">
        <w:rPr>
          <w:rFonts w:asciiTheme="minorEastAsia" w:hAnsiTheme="minorEastAsia" w:cstheme="minorHAnsi"/>
          <w:sz w:val="24"/>
          <w:szCs w:val="24"/>
        </w:rPr>
        <w:t>)+DBH0</w:t>
      </w:r>
    </w:p>
    <w:p w14:paraId="6C2BCC7D" w14:textId="63A6C36C" w:rsidR="007B2361" w:rsidRDefault="005A198F" w:rsidP="007B2361">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Where: b</w:t>
      </w:r>
      <w:r w:rsidRPr="005A198F">
        <w:rPr>
          <w:rFonts w:asciiTheme="minorEastAsia" w:hAnsiTheme="minorEastAsia" w:cstheme="minorHAnsi"/>
          <w:sz w:val="24"/>
          <w:szCs w:val="24"/>
        </w:rPr>
        <w:t>0=61.3445</w:t>
      </w:r>
      <w:r>
        <w:rPr>
          <w:rFonts w:asciiTheme="minorEastAsia" w:hAnsiTheme="minorEastAsia" w:cstheme="minorHAnsi"/>
          <w:sz w:val="24"/>
          <w:szCs w:val="24"/>
        </w:rPr>
        <w:t>, b</w:t>
      </w:r>
      <w:r w:rsidRPr="005A198F">
        <w:rPr>
          <w:rFonts w:asciiTheme="minorEastAsia" w:hAnsiTheme="minorEastAsia" w:cstheme="minorHAnsi"/>
          <w:sz w:val="24"/>
          <w:szCs w:val="24"/>
        </w:rPr>
        <w:t>1=0.0235</w:t>
      </w:r>
      <w:r>
        <w:rPr>
          <w:rFonts w:asciiTheme="minorEastAsia" w:hAnsiTheme="minorEastAsia" w:cstheme="minorHAnsi"/>
          <w:sz w:val="24"/>
          <w:szCs w:val="24"/>
        </w:rPr>
        <w:t xml:space="preserve">; </w:t>
      </w:r>
      <w:commentRangeStart w:id="6"/>
      <w:proofErr w:type="spellStart"/>
      <w:r>
        <w:rPr>
          <w:rFonts w:asciiTheme="minorEastAsia" w:hAnsiTheme="minorEastAsia" w:cstheme="minorHAnsi"/>
          <w:sz w:val="24"/>
          <w:szCs w:val="24"/>
        </w:rPr>
        <w:t>dbhrel</w:t>
      </w:r>
      <w:proofErr w:type="spellEnd"/>
      <w:r>
        <w:rPr>
          <w:rFonts w:asciiTheme="minorEastAsia" w:hAnsiTheme="minorEastAsia" w:cstheme="minorHAnsi"/>
          <w:sz w:val="24"/>
          <w:szCs w:val="24"/>
        </w:rPr>
        <w:t xml:space="preserve"> </w:t>
      </w:r>
      <w:commentRangeEnd w:id="6"/>
      <w:r w:rsidR="003F08F7">
        <w:rPr>
          <w:rStyle w:val="CommentReference"/>
        </w:rPr>
        <w:commentReference w:id="6"/>
      </w:r>
      <w:r>
        <w:rPr>
          <w:rFonts w:asciiTheme="minorEastAsia" w:hAnsiTheme="minorEastAsia" w:cstheme="minorHAnsi"/>
          <w:sz w:val="24"/>
          <w:szCs w:val="24"/>
        </w:rPr>
        <w:t>is an explanatory variable standing for a tree’s relative size</w:t>
      </w:r>
      <w:r w:rsidR="0086227F">
        <w:rPr>
          <w:rFonts w:asciiTheme="minorEastAsia" w:hAnsiTheme="minorEastAsia" w:cstheme="minorHAnsi"/>
          <w:sz w:val="24"/>
          <w:szCs w:val="24"/>
        </w:rPr>
        <w:t xml:space="preserve"> (</w:t>
      </w:r>
      <w:commentRangeStart w:id="7"/>
      <w:proofErr w:type="spellStart"/>
      <w:r w:rsidR="0086227F" w:rsidRPr="0086227F">
        <w:rPr>
          <w:rFonts w:asciiTheme="minorEastAsia" w:hAnsiTheme="minorEastAsia" w:cstheme="minorHAnsi"/>
          <w:sz w:val="24"/>
          <w:szCs w:val="24"/>
        </w:rPr>
        <w:t>Vastaranta</w:t>
      </w:r>
      <w:proofErr w:type="spellEnd"/>
      <w:r w:rsidR="0086227F">
        <w:rPr>
          <w:rFonts w:asciiTheme="minorEastAsia" w:hAnsiTheme="minorEastAsia" w:cstheme="minorHAnsi"/>
          <w:sz w:val="24"/>
          <w:szCs w:val="24"/>
        </w:rPr>
        <w:t xml:space="preserve"> </w:t>
      </w:r>
      <w:commentRangeEnd w:id="7"/>
      <w:r w:rsidR="0086227F">
        <w:rPr>
          <w:rStyle w:val="CommentReference"/>
        </w:rPr>
        <w:commentReference w:id="7"/>
      </w:r>
      <w:r w:rsidR="0086227F">
        <w:rPr>
          <w:rFonts w:asciiTheme="minorEastAsia" w:hAnsiTheme="minorEastAsia" w:cstheme="minorHAnsi"/>
          <w:sz w:val="24"/>
          <w:szCs w:val="24"/>
        </w:rPr>
        <w:t>et al., 2011)</w:t>
      </w:r>
      <w:r w:rsidR="007B2361">
        <w:rPr>
          <w:rFonts w:asciiTheme="minorEastAsia" w:hAnsiTheme="minorEastAsia" w:cstheme="minorHAnsi"/>
          <w:sz w:val="24"/>
          <w:szCs w:val="24"/>
        </w:rPr>
        <w:t>; DOY stands for day of year; DBH is the DBH at any given time; DBH0 and DBH1 stand for DBHs at different time points. The calculated diurnal tree diameters were then transformed into sectioned sapwood area corresponding to probe depth</w:t>
      </w:r>
      <w:r w:rsidR="00545436">
        <w:rPr>
          <w:rFonts w:asciiTheme="minorEastAsia" w:hAnsiTheme="minorEastAsia" w:cstheme="minorHAnsi"/>
          <w:sz w:val="24"/>
          <w:szCs w:val="24"/>
        </w:rPr>
        <w:t>s</w:t>
      </w:r>
      <w:r w:rsidR="007B2361">
        <w:rPr>
          <w:rFonts w:asciiTheme="minorEastAsia" w:hAnsiTheme="minorEastAsia" w:cstheme="minorHAnsi"/>
          <w:sz w:val="24"/>
          <w:szCs w:val="24"/>
        </w:rPr>
        <w:t xml:space="preserve">: outer 20mm, 20mm-40mm, and </w:t>
      </w:r>
      <w:r w:rsidR="00545436">
        <w:rPr>
          <w:rFonts w:asciiTheme="minorEastAsia" w:hAnsiTheme="minorEastAsia" w:cstheme="minorHAnsi"/>
          <w:sz w:val="24"/>
          <w:szCs w:val="24"/>
        </w:rPr>
        <w:t>&gt;40mm areas.</w:t>
      </w:r>
    </w:p>
    <w:p w14:paraId="0FA3F1E9" w14:textId="119A2FAB" w:rsidR="00A75016" w:rsidRPr="00A75016" w:rsidRDefault="00A75016" w:rsidP="00A75016">
      <w:pPr>
        <w:spacing w:after="0" w:line="480" w:lineRule="auto"/>
        <w:rPr>
          <w:rFonts w:asciiTheme="minorEastAsia" w:hAnsiTheme="minorEastAsia" w:cstheme="minorHAnsi"/>
          <w:b/>
          <w:bCs/>
          <w:sz w:val="24"/>
          <w:szCs w:val="24"/>
        </w:rPr>
      </w:pPr>
      <w:r w:rsidRPr="00A75016">
        <w:rPr>
          <w:rFonts w:asciiTheme="minorEastAsia" w:hAnsiTheme="minorEastAsia" w:cstheme="minorHAnsi"/>
          <w:b/>
          <w:bCs/>
          <w:sz w:val="24"/>
          <w:szCs w:val="24"/>
        </w:rPr>
        <w:t>Sapflow</w:t>
      </w:r>
    </w:p>
    <w:p w14:paraId="52212B4F" w14:textId="52A330FB" w:rsidR="00D2170C" w:rsidRDefault="00D2170C" w:rsidP="00D2170C">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In sapflow calculation, sapflux measurement</w:t>
      </w:r>
      <w:r w:rsidR="00545436">
        <w:rPr>
          <w:rFonts w:asciiTheme="minorEastAsia" w:hAnsiTheme="minorEastAsia" w:cstheme="minorHAnsi"/>
          <w:sz w:val="24"/>
          <w:szCs w:val="24"/>
        </w:rPr>
        <w:t xml:space="preserve">s were </w:t>
      </w:r>
      <w:r>
        <w:rPr>
          <w:rFonts w:asciiTheme="minorEastAsia" w:hAnsiTheme="minorEastAsia" w:cstheme="minorHAnsi"/>
          <w:sz w:val="24"/>
          <w:szCs w:val="24"/>
        </w:rPr>
        <w:t xml:space="preserve">multiplied by specific sapwood area, where the </w:t>
      </w:r>
      <w:r w:rsidR="00961A9C">
        <w:rPr>
          <w:rFonts w:asciiTheme="minorEastAsia" w:hAnsiTheme="minorEastAsia" w:cstheme="minorHAnsi"/>
          <w:sz w:val="24"/>
          <w:szCs w:val="24"/>
        </w:rPr>
        <w:t xml:space="preserve">outer probes measure the outer 20mm of sapwood and </w:t>
      </w:r>
      <w:r>
        <w:rPr>
          <w:rFonts w:asciiTheme="minorEastAsia" w:hAnsiTheme="minorEastAsia" w:cstheme="minorHAnsi"/>
          <w:sz w:val="24"/>
          <w:szCs w:val="24"/>
        </w:rPr>
        <w:t xml:space="preserve">the </w:t>
      </w:r>
      <w:r w:rsidR="00961A9C">
        <w:rPr>
          <w:rFonts w:asciiTheme="minorEastAsia" w:hAnsiTheme="minorEastAsia" w:cstheme="minorHAnsi"/>
          <w:sz w:val="24"/>
          <w:szCs w:val="24"/>
        </w:rPr>
        <w:t xml:space="preserve">inner probe measures the inner 20-40mm. When sapwood diameter exceeds 80mm, </w:t>
      </w:r>
      <w:r w:rsidR="00545436">
        <w:rPr>
          <w:rFonts w:asciiTheme="minorEastAsia" w:hAnsiTheme="minorEastAsia" w:cstheme="minorHAnsi"/>
          <w:sz w:val="24"/>
          <w:szCs w:val="24"/>
        </w:rPr>
        <w:t>sapflux</w:t>
      </w:r>
      <w:r w:rsidR="00961A9C">
        <w:rPr>
          <w:rFonts w:asciiTheme="minorEastAsia" w:hAnsiTheme="minorEastAsia" w:cstheme="minorHAnsi"/>
          <w:sz w:val="24"/>
          <w:szCs w:val="24"/>
        </w:rPr>
        <w:t xml:space="preserve"> of the inner most sapwood area </w:t>
      </w:r>
      <w:r w:rsidR="00545436">
        <w:rPr>
          <w:rFonts w:asciiTheme="minorEastAsia" w:hAnsiTheme="minorEastAsia" w:cstheme="minorHAnsi"/>
          <w:sz w:val="24"/>
          <w:szCs w:val="24"/>
        </w:rPr>
        <w:t xml:space="preserve">was considered half of the 20-40mm area sapflux. </w:t>
      </w:r>
    </w:p>
    <w:p w14:paraId="7B50342A" w14:textId="41F36558" w:rsidR="00545436" w:rsidRDefault="00545436" w:rsidP="00D2170C">
      <w:pPr>
        <w:spacing w:after="0" w:line="480" w:lineRule="auto"/>
        <w:ind w:firstLine="720"/>
        <w:rPr>
          <w:rFonts w:asciiTheme="minorEastAsia" w:hAnsiTheme="minorEastAsia" w:cstheme="minorHAnsi"/>
          <w:sz w:val="24"/>
          <w:szCs w:val="24"/>
        </w:rPr>
      </w:pPr>
      <w:r w:rsidRPr="00C040A5">
        <w:rPr>
          <w:rFonts w:asciiTheme="minorEastAsia" w:hAnsiTheme="minorEastAsia" w:cstheme="minorHAnsi"/>
          <w:sz w:val="24"/>
          <w:szCs w:val="24"/>
        </w:rPr>
        <w:t xml:space="preserve">The transformed sapflux </w:t>
      </w:r>
      <w:r>
        <w:rPr>
          <w:rFonts w:asciiTheme="minorEastAsia" w:hAnsiTheme="minorEastAsia" w:cstheme="minorHAnsi"/>
          <w:sz w:val="24"/>
          <w:szCs w:val="24"/>
        </w:rPr>
        <w:t xml:space="preserve">(g H2O/m-2/s-1) </w:t>
      </w:r>
      <w:r w:rsidRPr="00C040A5">
        <w:rPr>
          <w:rFonts w:asciiTheme="minorEastAsia" w:hAnsiTheme="minorEastAsia" w:cstheme="minorHAnsi"/>
          <w:sz w:val="24"/>
          <w:szCs w:val="24"/>
        </w:rPr>
        <w:t xml:space="preserve">of individual data points </w:t>
      </w:r>
      <w:r>
        <w:rPr>
          <w:rFonts w:asciiTheme="minorEastAsia" w:hAnsiTheme="minorEastAsia" w:cstheme="minorHAnsi"/>
          <w:sz w:val="24"/>
          <w:szCs w:val="24"/>
        </w:rPr>
        <w:t>was</w:t>
      </w:r>
      <w:r w:rsidRPr="00C040A5">
        <w:rPr>
          <w:rFonts w:asciiTheme="minorEastAsia" w:hAnsiTheme="minorEastAsia" w:cstheme="minorHAnsi"/>
          <w:sz w:val="24"/>
          <w:szCs w:val="24"/>
        </w:rPr>
        <w:t xml:space="preserve"> scaled up temporally</w:t>
      </w:r>
      <w:r>
        <w:rPr>
          <w:rFonts w:asciiTheme="minorEastAsia" w:hAnsiTheme="minorEastAsia" w:cstheme="minorHAnsi"/>
          <w:sz w:val="24"/>
          <w:szCs w:val="24"/>
        </w:rPr>
        <w:t xml:space="preserve"> and spatially as sapflow values (L or kg H2O)</w:t>
      </w:r>
      <w:r w:rsidRPr="00C040A5">
        <w:rPr>
          <w:rFonts w:asciiTheme="minorEastAsia" w:hAnsiTheme="minorEastAsia" w:cstheme="minorHAnsi"/>
          <w:sz w:val="24"/>
          <w:szCs w:val="24"/>
        </w:rPr>
        <w:t>.</w:t>
      </w:r>
      <w:r>
        <w:rPr>
          <w:rFonts w:asciiTheme="minorEastAsia" w:hAnsiTheme="minorEastAsia" w:cstheme="minorHAnsi"/>
          <w:sz w:val="24"/>
          <w:szCs w:val="24"/>
        </w:rPr>
        <w:t xml:space="preserve"> The 15-minute entries were summed up </w:t>
      </w:r>
      <w:r w:rsidR="003F08F7">
        <w:rPr>
          <w:rFonts w:asciiTheme="minorEastAsia" w:hAnsiTheme="minorEastAsia" w:cstheme="minorHAnsi"/>
          <w:sz w:val="24"/>
          <w:szCs w:val="24"/>
        </w:rPr>
        <w:t xml:space="preserve">for each tree </w:t>
      </w:r>
      <w:r>
        <w:rPr>
          <w:rFonts w:asciiTheme="minorEastAsia" w:hAnsiTheme="minorEastAsia" w:cstheme="minorHAnsi"/>
          <w:sz w:val="24"/>
          <w:szCs w:val="24"/>
        </w:rPr>
        <w:t xml:space="preserve">across daytime when </w:t>
      </w:r>
      <w:r w:rsidRPr="00545436">
        <w:rPr>
          <w:rFonts w:asciiTheme="minorEastAsia" w:hAnsiTheme="minorEastAsia" w:cstheme="minorHAnsi"/>
          <w:sz w:val="24"/>
          <w:szCs w:val="24"/>
        </w:rPr>
        <w:t>Photosynthetic Active Radiation</w:t>
      </w:r>
      <w:r>
        <w:rPr>
          <w:rFonts w:asciiTheme="minorEastAsia" w:hAnsiTheme="minorEastAsia" w:cstheme="minorHAnsi"/>
          <w:sz w:val="24"/>
          <w:szCs w:val="24"/>
        </w:rPr>
        <w:t xml:space="preserve"> (PAR) is above zero.</w:t>
      </w:r>
      <w:r w:rsidR="003F08F7">
        <w:rPr>
          <w:rFonts w:asciiTheme="minorEastAsia" w:hAnsiTheme="minorEastAsia" w:cstheme="minorHAnsi"/>
          <w:sz w:val="24"/>
          <w:szCs w:val="24"/>
        </w:rPr>
        <w:t xml:space="preserve"> They were also scaled up </w:t>
      </w:r>
      <w:r w:rsidR="003F08F7" w:rsidRPr="00C040A5">
        <w:rPr>
          <w:rFonts w:asciiTheme="minorEastAsia" w:hAnsiTheme="minorEastAsia" w:cstheme="minorHAnsi"/>
          <w:sz w:val="24"/>
          <w:szCs w:val="24"/>
        </w:rPr>
        <w:t>to stand level transpiration using plot-specific sapwood area</w:t>
      </w:r>
      <w:r w:rsidR="003F08F7">
        <w:rPr>
          <w:rFonts w:asciiTheme="minorEastAsia" w:hAnsiTheme="minorEastAsia" w:cstheme="minorHAnsi"/>
          <w:sz w:val="24"/>
          <w:szCs w:val="24"/>
        </w:rPr>
        <w:t>.</w:t>
      </w:r>
    </w:p>
    <w:p w14:paraId="3183C17A" w14:textId="30670103" w:rsidR="00A75016" w:rsidRPr="00A75016" w:rsidRDefault="00A75016" w:rsidP="00A75016">
      <w:pPr>
        <w:spacing w:after="0" w:line="480" w:lineRule="auto"/>
        <w:rPr>
          <w:rFonts w:asciiTheme="minorEastAsia" w:hAnsiTheme="minorEastAsia" w:cstheme="minorHAnsi"/>
          <w:b/>
          <w:bCs/>
          <w:sz w:val="24"/>
          <w:szCs w:val="24"/>
        </w:rPr>
      </w:pPr>
      <w:r w:rsidRPr="00A75016">
        <w:rPr>
          <w:rFonts w:asciiTheme="minorEastAsia" w:hAnsiTheme="minorEastAsia" w:cstheme="minorHAnsi"/>
          <w:b/>
          <w:bCs/>
          <w:sz w:val="24"/>
          <w:szCs w:val="24"/>
        </w:rPr>
        <w:t>Soil Moisture</w:t>
      </w:r>
    </w:p>
    <w:p w14:paraId="2059657B" w14:textId="24E28AAC" w:rsidR="003F08F7" w:rsidRDefault="003F08F7" w:rsidP="00D2170C">
      <w:pPr>
        <w:spacing w:after="0" w:line="480" w:lineRule="auto"/>
        <w:ind w:firstLine="720"/>
        <w:rPr>
          <w:rFonts w:asciiTheme="minorEastAsia" w:hAnsiTheme="minorEastAsia" w:cstheme="minorHAnsi"/>
          <w:sz w:val="24"/>
          <w:szCs w:val="24"/>
        </w:rPr>
      </w:pPr>
      <w:r>
        <w:rPr>
          <w:rFonts w:asciiTheme="minorEastAsia" w:hAnsiTheme="minorEastAsia" w:cstheme="minorHAnsi"/>
          <w:sz w:val="24"/>
          <w:szCs w:val="24"/>
        </w:rPr>
        <w:t xml:space="preserve">Soil moisture was </w:t>
      </w:r>
      <w:r w:rsidR="00BA6EF3">
        <w:rPr>
          <w:rFonts w:asciiTheme="minorEastAsia" w:hAnsiTheme="minorEastAsia" w:cstheme="minorHAnsi"/>
          <w:sz w:val="24"/>
          <w:szCs w:val="24"/>
        </w:rPr>
        <w:t xml:space="preserve">transferred in Relative Extractable Water (REW) to achieve normalization. REW was calculated as the ratio </w:t>
      </w:r>
      <w:r w:rsidR="00000A4F">
        <w:rPr>
          <w:rFonts w:asciiTheme="minorEastAsia" w:hAnsiTheme="minorEastAsia" w:cstheme="minorHAnsi"/>
          <w:sz w:val="24"/>
          <w:szCs w:val="24"/>
        </w:rPr>
        <w:t xml:space="preserve">of the difference between each soil </w:t>
      </w:r>
      <w:r w:rsidR="00000A4F">
        <w:rPr>
          <w:rFonts w:asciiTheme="minorEastAsia" w:hAnsiTheme="minorEastAsia" w:cstheme="minorHAnsi"/>
          <w:sz w:val="24"/>
          <w:szCs w:val="24"/>
        </w:rPr>
        <w:lastRenderedPageBreak/>
        <w:t>moisture entry and minimum soil moisture during our time of interest, and the difference between maximum soil moisture and minimum soil moisture</w:t>
      </w:r>
      <w:r w:rsidR="00BA6EF3">
        <w:rPr>
          <w:rFonts w:asciiTheme="minorEastAsia" w:hAnsiTheme="minorEastAsia" w:cstheme="minorHAnsi"/>
          <w:sz w:val="24"/>
          <w:szCs w:val="24"/>
        </w:rPr>
        <w:t xml:space="preserve"> ((soil moisture-minimum soil moisture)</w:t>
      </w:r>
      <w:proofErr w:type="gramStart"/>
      <w:r w:rsidR="00BA6EF3">
        <w:rPr>
          <w:rFonts w:asciiTheme="minorEastAsia" w:hAnsiTheme="minorEastAsia" w:cstheme="minorHAnsi"/>
          <w:sz w:val="24"/>
          <w:szCs w:val="24"/>
        </w:rPr>
        <w:t>/(</w:t>
      </w:r>
      <w:proofErr w:type="gramEnd"/>
      <w:r w:rsidR="00BA6EF3">
        <w:rPr>
          <w:rFonts w:asciiTheme="minorEastAsia" w:hAnsiTheme="minorEastAsia" w:cstheme="minorHAnsi"/>
          <w:sz w:val="24"/>
          <w:szCs w:val="24"/>
        </w:rPr>
        <w:t>maximum soil moisture – minimum soil moisture)</w:t>
      </w:r>
      <w:r w:rsidR="00000A4F">
        <w:rPr>
          <w:rFonts w:asciiTheme="minorEastAsia" w:hAnsiTheme="minorEastAsia" w:cstheme="minorHAnsi"/>
          <w:sz w:val="24"/>
          <w:szCs w:val="24"/>
        </w:rPr>
        <w:t xml:space="preserve">, </w:t>
      </w:r>
      <w:commentRangeStart w:id="8"/>
      <w:proofErr w:type="spellStart"/>
      <w:r w:rsidR="00000A4F" w:rsidRPr="00000A4F">
        <w:rPr>
          <w:rFonts w:asciiTheme="minorEastAsia" w:hAnsiTheme="minorEastAsia" w:cstheme="minorHAnsi"/>
          <w:sz w:val="24"/>
          <w:szCs w:val="24"/>
        </w:rPr>
        <w:t>Granier</w:t>
      </w:r>
      <w:proofErr w:type="spellEnd"/>
      <w:r w:rsidR="00000A4F" w:rsidRPr="00000A4F">
        <w:rPr>
          <w:rFonts w:asciiTheme="minorEastAsia" w:hAnsiTheme="minorEastAsia" w:cstheme="minorHAnsi"/>
          <w:sz w:val="24"/>
          <w:szCs w:val="24"/>
        </w:rPr>
        <w:t xml:space="preserve"> </w:t>
      </w:r>
      <w:commentRangeEnd w:id="8"/>
      <w:r w:rsidR="00000A4F">
        <w:rPr>
          <w:rStyle w:val="CommentReference"/>
        </w:rPr>
        <w:commentReference w:id="8"/>
      </w:r>
      <w:r w:rsidR="00000A4F" w:rsidRPr="00000A4F">
        <w:rPr>
          <w:rFonts w:asciiTheme="minorEastAsia" w:hAnsiTheme="minorEastAsia" w:cstheme="minorHAnsi"/>
          <w:sz w:val="24"/>
          <w:szCs w:val="24"/>
        </w:rPr>
        <w:t>et al.</w:t>
      </w:r>
      <w:r w:rsidR="00000A4F">
        <w:rPr>
          <w:rFonts w:asciiTheme="minorEastAsia" w:hAnsiTheme="minorEastAsia" w:cstheme="minorHAnsi"/>
          <w:sz w:val="24"/>
          <w:szCs w:val="24"/>
        </w:rPr>
        <w:t>,</w:t>
      </w:r>
      <w:r w:rsidR="00000A4F" w:rsidRPr="00000A4F">
        <w:rPr>
          <w:rFonts w:asciiTheme="minorEastAsia" w:hAnsiTheme="minorEastAsia" w:cstheme="minorHAnsi"/>
          <w:sz w:val="24"/>
          <w:szCs w:val="24"/>
        </w:rPr>
        <w:t xml:space="preserve"> 1999</w:t>
      </w:r>
      <w:r w:rsidR="00000A4F">
        <w:rPr>
          <w:rFonts w:asciiTheme="minorEastAsia" w:hAnsiTheme="minorEastAsia" w:cstheme="minorHAnsi"/>
          <w:sz w:val="24"/>
          <w:szCs w:val="24"/>
        </w:rPr>
        <w:t>).</w:t>
      </w:r>
    </w:p>
    <w:p w14:paraId="795B6DA9" w14:textId="6FEF0A41" w:rsidR="00B53547" w:rsidRPr="00A75016" w:rsidRDefault="00A75016" w:rsidP="00B53547">
      <w:pPr>
        <w:spacing w:after="0" w:line="480" w:lineRule="auto"/>
        <w:rPr>
          <w:rFonts w:asciiTheme="minorEastAsia" w:hAnsiTheme="minorEastAsia" w:cstheme="minorHAnsi"/>
          <w:b/>
          <w:bCs/>
          <w:sz w:val="28"/>
          <w:szCs w:val="28"/>
        </w:rPr>
      </w:pPr>
      <w:r w:rsidRPr="00A75016">
        <w:rPr>
          <w:rFonts w:asciiTheme="minorEastAsia" w:hAnsiTheme="minorEastAsia" w:cstheme="minorHAnsi"/>
          <w:b/>
          <w:bCs/>
          <w:sz w:val="28"/>
          <w:szCs w:val="28"/>
        </w:rPr>
        <w:t xml:space="preserve">2.4 </w:t>
      </w:r>
      <w:r w:rsidR="00C64F20" w:rsidRPr="00A75016">
        <w:rPr>
          <w:rFonts w:asciiTheme="minorEastAsia" w:hAnsiTheme="minorEastAsia" w:cstheme="minorHAnsi"/>
          <w:b/>
          <w:bCs/>
          <w:sz w:val="28"/>
          <w:szCs w:val="28"/>
        </w:rPr>
        <w:t xml:space="preserve">Data analysis: </w:t>
      </w:r>
    </w:p>
    <w:p w14:paraId="13F43F78" w14:textId="1C33A062" w:rsidR="00C64F20" w:rsidRDefault="00C64F20" w:rsidP="00C64F20">
      <w:pPr>
        <w:spacing w:after="0" w:line="480" w:lineRule="auto"/>
        <w:ind w:firstLine="720"/>
        <w:rPr>
          <w:rFonts w:asciiTheme="minorEastAsia" w:hAnsiTheme="minorEastAsia" w:cstheme="minorHAnsi"/>
          <w:sz w:val="24"/>
          <w:szCs w:val="24"/>
        </w:rPr>
      </w:pPr>
    </w:p>
    <w:p w14:paraId="6CB0D386" w14:textId="1E96B333" w:rsidR="00AC22D6" w:rsidRPr="00A75016" w:rsidRDefault="00A75016" w:rsidP="00AC22D6">
      <w:pPr>
        <w:spacing w:after="0" w:line="480" w:lineRule="auto"/>
        <w:rPr>
          <w:rFonts w:asciiTheme="minorEastAsia" w:hAnsiTheme="minorEastAsia" w:cstheme="minorHAnsi"/>
          <w:b/>
          <w:bCs/>
          <w:sz w:val="32"/>
          <w:szCs w:val="32"/>
        </w:rPr>
      </w:pPr>
      <w:r>
        <w:rPr>
          <w:rFonts w:asciiTheme="minorEastAsia" w:hAnsiTheme="minorEastAsia" w:cstheme="minorHAnsi"/>
          <w:b/>
          <w:bCs/>
          <w:sz w:val="32"/>
          <w:szCs w:val="32"/>
        </w:rPr>
        <w:t xml:space="preserve">3 </w:t>
      </w:r>
      <w:r w:rsidR="00AC22D6" w:rsidRPr="00A75016">
        <w:rPr>
          <w:rFonts w:asciiTheme="minorEastAsia" w:hAnsiTheme="minorEastAsia" w:cstheme="minorHAnsi"/>
          <w:b/>
          <w:bCs/>
          <w:sz w:val="32"/>
          <w:szCs w:val="32"/>
        </w:rPr>
        <w:t>Results</w:t>
      </w:r>
    </w:p>
    <w:p w14:paraId="4819DA4B" w14:textId="77777777" w:rsidR="00AC22D6" w:rsidRPr="00AC22D6" w:rsidRDefault="00AC22D6" w:rsidP="00AC22D6">
      <w:pPr>
        <w:spacing w:after="0" w:line="480" w:lineRule="auto"/>
        <w:rPr>
          <w:rFonts w:asciiTheme="minorEastAsia" w:hAnsiTheme="minorEastAsia" w:cstheme="minorHAnsi"/>
          <w:sz w:val="28"/>
          <w:szCs w:val="28"/>
        </w:rPr>
      </w:pPr>
    </w:p>
    <w:p w14:paraId="60DE9674" w14:textId="1CF02C02" w:rsidR="00AC22D6" w:rsidRPr="00A75016" w:rsidRDefault="000836B4" w:rsidP="00AC22D6">
      <w:pPr>
        <w:spacing w:after="0" w:line="480" w:lineRule="auto"/>
        <w:rPr>
          <w:rFonts w:asciiTheme="minorEastAsia" w:hAnsiTheme="minorEastAsia" w:cstheme="minorHAnsi"/>
          <w:b/>
          <w:bCs/>
          <w:sz w:val="32"/>
          <w:szCs w:val="32"/>
        </w:rPr>
      </w:pPr>
      <w:r>
        <w:rPr>
          <w:rFonts w:asciiTheme="minorEastAsia" w:hAnsiTheme="minorEastAsia" w:cstheme="minorHAnsi"/>
          <w:b/>
          <w:bCs/>
          <w:sz w:val="32"/>
          <w:szCs w:val="32"/>
        </w:rPr>
        <w:t xml:space="preserve">4 </w:t>
      </w:r>
      <w:commentRangeStart w:id="9"/>
      <w:r w:rsidR="00AC22D6" w:rsidRPr="00A75016">
        <w:rPr>
          <w:rFonts w:asciiTheme="minorEastAsia" w:hAnsiTheme="minorEastAsia" w:cstheme="minorHAnsi"/>
          <w:b/>
          <w:bCs/>
          <w:sz w:val="32"/>
          <w:szCs w:val="32"/>
        </w:rPr>
        <w:t>Discussion</w:t>
      </w:r>
      <w:commentRangeEnd w:id="9"/>
      <w:r w:rsidR="00AC22D6" w:rsidRPr="00A75016">
        <w:rPr>
          <w:rStyle w:val="CommentReference"/>
          <w:b/>
          <w:bCs/>
          <w:sz w:val="32"/>
          <w:szCs w:val="32"/>
        </w:rPr>
        <w:commentReference w:id="9"/>
      </w:r>
    </w:p>
    <w:p w14:paraId="6152C1D0" w14:textId="77777777" w:rsidR="00AC22D6" w:rsidRPr="00AC22D6" w:rsidRDefault="00AC22D6" w:rsidP="00AC22D6">
      <w:pPr>
        <w:spacing w:after="0" w:line="480" w:lineRule="auto"/>
        <w:rPr>
          <w:rFonts w:asciiTheme="minorEastAsia" w:hAnsiTheme="minorEastAsia" w:cstheme="minorHAnsi"/>
          <w:sz w:val="28"/>
          <w:szCs w:val="28"/>
        </w:rPr>
      </w:pPr>
    </w:p>
    <w:p w14:paraId="08596C89" w14:textId="77777777" w:rsidR="00AC22D6" w:rsidRDefault="00AC22D6" w:rsidP="00AC22D6">
      <w:pPr>
        <w:spacing w:after="0" w:line="480" w:lineRule="auto"/>
        <w:rPr>
          <w:rFonts w:asciiTheme="minorEastAsia" w:hAnsiTheme="minorEastAsia" w:cstheme="minorHAnsi"/>
          <w:sz w:val="24"/>
          <w:szCs w:val="24"/>
        </w:rPr>
      </w:pPr>
      <w:r w:rsidRPr="00AC22D6">
        <w:rPr>
          <w:rFonts w:asciiTheme="minorEastAsia" w:hAnsiTheme="minorEastAsia" w:cstheme="minorHAnsi"/>
          <w:sz w:val="24"/>
          <w:szCs w:val="24"/>
        </w:rPr>
        <w:t>State the Major Findings of the Study</w:t>
      </w:r>
      <w:r w:rsidRPr="00AC22D6">
        <w:rPr>
          <w:rFonts w:asciiTheme="minorEastAsia" w:hAnsiTheme="minorEastAsia" w:cstheme="minorHAnsi"/>
          <w:sz w:val="24"/>
          <w:szCs w:val="24"/>
        </w:rPr>
        <w:cr/>
      </w:r>
    </w:p>
    <w:p w14:paraId="56AFAF71" w14:textId="148D4C10" w:rsidR="00AC22D6" w:rsidRDefault="00AC22D6" w:rsidP="00AC22D6">
      <w:pPr>
        <w:spacing w:after="0" w:line="480" w:lineRule="auto"/>
        <w:rPr>
          <w:rFonts w:asciiTheme="minorEastAsia" w:hAnsiTheme="minorEastAsia" w:cstheme="minorHAnsi"/>
          <w:sz w:val="24"/>
          <w:szCs w:val="24"/>
        </w:rPr>
      </w:pPr>
      <w:r w:rsidRPr="00AC22D6">
        <w:rPr>
          <w:rFonts w:asciiTheme="minorEastAsia" w:hAnsiTheme="minorEastAsia" w:cstheme="minorHAnsi"/>
          <w:sz w:val="24"/>
          <w:szCs w:val="24"/>
        </w:rPr>
        <w:t>Explain the Meaning of the Findings and Why the</w:t>
      </w:r>
      <w:r>
        <w:rPr>
          <w:rFonts w:asciiTheme="minorEastAsia" w:hAnsiTheme="minorEastAsia" w:cstheme="minorHAnsi"/>
          <w:sz w:val="24"/>
          <w:szCs w:val="24"/>
        </w:rPr>
        <w:t xml:space="preserve"> </w:t>
      </w:r>
      <w:r w:rsidRPr="00AC22D6">
        <w:rPr>
          <w:rFonts w:asciiTheme="minorEastAsia" w:hAnsiTheme="minorEastAsia" w:cstheme="minorHAnsi"/>
          <w:sz w:val="24"/>
          <w:szCs w:val="24"/>
        </w:rPr>
        <w:t>Findings Are Important</w:t>
      </w:r>
    </w:p>
    <w:p w14:paraId="0DAE289C" w14:textId="77777777" w:rsidR="00AC22D6" w:rsidRDefault="00AC22D6" w:rsidP="00AC22D6">
      <w:pPr>
        <w:spacing w:after="0" w:line="480" w:lineRule="auto"/>
        <w:rPr>
          <w:rFonts w:asciiTheme="minorEastAsia" w:hAnsiTheme="minorEastAsia" w:cstheme="minorHAnsi"/>
          <w:sz w:val="24"/>
          <w:szCs w:val="24"/>
        </w:rPr>
      </w:pPr>
    </w:p>
    <w:p w14:paraId="7EC988AD" w14:textId="77777777" w:rsidR="00AC22D6" w:rsidRDefault="00AC22D6" w:rsidP="00AC22D6">
      <w:pPr>
        <w:spacing w:after="0" w:line="480" w:lineRule="auto"/>
        <w:rPr>
          <w:rFonts w:asciiTheme="minorEastAsia" w:hAnsiTheme="minorEastAsia" w:cstheme="minorHAnsi"/>
          <w:sz w:val="24"/>
          <w:szCs w:val="24"/>
        </w:rPr>
      </w:pPr>
      <w:r w:rsidRPr="00AC22D6">
        <w:rPr>
          <w:rFonts w:asciiTheme="minorEastAsia" w:hAnsiTheme="minorEastAsia" w:cstheme="minorHAnsi"/>
          <w:sz w:val="24"/>
          <w:szCs w:val="24"/>
        </w:rPr>
        <w:t>Relate the Findings to Those of Similar Studies</w:t>
      </w:r>
      <w:r w:rsidRPr="00AC22D6">
        <w:rPr>
          <w:rFonts w:asciiTheme="minorEastAsia" w:hAnsiTheme="minorEastAsia" w:cstheme="minorHAnsi"/>
          <w:sz w:val="24"/>
          <w:szCs w:val="24"/>
        </w:rPr>
        <w:cr/>
      </w:r>
    </w:p>
    <w:p w14:paraId="63459076" w14:textId="6D58B2A0" w:rsidR="00AC22D6" w:rsidRPr="00AC22D6" w:rsidRDefault="00AC22D6" w:rsidP="00AC22D6">
      <w:pPr>
        <w:spacing w:after="0" w:line="480" w:lineRule="auto"/>
        <w:rPr>
          <w:rFonts w:asciiTheme="minorEastAsia" w:hAnsiTheme="minorEastAsia" w:cstheme="minorHAnsi"/>
          <w:sz w:val="24"/>
          <w:szCs w:val="24"/>
        </w:rPr>
      </w:pPr>
      <w:r w:rsidRPr="00AC22D6">
        <w:rPr>
          <w:rFonts w:asciiTheme="minorEastAsia" w:hAnsiTheme="minorEastAsia" w:cstheme="minorHAnsi"/>
          <w:sz w:val="24"/>
          <w:szCs w:val="24"/>
        </w:rPr>
        <w:t>Consider Alternative Explanations of the Findings</w:t>
      </w:r>
      <w:r w:rsidRPr="00AC22D6">
        <w:rPr>
          <w:rFonts w:asciiTheme="minorEastAsia" w:hAnsiTheme="minorEastAsia" w:cstheme="minorHAnsi"/>
          <w:sz w:val="24"/>
          <w:szCs w:val="24"/>
        </w:rPr>
        <w:cr/>
        <w:t>State the Clinical Relevance of the Findings</w:t>
      </w:r>
      <w:r w:rsidRPr="00AC22D6">
        <w:rPr>
          <w:rFonts w:asciiTheme="minorEastAsia" w:hAnsiTheme="minorEastAsia" w:cstheme="minorHAnsi"/>
          <w:sz w:val="24"/>
          <w:szCs w:val="24"/>
        </w:rPr>
        <w:cr/>
        <w:t>Acknowledge the Study’s Limitations</w:t>
      </w:r>
      <w:r w:rsidRPr="00AC22D6">
        <w:rPr>
          <w:rFonts w:asciiTheme="minorEastAsia" w:hAnsiTheme="minorEastAsia" w:cstheme="minorHAnsi"/>
          <w:sz w:val="24"/>
          <w:szCs w:val="24"/>
        </w:rPr>
        <w:cr/>
      </w:r>
      <w:r w:rsidRPr="00AC22D6">
        <w:rPr>
          <w:rFonts w:asciiTheme="minorEastAsia" w:hAnsiTheme="minorEastAsia" w:cstheme="minorHAnsi"/>
          <w:sz w:val="24"/>
          <w:szCs w:val="24"/>
        </w:rPr>
        <w:lastRenderedPageBreak/>
        <w:t>Make Suggestions for Further Research</w:t>
      </w:r>
      <w:r w:rsidRPr="00AC22D6">
        <w:rPr>
          <w:rFonts w:asciiTheme="minorEastAsia" w:hAnsiTheme="minorEastAsia" w:cstheme="minorHAnsi"/>
          <w:sz w:val="24"/>
          <w:szCs w:val="24"/>
        </w:rPr>
        <w:cr/>
        <w:t>Give the “Take-Home Message” in the Form of a</w:t>
      </w:r>
      <w:r>
        <w:rPr>
          <w:rFonts w:asciiTheme="minorEastAsia" w:hAnsiTheme="minorEastAsia" w:cstheme="minorHAnsi"/>
          <w:sz w:val="24"/>
          <w:szCs w:val="24"/>
        </w:rPr>
        <w:t xml:space="preserve"> </w:t>
      </w:r>
      <w:r w:rsidRPr="00AC22D6">
        <w:rPr>
          <w:rFonts w:asciiTheme="minorEastAsia" w:hAnsiTheme="minorEastAsia" w:cstheme="minorHAnsi"/>
          <w:sz w:val="24"/>
          <w:szCs w:val="24"/>
        </w:rPr>
        <w:t>Conclusion</w:t>
      </w:r>
    </w:p>
    <w:p w14:paraId="6012FCAE" w14:textId="44825335" w:rsidR="00C64F20" w:rsidRPr="00466752" w:rsidRDefault="00AC22D6" w:rsidP="00AC22D6">
      <w:pPr>
        <w:spacing w:after="0" w:line="480" w:lineRule="auto"/>
        <w:rPr>
          <w:rFonts w:asciiTheme="minorEastAsia" w:hAnsiTheme="minorEastAsia" w:cstheme="minorHAnsi"/>
          <w:sz w:val="28"/>
          <w:szCs w:val="28"/>
          <w:u w:val="single"/>
        </w:rPr>
      </w:pPr>
      <w:r w:rsidRPr="00466752">
        <w:rPr>
          <w:rFonts w:asciiTheme="minorEastAsia" w:hAnsiTheme="minorEastAsia" w:cstheme="minorHAnsi"/>
          <w:sz w:val="28"/>
          <w:szCs w:val="28"/>
          <w:u w:val="single"/>
        </w:rPr>
        <w:t>Conclusion</w:t>
      </w:r>
    </w:p>
    <w:p w14:paraId="28F03434" w14:textId="56BEEC53" w:rsidR="00AC22D6" w:rsidRDefault="00AC22D6" w:rsidP="00AC22D6">
      <w:pPr>
        <w:spacing w:after="0" w:line="480" w:lineRule="auto"/>
        <w:rPr>
          <w:rFonts w:asciiTheme="minorEastAsia" w:hAnsiTheme="minorEastAsia" w:cstheme="minorHAnsi"/>
          <w:sz w:val="24"/>
          <w:szCs w:val="24"/>
        </w:rPr>
      </w:pPr>
    </w:p>
    <w:p w14:paraId="757CFE59" w14:textId="77777777" w:rsidR="00AC22D6" w:rsidRDefault="00AC22D6" w:rsidP="00AC22D6">
      <w:pPr>
        <w:spacing w:after="0" w:line="480" w:lineRule="auto"/>
        <w:rPr>
          <w:rFonts w:asciiTheme="minorEastAsia" w:hAnsiTheme="minorEastAsia" w:cstheme="minorHAnsi"/>
          <w:sz w:val="24"/>
          <w:szCs w:val="24"/>
        </w:rPr>
      </w:pPr>
    </w:p>
    <w:p w14:paraId="03226A34" w14:textId="77777777" w:rsidR="00C64F20" w:rsidRPr="00F82E2B" w:rsidRDefault="00C64F20" w:rsidP="00C64F20">
      <w:pPr>
        <w:spacing w:after="0" w:line="480" w:lineRule="auto"/>
        <w:rPr>
          <w:rFonts w:asciiTheme="minorEastAsia" w:hAnsiTheme="minorEastAsia" w:cstheme="minorHAnsi"/>
          <w:sz w:val="28"/>
          <w:szCs w:val="28"/>
          <w:u w:val="single"/>
        </w:rPr>
      </w:pPr>
      <w:r w:rsidRPr="00F82E2B">
        <w:rPr>
          <w:rFonts w:asciiTheme="minorEastAsia" w:hAnsiTheme="minorEastAsia" w:cstheme="minorHAnsi"/>
          <w:sz w:val="28"/>
          <w:szCs w:val="28"/>
          <w:u w:val="single"/>
        </w:rPr>
        <w:t>References</w:t>
      </w:r>
    </w:p>
    <w:p w14:paraId="5A50FA26" w14:textId="77777777" w:rsidR="00C64F20" w:rsidRPr="0069495B" w:rsidRDefault="00C64F20" w:rsidP="00C64F20">
      <w:pPr>
        <w:spacing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Agurla</w:t>
      </w:r>
      <w:proofErr w:type="spellEnd"/>
      <w:r w:rsidRPr="0069495B">
        <w:rPr>
          <w:rFonts w:asciiTheme="minorEastAsia" w:hAnsiTheme="minorEastAsia" w:cs="Arial"/>
          <w:sz w:val="20"/>
          <w:szCs w:val="20"/>
        </w:rPr>
        <w:t xml:space="preserve">, S., </w:t>
      </w:r>
      <w:proofErr w:type="spellStart"/>
      <w:r w:rsidRPr="0069495B">
        <w:rPr>
          <w:rFonts w:asciiTheme="minorEastAsia" w:hAnsiTheme="minorEastAsia" w:cs="Arial"/>
          <w:sz w:val="20"/>
          <w:szCs w:val="20"/>
        </w:rPr>
        <w:t>Gahir</w:t>
      </w:r>
      <w:proofErr w:type="spellEnd"/>
      <w:r w:rsidRPr="0069495B">
        <w:rPr>
          <w:rFonts w:asciiTheme="minorEastAsia" w:hAnsiTheme="minorEastAsia" w:cs="Arial"/>
          <w:sz w:val="20"/>
          <w:szCs w:val="20"/>
        </w:rPr>
        <w:t xml:space="preserve">, S., </w:t>
      </w:r>
      <w:proofErr w:type="spellStart"/>
      <w:r w:rsidRPr="0069495B">
        <w:rPr>
          <w:rFonts w:asciiTheme="minorEastAsia" w:hAnsiTheme="minorEastAsia" w:cs="Arial"/>
          <w:sz w:val="20"/>
          <w:szCs w:val="20"/>
        </w:rPr>
        <w:t>Munemasa</w:t>
      </w:r>
      <w:proofErr w:type="spellEnd"/>
      <w:r w:rsidRPr="0069495B">
        <w:rPr>
          <w:rFonts w:asciiTheme="minorEastAsia" w:hAnsiTheme="minorEastAsia" w:cs="Arial"/>
          <w:sz w:val="20"/>
          <w:szCs w:val="20"/>
        </w:rPr>
        <w:t xml:space="preserve">, S., Murata, Y., &amp; Raghavendra, A. S. (2018). Mechanism of Stomatal Closure in Plants Exposed to Drought and Cold Stress. </w:t>
      </w:r>
      <w:r w:rsidRPr="0069495B">
        <w:rPr>
          <w:rFonts w:asciiTheme="minorEastAsia" w:hAnsiTheme="minorEastAsia" w:cs="Arial"/>
          <w:i/>
          <w:iCs/>
          <w:sz w:val="20"/>
          <w:szCs w:val="20"/>
        </w:rPr>
        <w:t>Advances in experimental medicine and biology, 1081</w:t>
      </w:r>
      <w:r w:rsidRPr="0069495B">
        <w:rPr>
          <w:rFonts w:asciiTheme="minorEastAsia" w:hAnsiTheme="minorEastAsia" w:cs="Arial"/>
          <w:sz w:val="20"/>
          <w:szCs w:val="20"/>
        </w:rPr>
        <w:t>, 215–232. https://doi.org/10.1007/978-981-13-1244-1_12</w:t>
      </w:r>
    </w:p>
    <w:p w14:paraId="6F995E0D" w14:textId="77777777" w:rsidR="00C64F20" w:rsidRPr="0069495B" w:rsidRDefault="00C64F20" w:rsidP="00C64F20">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Akers, M., Kane, M., </w:t>
      </w:r>
      <w:proofErr w:type="spellStart"/>
      <w:r w:rsidRPr="0069495B">
        <w:rPr>
          <w:rFonts w:asciiTheme="minorEastAsia" w:hAnsiTheme="minorEastAsia" w:cs="Arial"/>
          <w:sz w:val="20"/>
          <w:szCs w:val="20"/>
        </w:rPr>
        <w:t>Teskey</w:t>
      </w:r>
      <w:proofErr w:type="spellEnd"/>
      <w:r w:rsidRPr="0069495B">
        <w:rPr>
          <w:rFonts w:asciiTheme="minorEastAsia" w:hAnsiTheme="minorEastAsia" w:cs="Arial"/>
          <w:sz w:val="20"/>
          <w:szCs w:val="20"/>
        </w:rPr>
        <w:t xml:space="preserve">, R., Daniels, R., Zhao, D., &amp; </w:t>
      </w:r>
      <w:proofErr w:type="spellStart"/>
      <w:r w:rsidRPr="0069495B">
        <w:rPr>
          <w:rFonts w:asciiTheme="minorEastAsia" w:hAnsiTheme="minorEastAsia" w:cs="Arial"/>
          <w:sz w:val="20"/>
          <w:szCs w:val="20"/>
        </w:rPr>
        <w:t>Subedi</w:t>
      </w:r>
      <w:proofErr w:type="spellEnd"/>
      <w:r w:rsidRPr="0069495B">
        <w:rPr>
          <w:rFonts w:asciiTheme="minorEastAsia" w:hAnsiTheme="minorEastAsia" w:cs="Arial"/>
          <w:sz w:val="20"/>
          <w:szCs w:val="20"/>
        </w:rPr>
        <w:t>, S. (2012). The effects of planting density and cultural intensity on loblolly pine crown characteristics at age twelve. In </w:t>
      </w:r>
      <w:r w:rsidRPr="0069495B">
        <w:rPr>
          <w:rFonts w:asciiTheme="minorEastAsia" w:hAnsiTheme="minorEastAsia" w:cs="Arial"/>
          <w:i/>
          <w:iCs/>
          <w:sz w:val="20"/>
          <w:szCs w:val="20"/>
        </w:rPr>
        <w:t>Biennial Southern Silvicultural Research Conference</w:t>
      </w:r>
      <w:r w:rsidRPr="0069495B">
        <w:rPr>
          <w:rFonts w:asciiTheme="minorEastAsia" w:hAnsiTheme="minorEastAsia" w:cs="Arial"/>
          <w:sz w:val="20"/>
          <w:szCs w:val="20"/>
        </w:rPr>
        <w:t> (p. 1).</w:t>
      </w:r>
    </w:p>
    <w:p w14:paraId="69BA0CEF" w14:textId="77777777" w:rsidR="00C64F20" w:rsidRPr="0069495B" w:rsidRDefault="00C64F20" w:rsidP="00C64F20">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Albaugh, T. J., Maier, C. A., </w:t>
      </w:r>
      <w:proofErr w:type="spellStart"/>
      <w:r w:rsidRPr="0069495B">
        <w:rPr>
          <w:rFonts w:asciiTheme="minorEastAsia" w:hAnsiTheme="minorEastAsia" w:cs="Arial"/>
          <w:sz w:val="20"/>
          <w:szCs w:val="20"/>
        </w:rPr>
        <w:t>Campoe</w:t>
      </w:r>
      <w:proofErr w:type="spellEnd"/>
      <w:r w:rsidRPr="0069495B">
        <w:rPr>
          <w:rFonts w:asciiTheme="minorEastAsia" w:hAnsiTheme="minorEastAsia" w:cs="Arial"/>
          <w:sz w:val="20"/>
          <w:szCs w:val="20"/>
        </w:rPr>
        <w:t xml:space="preserve">, O. C., </w:t>
      </w:r>
      <w:proofErr w:type="spellStart"/>
      <w:r w:rsidRPr="0069495B">
        <w:rPr>
          <w:rFonts w:asciiTheme="minorEastAsia" w:hAnsiTheme="minorEastAsia" w:cs="Arial"/>
          <w:sz w:val="20"/>
          <w:szCs w:val="20"/>
        </w:rPr>
        <w:t>Yáñez</w:t>
      </w:r>
      <w:proofErr w:type="spellEnd"/>
      <w:r w:rsidRPr="0069495B">
        <w:rPr>
          <w:rFonts w:asciiTheme="minorEastAsia" w:hAnsiTheme="minorEastAsia" w:cs="Arial"/>
          <w:sz w:val="20"/>
          <w:szCs w:val="20"/>
        </w:rPr>
        <w:t xml:space="preserve">, M. A., </w:t>
      </w:r>
      <w:proofErr w:type="spellStart"/>
      <w:r w:rsidRPr="0069495B">
        <w:rPr>
          <w:rFonts w:asciiTheme="minorEastAsia" w:hAnsiTheme="minorEastAsia" w:cs="Arial"/>
          <w:sz w:val="20"/>
          <w:szCs w:val="20"/>
        </w:rPr>
        <w:t>Carbaugh</w:t>
      </w:r>
      <w:proofErr w:type="spellEnd"/>
      <w:r w:rsidRPr="0069495B">
        <w:rPr>
          <w:rFonts w:asciiTheme="minorEastAsia" w:hAnsiTheme="minorEastAsia" w:cs="Arial"/>
          <w:sz w:val="20"/>
          <w:szCs w:val="20"/>
        </w:rPr>
        <w:t>, E. D., Carter, D. R., ... &amp; Fox, T. R. (2020). Crown architecture, crown leaf area distribution, and individual tree growth efficiency vary across site, genetic entry, and planting density. </w:t>
      </w:r>
      <w:r w:rsidRPr="0069495B">
        <w:rPr>
          <w:rFonts w:asciiTheme="minorEastAsia" w:hAnsiTheme="minorEastAsia" w:cs="Arial"/>
          <w:i/>
          <w:iCs/>
          <w:sz w:val="20"/>
          <w:szCs w:val="20"/>
        </w:rPr>
        <w:t>Trees</w:t>
      </w:r>
      <w:r w:rsidRPr="0069495B">
        <w:rPr>
          <w:rFonts w:asciiTheme="minorEastAsia" w:hAnsiTheme="minorEastAsia" w:cs="Arial"/>
          <w:sz w:val="20"/>
          <w:szCs w:val="20"/>
        </w:rPr>
        <w:t>, </w:t>
      </w:r>
      <w:r w:rsidRPr="0069495B">
        <w:rPr>
          <w:rFonts w:asciiTheme="minorEastAsia" w:hAnsiTheme="minorEastAsia" w:cs="Arial"/>
          <w:i/>
          <w:iCs/>
          <w:sz w:val="20"/>
          <w:szCs w:val="20"/>
        </w:rPr>
        <w:t>34</w:t>
      </w:r>
      <w:r w:rsidRPr="0069495B">
        <w:rPr>
          <w:rFonts w:asciiTheme="minorEastAsia" w:hAnsiTheme="minorEastAsia" w:cs="Arial"/>
          <w:sz w:val="20"/>
          <w:szCs w:val="20"/>
        </w:rPr>
        <w:t>(1), 73-88.</w:t>
      </w:r>
    </w:p>
    <w:p w14:paraId="218F228A" w14:textId="77777777" w:rsidR="00C64F20" w:rsidRPr="0069495B" w:rsidRDefault="00C64F20" w:rsidP="00C64F20">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Allen, C. D., </w:t>
      </w:r>
      <w:proofErr w:type="spellStart"/>
      <w:r w:rsidRPr="0069495B">
        <w:rPr>
          <w:rFonts w:asciiTheme="minorEastAsia" w:hAnsiTheme="minorEastAsia" w:cs="Arial"/>
          <w:sz w:val="20"/>
          <w:szCs w:val="20"/>
        </w:rPr>
        <w:t>Macalady</w:t>
      </w:r>
      <w:proofErr w:type="spellEnd"/>
      <w:r w:rsidRPr="0069495B">
        <w:rPr>
          <w:rFonts w:asciiTheme="minorEastAsia" w:hAnsiTheme="minorEastAsia" w:cs="Arial"/>
          <w:sz w:val="20"/>
          <w:szCs w:val="20"/>
        </w:rPr>
        <w:t xml:space="preserve">, A. K., </w:t>
      </w:r>
      <w:proofErr w:type="spellStart"/>
      <w:r w:rsidRPr="0069495B">
        <w:rPr>
          <w:rFonts w:asciiTheme="minorEastAsia" w:hAnsiTheme="minorEastAsia" w:cs="Arial"/>
          <w:sz w:val="20"/>
          <w:szCs w:val="20"/>
        </w:rPr>
        <w:t>Chenchouni</w:t>
      </w:r>
      <w:proofErr w:type="spellEnd"/>
      <w:r w:rsidRPr="0069495B">
        <w:rPr>
          <w:rFonts w:asciiTheme="minorEastAsia" w:hAnsiTheme="minorEastAsia" w:cs="Arial"/>
          <w:sz w:val="20"/>
          <w:szCs w:val="20"/>
        </w:rPr>
        <w:t xml:space="preserve">, H., Bachelet, D., McDowell, N., </w:t>
      </w:r>
      <w:proofErr w:type="spellStart"/>
      <w:r w:rsidRPr="0069495B">
        <w:rPr>
          <w:rFonts w:asciiTheme="minorEastAsia" w:hAnsiTheme="minorEastAsia" w:cs="Arial"/>
          <w:sz w:val="20"/>
          <w:szCs w:val="20"/>
        </w:rPr>
        <w:t>Vennetier</w:t>
      </w:r>
      <w:proofErr w:type="spellEnd"/>
      <w:r w:rsidRPr="0069495B">
        <w:rPr>
          <w:rFonts w:asciiTheme="minorEastAsia" w:hAnsiTheme="minorEastAsia" w:cs="Arial"/>
          <w:sz w:val="20"/>
          <w:szCs w:val="20"/>
        </w:rPr>
        <w:t>, M., ... &amp; Cobb, N. (2010). A global overview of drought and heat-induced tree mortality reveals emerging climate change risks for forests. </w:t>
      </w:r>
      <w:r w:rsidRPr="0069495B">
        <w:rPr>
          <w:rFonts w:asciiTheme="minorEastAsia" w:hAnsiTheme="minorEastAsia" w:cs="Arial"/>
          <w:i/>
          <w:iCs/>
          <w:sz w:val="20"/>
          <w:szCs w:val="20"/>
        </w:rPr>
        <w:t>Forest ecology and management</w:t>
      </w:r>
      <w:r w:rsidRPr="0069495B">
        <w:rPr>
          <w:rFonts w:asciiTheme="minorEastAsia" w:hAnsiTheme="minorEastAsia" w:cs="Arial"/>
          <w:sz w:val="20"/>
          <w:szCs w:val="20"/>
        </w:rPr>
        <w:t>, </w:t>
      </w:r>
      <w:r w:rsidRPr="0069495B">
        <w:rPr>
          <w:rFonts w:asciiTheme="minorEastAsia" w:hAnsiTheme="minorEastAsia" w:cs="Arial"/>
          <w:i/>
          <w:iCs/>
          <w:sz w:val="20"/>
          <w:szCs w:val="20"/>
        </w:rPr>
        <w:t>259</w:t>
      </w:r>
      <w:r w:rsidRPr="0069495B">
        <w:rPr>
          <w:rFonts w:asciiTheme="minorEastAsia" w:hAnsiTheme="minorEastAsia" w:cs="Arial"/>
          <w:sz w:val="20"/>
          <w:szCs w:val="20"/>
        </w:rPr>
        <w:t>(4), 660-684.</w:t>
      </w:r>
    </w:p>
    <w:p w14:paraId="0B2CC953" w14:textId="77777777" w:rsidR="00C64F20" w:rsidRPr="0069495B" w:rsidRDefault="00C64F20" w:rsidP="00C64F20">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Carlson, C. A., Fox, T. R., Creighton, J., Dougherty, P. M., &amp; Johnson, J. R. (2009). Nine-year growth responses to planting density manipulation and repeated early fertilization in a loblolly pine stand in the Virginia Piedmont. </w:t>
      </w:r>
      <w:r w:rsidRPr="0069495B">
        <w:rPr>
          <w:rFonts w:asciiTheme="minorEastAsia" w:hAnsiTheme="minorEastAsia" w:cs="Arial"/>
          <w:i/>
          <w:iCs/>
          <w:sz w:val="20"/>
          <w:szCs w:val="20"/>
        </w:rPr>
        <w:t>Southern Journal of Applied Forestry</w:t>
      </w:r>
      <w:r w:rsidRPr="0069495B">
        <w:rPr>
          <w:rFonts w:asciiTheme="minorEastAsia" w:hAnsiTheme="minorEastAsia" w:cs="Arial"/>
          <w:sz w:val="20"/>
          <w:szCs w:val="20"/>
        </w:rPr>
        <w:t>, </w:t>
      </w:r>
      <w:r w:rsidRPr="0069495B">
        <w:rPr>
          <w:rFonts w:asciiTheme="minorEastAsia" w:hAnsiTheme="minorEastAsia" w:cs="Arial"/>
          <w:i/>
          <w:iCs/>
          <w:sz w:val="20"/>
          <w:szCs w:val="20"/>
        </w:rPr>
        <w:t>33</w:t>
      </w:r>
      <w:r w:rsidRPr="0069495B">
        <w:rPr>
          <w:rFonts w:asciiTheme="minorEastAsia" w:hAnsiTheme="minorEastAsia" w:cs="Arial"/>
          <w:sz w:val="20"/>
          <w:szCs w:val="20"/>
        </w:rPr>
        <w:t>(3), 109-114.</w:t>
      </w:r>
    </w:p>
    <w:p w14:paraId="503429AD" w14:textId="77777777" w:rsidR="00C64F20" w:rsidRPr="0069495B" w:rsidRDefault="00C64F20" w:rsidP="00C64F20">
      <w:pPr>
        <w:spacing w:before="240" w:line="240" w:lineRule="auto"/>
        <w:ind w:left="720" w:hanging="720"/>
        <w:rPr>
          <w:rFonts w:asciiTheme="minorEastAsia" w:hAnsiTheme="minorEastAsia" w:cs="Arial"/>
          <w:sz w:val="20"/>
          <w:szCs w:val="20"/>
        </w:rPr>
      </w:pPr>
      <w:r w:rsidRPr="003923D5">
        <w:rPr>
          <w:rFonts w:asciiTheme="minorEastAsia" w:hAnsiTheme="minorEastAsia" w:cs="Arial"/>
          <w:sz w:val="20"/>
          <w:szCs w:val="20"/>
        </w:rPr>
        <w:t xml:space="preserve">de Oliveira, R. K., </w:t>
      </w:r>
      <w:proofErr w:type="spellStart"/>
      <w:r w:rsidRPr="003923D5">
        <w:rPr>
          <w:rFonts w:asciiTheme="minorEastAsia" w:hAnsiTheme="minorEastAsia" w:cs="Arial"/>
          <w:sz w:val="20"/>
          <w:szCs w:val="20"/>
        </w:rPr>
        <w:t>Higa</w:t>
      </w:r>
      <w:proofErr w:type="spellEnd"/>
      <w:r w:rsidRPr="003923D5">
        <w:rPr>
          <w:rFonts w:asciiTheme="minorEastAsia" w:hAnsiTheme="minorEastAsia" w:cs="Arial"/>
          <w:sz w:val="20"/>
          <w:szCs w:val="20"/>
        </w:rPr>
        <w:t xml:space="preserve">, A. R., Silva, L. D., Silva, I. C., &amp; Gonçalves, M. D. P. M. (2018). </w:t>
      </w:r>
      <w:proofErr w:type="spellStart"/>
      <w:r w:rsidRPr="0069495B">
        <w:rPr>
          <w:rFonts w:asciiTheme="minorEastAsia" w:hAnsiTheme="minorEastAsia" w:cs="Arial"/>
          <w:sz w:val="20"/>
          <w:szCs w:val="20"/>
        </w:rPr>
        <w:t>Emergy</w:t>
      </w:r>
      <w:proofErr w:type="spellEnd"/>
      <w:r w:rsidRPr="0069495B">
        <w:rPr>
          <w:rFonts w:asciiTheme="minorEastAsia" w:hAnsiTheme="minorEastAsia" w:cs="Arial"/>
          <w:sz w:val="20"/>
          <w:szCs w:val="20"/>
        </w:rPr>
        <w:t>-based sustainability assessment of a loblolly pine (Pinus taeda) production system in southern Brazil. </w:t>
      </w:r>
      <w:r w:rsidRPr="0069495B">
        <w:rPr>
          <w:rFonts w:asciiTheme="minorEastAsia" w:hAnsiTheme="minorEastAsia" w:cs="Arial"/>
          <w:i/>
          <w:iCs/>
          <w:sz w:val="20"/>
          <w:szCs w:val="20"/>
        </w:rPr>
        <w:t>Ecological Indicators</w:t>
      </w:r>
      <w:r w:rsidRPr="0069495B">
        <w:rPr>
          <w:rFonts w:asciiTheme="minorEastAsia" w:hAnsiTheme="minorEastAsia" w:cs="Arial"/>
          <w:sz w:val="20"/>
          <w:szCs w:val="20"/>
        </w:rPr>
        <w:t>, </w:t>
      </w:r>
      <w:r w:rsidRPr="0069495B">
        <w:rPr>
          <w:rFonts w:asciiTheme="minorEastAsia" w:hAnsiTheme="minorEastAsia" w:cs="Arial"/>
          <w:i/>
          <w:iCs/>
          <w:sz w:val="20"/>
          <w:szCs w:val="20"/>
        </w:rPr>
        <w:t>93</w:t>
      </w:r>
      <w:r w:rsidRPr="0069495B">
        <w:rPr>
          <w:rFonts w:asciiTheme="minorEastAsia" w:hAnsiTheme="minorEastAsia" w:cs="Arial"/>
          <w:sz w:val="20"/>
          <w:szCs w:val="20"/>
        </w:rPr>
        <w:t>, 481-489.</w:t>
      </w:r>
    </w:p>
    <w:p w14:paraId="7C2FB859" w14:textId="77777777" w:rsidR="00C64F20" w:rsidRPr="0069495B" w:rsidRDefault="00C64F20" w:rsidP="00C64F20">
      <w:pPr>
        <w:spacing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Dickmann</w:t>
      </w:r>
      <w:proofErr w:type="spellEnd"/>
      <w:r w:rsidRPr="0069495B">
        <w:rPr>
          <w:rFonts w:asciiTheme="minorEastAsia" w:hAnsiTheme="minorEastAsia" w:cs="Arial"/>
          <w:sz w:val="20"/>
          <w:szCs w:val="20"/>
        </w:rPr>
        <w:t>, D. I. (1985). The ideotype concept applied to forest trees. </w:t>
      </w:r>
      <w:r w:rsidRPr="0069495B">
        <w:rPr>
          <w:rFonts w:asciiTheme="minorEastAsia" w:hAnsiTheme="minorEastAsia" w:cs="Arial"/>
          <w:i/>
          <w:iCs/>
          <w:sz w:val="20"/>
          <w:szCs w:val="20"/>
        </w:rPr>
        <w:t>Attributes of trees as crop plants</w:t>
      </w:r>
      <w:r w:rsidRPr="0069495B">
        <w:rPr>
          <w:rFonts w:asciiTheme="minorEastAsia" w:hAnsiTheme="minorEastAsia" w:cs="Arial"/>
          <w:sz w:val="20"/>
          <w:szCs w:val="20"/>
        </w:rPr>
        <w:t xml:space="preserve">, 89-101. </w:t>
      </w:r>
    </w:p>
    <w:p w14:paraId="4DC01AC1" w14:textId="77777777" w:rsidR="00C64F20" w:rsidRPr="0069495B" w:rsidRDefault="00C64F20" w:rsidP="00C64F2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Freeman, S. (2014). </w:t>
      </w:r>
      <w:r w:rsidRPr="0069495B">
        <w:rPr>
          <w:rFonts w:asciiTheme="minorEastAsia" w:hAnsiTheme="minorEastAsia" w:cs="Arial"/>
          <w:i/>
          <w:iCs/>
          <w:sz w:val="20"/>
          <w:szCs w:val="20"/>
        </w:rPr>
        <w:t>Biological science</w:t>
      </w:r>
      <w:r w:rsidRPr="0069495B">
        <w:rPr>
          <w:rFonts w:asciiTheme="minorEastAsia" w:hAnsiTheme="minorEastAsia" w:cs="Arial"/>
          <w:sz w:val="20"/>
          <w:szCs w:val="20"/>
        </w:rPr>
        <w:t>. United States of America: Pearson. pp. 765–766. ISBN 978-0-321-74367-1.</w:t>
      </w:r>
    </w:p>
    <w:p w14:paraId="5DCF31A8" w14:textId="77777777" w:rsidR="00C64F20" w:rsidRPr="0069495B" w:rsidRDefault="00C64F20" w:rsidP="00C64F20">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Granier</w:t>
      </w:r>
      <w:proofErr w:type="spellEnd"/>
      <w:r w:rsidRPr="0069495B">
        <w:rPr>
          <w:rFonts w:asciiTheme="minorEastAsia" w:hAnsiTheme="minorEastAsia" w:cs="Arial"/>
          <w:sz w:val="20"/>
          <w:szCs w:val="20"/>
        </w:rPr>
        <w:t xml:space="preserve">, A. (1985). Une nouvelle </w:t>
      </w:r>
      <w:proofErr w:type="spellStart"/>
      <w:r w:rsidRPr="0069495B">
        <w:rPr>
          <w:rFonts w:asciiTheme="minorEastAsia" w:hAnsiTheme="minorEastAsia" w:cs="Arial"/>
          <w:sz w:val="20"/>
          <w:szCs w:val="20"/>
        </w:rPr>
        <w:t>méthode</w:t>
      </w:r>
      <w:proofErr w:type="spellEnd"/>
      <w:r w:rsidRPr="0069495B">
        <w:rPr>
          <w:rFonts w:asciiTheme="minorEastAsia" w:hAnsiTheme="minorEastAsia" w:cs="Arial"/>
          <w:sz w:val="20"/>
          <w:szCs w:val="20"/>
        </w:rPr>
        <w:t xml:space="preserve"> pour la </w:t>
      </w:r>
      <w:proofErr w:type="spellStart"/>
      <w:r w:rsidRPr="0069495B">
        <w:rPr>
          <w:rFonts w:asciiTheme="minorEastAsia" w:hAnsiTheme="minorEastAsia" w:cs="Arial"/>
          <w:sz w:val="20"/>
          <w:szCs w:val="20"/>
        </w:rPr>
        <w:t>mesure</w:t>
      </w:r>
      <w:proofErr w:type="spellEnd"/>
      <w:r w:rsidRPr="0069495B">
        <w:rPr>
          <w:rFonts w:asciiTheme="minorEastAsia" w:hAnsiTheme="minorEastAsia" w:cs="Arial"/>
          <w:sz w:val="20"/>
          <w:szCs w:val="20"/>
        </w:rPr>
        <w:t xml:space="preserve"> du flux de </w:t>
      </w:r>
      <w:proofErr w:type="spellStart"/>
      <w:r w:rsidRPr="0069495B">
        <w:rPr>
          <w:rFonts w:asciiTheme="minorEastAsia" w:hAnsiTheme="minorEastAsia" w:cs="Arial"/>
          <w:sz w:val="20"/>
          <w:szCs w:val="20"/>
        </w:rPr>
        <w:t>sève</w:t>
      </w:r>
      <w:proofErr w:type="spellEnd"/>
      <w:r w:rsidRPr="0069495B">
        <w:rPr>
          <w:rFonts w:asciiTheme="minorEastAsia" w:hAnsiTheme="minorEastAsia" w:cs="Arial"/>
          <w:sz w:val="20"/>
          <w:szCs w:val="20"/>
        </w:rPr>
        <w:t xml:space="preserve"> brute dans le tronc des </w:t>
      </w:r>
      <w:proofErr w:type="spellStart"/>
      <w:r w:rsidRPr="0069495B">
        <w:rPr>
          <w:rFonts w:asciiTheme="minorEastAsia" w:hAnsiTheme="minorEastAsia" w:cs="Arial"/>
          <w:sz w:val="20"/>
          <w:szCs w:val="20"/>
        </w:rPr>
        <w:t>arbres</w:t>
      </w:r>
      <w:proofErr w:type="spellEnd"/>
      <w:r w:rsidRPr="0069495B">
        <w:rPr>
          <w:rFonts w:asciiTheme="minorEastAsia" w:hAnsiTheme="minorEastAsia" w:cs="Arial"/>
          <w:sz w:val="20"/>
          <w:szCs w:val="20"/>
        </w:rPr>
        <w:t>. In </w:t>
      </w:r>
      <w:r w:rsidRPr="0069495B">
        <w:rPr>
          <w:rFonts w:asciiTheme="minorEastAsia" w:hAnsiTheme="minorEastAsia" w:cs="Arial"/>
          <w:i/>
          <w:iCs/>
          <w:sz w:val="20"/>
          <w:szCs w:val="20"/>
        </w:rPr>
        <w:t xml:space="preserve">Annales des Sciences </w:t>
      </w:r>
      <w:proofErr w:type="spellStart"/>
      <w:r w:rsidRPr="0069495B">
        <w:rPr>
          <w:rFonts w:asciiTheme="minorEastAsia" w:hAnsiTheme="minorEastAsia" w:cs="Arial"/>
          <w:i/>
          <w:iCs/>
          <w:sz w:val="20"/>
          <w:szCs w:val="20"/>
        </w:rPr>
        <w:t>forestières</w:t>
      </w:r>
      <w:proofErr w:type="spellEnd"/>
      <w:r w:rsidRPr="0069495B">
        <w:rPr>
          <w:rFonts w:asciiTheme="minorEastAsia" w:hAnsiTheme="minorEastAsia" w:cs="Arial"/>
          <w:sz w:val="20"/>
          <w:szCs w:val="20"/>
        </w:rPr>
        <w:t> (Vol. 42, No. 2, pp. 193-200). EDP Sciences.</w:t>
      </w:r>
    </w:p>
    <w:p w14:paraId="70B0E82C" w14:textId="77777777" w:rsidR="00C64F20" w:rsidRPr="0069495B" w:rsidRDefault="00C64F20" w:rsidP="00C64F2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Hanrahan, G. (2011). </w:t>
      </w:r>
      <w:r w:rsidRPr="0069495B">
        <w:rPr>
          <w:rFonts w:asciiTheme="minorEastAsia" w:hAnsiTheme="minorEastAsia" w:cs="Arial"/>
          <w:i/>
          <w:iCs/>
          <w:sz w:val="20"/>
          <w:szCs w:val="20"/>
        </w:rPr>
        <w:t>Key concepts in environmental chemistry</w:t>
      </w:r>
      <w:r w:rsidRPr="0069495B">
        <w:rPr>
          <w:rFonts w:asciiTheme="minorEastAsia" w:hAnsiTheme="minorEastAsia" w:cs="Arial"/>
          <w:sz w:val="20"/>
          <w:szCs w:val="20"/>
        </w:rPr>
        <w:t>. Academic Press.</w:t>
      </w:r>
    </w:p>
    <w:p w14:paraId="4DC7E0A3" w14:textId="77777777" w:rsidR="00C64F20" w:rsidRDefault="00C64F20" w:rsidP="00C64F20">
      <w:pPr>
        <w:spacing w:line="240" w:lineRule="auto"/>
        <w:ind w:left="720" w:hanging="720"/>
        <w:rPr>
          <w:rFonts w:asciiTheme="minorEastAsia" w:hAnsiTheme="minorEastAsia" w:cs="Arial"/>
          <w:sz w:val="20"/>
          <w:szCs w:val="20"/>
        </w:rPr>
      </w:pPr>
      <w:proofErr w:type="spellStart"/>
      <w:r w:rsidRPr="00842A7E">
        <w:rPr>
          <w:rFonts w:asciiTheme="minorEastAsia" w:hAnsiTheme="minorEastAsia" w:cs="Arial"/>
          <w:sz w:val="20"/>
          <w:szCs w:val="20"/>
        </w:rPr>
        <w:lastRenderedPageBreak/>
        <w:t>Hasenmueller</w:t>
      </w:r>
      <w:proofErr w:type="spellEnd"/>
      <w:r w:rsidRPr="00842A7E">
        <w:rPr>
          <w:rFonts w:asciiTheme="minorEastAsia" w:hAnsiTheme="minorEastAsia" w:cs="Arial"/>
          <w:sz w:val="20"/>
          <w:szCs w:val="20"/>
        </w:rPr>
        <w:t xml:space="preserve">, E. </w:t>
      </w:r>
      <w:proofErr w:type="gramStart"/>
      <w:r w:rsidRPr="00842A7E">
        <w:rPr>
          <w:rFonts w:asciiTheme="minorEastAsia" w:hAnsiTheme="minorEastAsia" w:cs="Arial"/>
          <w:sz w:val="20"/>
          <w:szCs w:val="20"/>
        </w:rPr>
        <w:t>A. ,</w:t>
      </w:r>
      <w:proofErr w:type="gramEnd"/>
      <w:r w:rsidRPr="00842A7E">
        <w:rPr>
          <w:rFonts w:asciiTheme="minorEastAsia" w:hAnsiTheme="minorEastAsia" w:cs="Arial"/>
          <w:sz w:val="20"/>
          <w:szCs w:val="20"/>
        </w:rPr>
        <w:t xml:space="preserve"> &amp; Criss, R. E. (2013). Water Balance Estimates of Evapotranspiration Rates in Areas with Varying Land Use. In (Ed.), Evapotranspiration - An Overview. </w:t>
      </w:r>
      <w:proofErr w:type="spellStart"/>
      <w:r w:rsidRPr="00842A7E">
        <w:rPr>
          <w:rFonts w:asciiTheme="minorEastAsia" w:hAnsiTheme="minorEastAsia" w:cs="Arial"/>
          <w:sz w:val="20"/>
          <w:szCs w:val="20"/>
        </w:rPr>
        <w:t>IntechOpen</w:t>
      </w:r>
      <w:proofErr w:type="spellEnd"/>
      <w:r w:rsidRPr="00842A7E">
        <w:rPr>
          <w:rFonts w:asciiTheme="minorEastAsia" w:hAnsiTheme="minorEastAsia" w:cs="Arial"/>
          <w:sz w:val="20"/>
          <w:szCs w:val="20"/>
        </w:rPr>
        <w:t xml:space="preserve">. </w:t>
      </w:r>
      <w:r w:rsidRPr="00E44B79">
        <w:t>https://doi.org/10.5772/52811</w:t>
      </w:r>
    </w:p>
    <w:p w14:paraId="0801A269" w14:textId="77777777" w:rsidR="00C64F20" w:rsidRPr="0069495B" w:rsidRDefault="00C64F20" w:rsidP="00C64F20">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Hubbard, R. M., </w:t>
      </w:r>
      <w:proofErr w:type="spellStart"/>
      <w:r w:rsidRPr="0069495B">
        <w:rPr>
          <w:rFonts w:asciiTheme="minorEastAsia" w:hAnsiTheme="minorEastAsia" w:cs="Arial"/>
          <w:sz w:val="20"/>
          <w:szCs w:val="20"/>
        </w:rPr>
        <w:t>Hakemada</w:t>
      </w:r>
      <w:proofErr w:type="spellEnd"/>
      <w:r w:rsidRPr="0069495B">
        <w:rPr>
          <w:rFonts w:asciiTheme="minorEastAsia" w:hAnsiTheme="minorEastAsia" w:cs="Arial"/>
          <w:sz w:val="20"/>
          <w:szCs w:val="20"/>
        </w:rPr>
        <w:t xml:space="preserve">, R., &amp; </w:t>
      </w:r>
      <w:proofErr w:type="spellStart"/>
      <w:r w:rsidRPr="0069495B">
        <w:rPr>
          <w:rFonts w:asciiTheme="minorEastAsia" w:hAnsiTheme="minorEastAsia" w:cs="Arial"/>
          <w:sz w:val="20"/>
          <w:szCs w:val="20"/>
        </w:rPr>
        <w:t>Ferraz</w:t>
      </w:r>
      <w:proofErr w:type="spellEnd"/>
      <w:r w:rsidRPr="0069495B">
        <w:rPr>
          <w:rFonts w:asciiTheme="minorEastAsia" w:hAnsiTheme="minorEastAsia" w:cs="Arial"/>
          <w:sz w:val="20"/>
          <w:szCs w:val="20"/>
        </w:rPr>
        <w:t xml:space="preserve">, S. (2015, December). Effects of Planting Density on Transpiration, Stem </w:t>
      </w:r>
      <w:proofErr w:type="gramStart"/>
      <w:r w:rsidRPr="0069495B">
        <w:rPr>
          <w:rFonts w:asciiTheme="minorEastAsia" w:hAnsiTheme="minorEastAsia" w:cs="Arial"/>
          <w:sz w:val="20"/>
          <w:szCs w:val="20"/>
        </w:rPr>
        <w:t>Flow</w:t>
      </w:r>
      <w:proofErr w:type="gramEnd"/>
      <w:r w:rsidRPr="0069495B">
        <w:rPr>
          <w:rFonts w:asciiTheme="minorEastAsia" w:hAnsiTheme="minorEastAsia" w:cs="Arial"/>
          <w:sz w:val="20"/>
          <w:szCs w:val="20"/>
        </w:rPr>
        <w:t xml:space="preserve"> and Interception for Two Clones Differing in Drought Tolerance in a High Productivity Eucalyptus Plantation in Brazil. In </w:t>
      </w:r>
      <w:r w:rsidRPr="0069495B">
        <w:rPr>
          <w:rFonts w:asciiTheme="minorEastAsia" w:hAnsiTheme="minorEastAsia" w:cs="Arial"/>
          <w:i/>
          <w:iCs/>
          <w:sz w:val="20"/>
          <w:szCs w:val="20"/>
        </w:rPr>
        <w:t>AGU Fall Meeting Abstracts</w:t>
      </w:r>
      <w:r w:rsidRPr="0069495B">
        <w:rPr>
          <w:rFonts w:asciiTheme="minorEastAsia" w:hAnsiTheme="minorEastAsia" w:cs="Arial"/>
          <w:sz w:val="20"/>
          <w:szCs w:val="20"/>
        </w:rPr>
        <w:t> (Vol. 2015, pp. H11G-1430).</w:t>
      </w:r>
    </w:p>
    <w:p w14:paraId="41C05DC7" w14:textId="77777777" w:rsidR="00C64F20" w:rsidRPr="0069495B" w:rsidRDefault="00C64F20" w:rsidP="00C64F20">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Jasechko</w:t>
      </w:r>
      <w:proofErr w:type="spellEnd"/>
      <w:r w:rsidRPr="0069495B">
        <w:rPr>
          <w:rFonts w:asciiTheme="minorEastAsia" w:hAnsiTheme="minorEastAsia" w:cs="Arial"/>
          <w:sz w:val="20"/>
          <w:szCs w:val="20"/>
        </w:rPr>
        <w:t>, S., Sharp, Z. D., Gibson, J. J., Birks, S. J., Yi, Y., &amp; Fawcett, P. J. (2013). Terrestrial water fluxes dominated by transpiration. </w:t>
      </w:r>
      <w:r w:rsidRPr="0069495B">
        <w:rPr>
          <w:rFonts w:asciiTheme="minorEastAsia" w:hAnsiTheme="minorEastAsia" w:cs="Arial"/>
          <w:i/>
          <w:iCs/>
          <w:sz w:val="20"/>
          <w:szCs w:val="20"/>
        </w:rPr>
        <w:t>Nature</w:t>
      </w:r>
      <w:r w:rsidRPr="0069495B">
        <w:rPr>
          <w:rFonts w:asciiTheme="minorEastAsia" w:hAnsiTheme="minorEastAsia" w:cs="Arial"/>
          <w:sz w:val="20"/>
          <w:szCs w:val="20"/>
        </w:rPr>
        <w:t>, </w:t>
      </w:r>
      <w:r w:rsidRPr="0069495B">
        <w:rPr>
          <w:rFonts w:asciiTheme="minorEastAsia" w:hAnsiTheme="minorEastAsia" w:cs="Arial"/>
          <w:i/>
          <w:iCs/>
          <w:sz w:val="20"/>
          <w:szCs w:val="20"/>
        </w:rPr>
        <w:t>496</w:t>
      </w:r>
      <w:r w:rsidRPr="0069495B">
        <w:rPr>
          <w:rFonts w:asciiTheme="minorEastAsia" w:hAnsiTheme="minorEastAsia" w:cs="Arial"/>
          <w:sz w:val="20"/>
          <w:szCs w:val="20"/>
        </w:rPr>
        <w:t>(7445), 347-350.</w:t>
      </w:r>
    </w:p>
    <w:p w14:paraId="0BDA67A6" w14:textId="77777777" w:rsidR="00C64F20" w:rsidRPr="0069495B" w:rsidRDefault="00C64F20" w:rsidP="00C64F2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Lawrence, M. G. (2005). The relationship between relative humidity and the dewpoint temperature in moist air: A simple conversion and applications. </w:t>
      </w:r>
      <w:r w:rsidRPr="0069495B">
        <w:rPr>
          <w:rFonts w:asciiTheme="minorEastAsia" w:hAnsiTheme="minorEastAsia" w:cs="Arial"/>
          <w:i/>
          <w:iCs/>
          <w:sz w:val="20"/>
          <w:szCs w:val="20"/>
        </w:rPr>
        <w:t>Bulletin of the American Meteorological Society</w:t>
      </w:r>
      <w:r w:rsidRPr="0069495B">
        <w:rPr>
          <w:rFonts w:asciiTheme="minorEastAsia" w:hAnsiTheme="minorEastAsia" w:cs="Arial"/>
          <w:sz w:val="20"/>
          <w:szCs w:val="20"/>
        </w:rPr>
        <w:t>, </w:t>
      </w:r>
      <w:r w:rsidRPr="0069495B">
        <w:rPr>
          <w:rFonts w:asciiTheme="minorEastAsia" w:hAnsiTheme="minorEastAsia" w:cs="Arial"/>
          <w:i/>
          <w:iCs/>
          <w:sz w:val="20"/>
          <w:szCs w:val="20"/>
        </w:rPr>
        <w:t>86</w:t>
      </w:r>
      <w:r w:rsidRPr="0069495B">
        <w:rPr>
          <w:rFonts w:asciiTheme="minorEastAsia" w:hAnsiTheme="minorEastAsia" w:cs="Arial"/>
          <w:sz w:val="20"/>
          <w:szCs w:val="20"/>
        </w:rPr>
        <w:t>(2), 225-234.</w:t>
      </w:r>
    </w:p>
    <w:p w14:paraId="54C7024D" w14:textId="77777777" w:rsidR="00C64F20" w:rsidRDefault="00C64F20" w:rsidP="00C64F20">
      <w:pPr>
        <w:spacing w:line="240" w:lineRule="auto"/>
        <w:ind w:left="720" w:hanging="720"/>
        <w:rPr>
          <w:rFonts w:asciiTheme="minorEastAsia" w:hAnsiTheme="minorEastAsia" w:cs="Arial"/>
          <w:sz w:val="20"/>
          <w:szCs w:val="20"/>
        </w:rPr>
      </w:pPr>
      <w:r w:rsidRPr="00B26469">
        <w:rPr>
          <w:rFonts w:asciiTheme="minorEastAsia" w:hAnsiTheme="minorEastAsia" w:cs="Arial"/>
          <w:sz w:val="20"/>
          <w:szCs w:val="20"/>
        </w:rPr>
        <w:t xml:space="preserve">Lee, X., </w:t>
      </w:r>
      <w:proofErr w:type="spellStart"/>
      <w:r w:rsidRPr="00B26469">
        <w:rPr>
          <w:rFonts w:asciiTheme="minorEastAsia" w:hAnsiTheme="minorEastAsia" w:cs="Arial"/>
          <w:sz w:val="20"/>
          <w:szCs w:val="20"/>
        </w:rPr>
        <w:t>Massman</w:t>
      </w:r>
      <w:proofErr w:type="spellEnd"/>
      <w:r w:rsidRPr="00B26469">
        <w:rPr>
          <w:rFonts w:asciiTheme="minorEastAsia" w:hAnsiTheme="minorEastAsia" w:cs="Arial"/>
          <w:sz w:val="20"/>
          <w:szCs w:val="20"/>
        </w:rPr>
        <w:t xml:space="preserve">, W., &amp; Law, B. (Eds.). (2004). </w:t>
      </w:r>
      <w:r w:rsidRPr="00E44B79">
        <w:rPr>
          <w:rFonts w:asciiTheme="minorEastAsia" w:hAnsiTheme="minorEastAsia" w:cs="Arial"/>
          <w:i/>
          <w:iCs/>
          <w:sz w:val="20"/>
          <w:szCs w:val="20"/>
        </w:rPr>
        <w:t>Handbook of micrometeorology: a guide for surface flux measurement and analysis</w:t>
      </w:r>
      <w:r w:rsidRPr="00B26469">
        <w:rPr>
          <w:rFonts w:asciiTheme="minorEastAsia" w:hAnsiTheme="minorEastAsia" w:cs="Arial"/>
          <w:sz w:val="20"/>
          <w:szCs w:val="20"/>
        </w:rPr>
        <w:t xml:space="preserve"> (Vol. 29). Springer Science &amp; Business Media.</w:t>
      </w:r>
    </w:p>
    <w:p w14:paraId="71B02A3F" w14:textId="77777777" w:rsidR="00C64F20" w:rsidRDefault="00C64F20" w:rsidP="00C64F20">
      <w:pPr>
        <w:spacing w:line="240" w:lineRule="auto"/>
        <w:ind w:left="720" w:hanging="720"/>
        <w:rPr>
          <w:rFonts w:asciiTheme="minorEastAsia" w:hAnsiTheme="minorEastAsia" w:cs="Arial"/>
          <w:sz w:val="20"/>
          <w:szCs w:val="20"/>
        </w:rPr>
      </w:pPr>
      <w:r w:rsidRPr="0042687E">
        <w:rPr>
          <w:rFonts w:asciiTheme="minorEastAsia" w:hAnsiTheme="minorEastAsia" w:cs="Arial"/>
          <w:sz w:val="20"/>
          <w:szCs w:val="20"/>
        </w:rPr>
        <w:t xml:space="preserve">Lu, P., Urban, L., &amp; Zhao, P. (2004). </w:t>
      </w:r>
      <w:proofErr w:type="spellStart"/>
      <w:r w:rsidRPr="0042687E">
        <w:rPr>
          <w:rFonts w:asciiTheme="minorEastAsia" w:hAnsiTheme="minorEastAsia" w:cs="Arial"/>
          <w:sz w:val="20"/>
          <w:szCs w:val="20"/>
        </w:rPr>
        <w:t>Granier's</w:t>
      </w:r>
      <w:proofErr w:type="spellEnd"/>
      <w:r w:rsidRPr="0042687E">
        <w:rPr>
          <w:rFonts w:asciiTheme="minorEastAsia" w:hAnsiTheme="minorEastAsia" w:cs="Arial"/>
          <w:sz w:val="20"/>
          <w:szCs w:val="20"/>
        </w:rPr>
        <w:t xml:space="preserve"> thermal dissipation probe (TDP) method for measuring sap flow in trees: theory and practice</w:t>
      </w:r>
      <w:r w:rsidRPr="00E44B79">
        <w:rPr>
          <w:rFonts w:asciiTheme="minorEastAsia" w:hAnsiTheme="minorEastAsia" w:cs="Arial"/>
          <w:i/>
          <w:iCs/>
          <w:sz w:val="20"/>
          <w:szCs w:val="20"/>
        </w:rPr>
        <w:t>. ACTA BOTANICA SINICA-ENGLISH EDITION-, 46</w:t>
      </w:r>
      <w:r w:rsidRPr="0042687E">
        <w:rPr>
          <w:rFonts w:asciiTheme="minorEastAsia" w:hAnsiTheme="minorEastAsia" w:cs="Arial"/>
          <w:sz w:val="20"/>
          <w:szCs w:val="20"/>
        </w:rPr>
        <w:t>(6), 631-646.</w:t>
      </w:r>
    </w:p>
    <w:p w14:paraId="0E51B0C5" w14:textId="77777777" w:rsidR="00C64F20" w:rsidRDefault="00C64F20" w:rsidP="00C64F20">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Martin, T. A., Johnsen, K. H., &amp; White, T. L. (2001). Ideotype development in southern pines: rationale and strategies for overcoming scale-related obstacles. </w:t>
      </w:r>
      <w:r w:rsidRPr="0069495B">
        <w:rPr>
          <w:rFonts w:asciiTheme="minorEastAsia" w:hAnsiTheme="minorEastAsia" w:cs="Arial"/>
          <w:i/>
          <w:iCs/>
          <w:sz w:val="20"/>
          <w:szCs w:val="20"/>
        </w:rPr>
        <w:t>Forest Science</w:t>
      </w:r>
      <w:r w:rsidRPr="0069495B">
        <w:rPr>
          <w:rFonts w:asciiTheme="minorEastAsia" w:hAnsiTheme="minorEastAsia" w:cs="Arial"/>
          <w:sz w:val="20"/>
          <w:szCs w:val="20"/>
        </w:rPr>
        <w:t>, </w:t>
      </w:r>
      <w:r w:rsidRPr="0069495B">
        <w:rPr>
          <w:rFonts w:asciiTheme="minorEastAsia" w:hAnsiTheme="minorEastAsia" w:cs="Arial"/>
          <w:i/>
          <w:iCs/>
          <w:sz w:val="20"/>
          <w:szCs w:val="20"/>
        </w:rPr>
        <w:t>47</w:t>
      </w:r>
      <w:r w:rsidRPr="0069495B">
        <w:rPr>
          <w:rFonts w:asciiTheme="minorEastAsia" w:hAnsiTheme="minorEastAsia" w:cs="Arial"/>
          <w:sz w:val="20"/>
          <w:szCs w:val="20"/>
        </w:rPr>
        <w:t>(1), 21-28.</w:t>
      </w:r>
    </w:p>
    <w:p w14:paraId="6EF72F09" w14:textId="77777777" w:rsidR="00C64F20" w:rsidRPr="0069495B" w:rsidRDefault="00C64F20" w:rsidP="00C64F20">
      <w:pPr>
        <w:spacing w:line="240" w:lineRule="auto"/>
        <w:ind w:left="720" w:hanging="720"/>
        <w:rPr>
          <w:rFonts w:asciiTheme="minorEastAsia" w:hAnsiTheme="minorEastAsia" w:cs="Arial"/>
          <w:sz w:val="20"/>
          <w:szCs w:val="20"/>
        </w:rPr>
      </w:pPr>
      <w:r w:rsidRPr="00A301E8">
        <w:rPr>
          <w:rFonts w:asciiTheme="minorEastAsia" w:hAnsiTheme="minorEastAsia" w:cs="Arial"/>
          <w:sz w:val="20"/>
          <w:szCs w:val="20"/>
        </w:rPr>
        <w:t xml:space="preserve">Monteith, J., &amp; Unsworth, M. (2013). </w:t>
      </w:r>
      <w:r w:rsidRPr="00E44B79">
        <w:rPr>
          <w:rFonts w:asciiTheme="minorEastAsia" w:hAnsiTheme="minorEastAsia" w:cs="Arial"/>
          <w:i/>
          <w:iCs/>
          <w:sz w:val="20"/>
          <w:szCs w:val="20"/>
        </w:rPr>
        <w:t>Principles of environmental physics: plants, animals, and the atmosphere</w:t>
      </w:r>
      <w:r w:rsidRPr="00A301E8">
        <w:rPr>
          <w:rFonts w:asciiTheme="minorEastAsia" w:hAnsiTheme="minorEastAsia" w:cs="Arial"/>
          <w:sz w:val="20"/>
          <w:szCs w:val="20"/>
        </w:rPr>
        <w:t>. Academic Press.</w:t>
      </w:r>
    </w:p>
    <w:p w14:paraId="1BD45253" w14:textId="77777777" w:rsidR="00C64F20" w:rsidRPr="0069495B" w:rsidRDefault="00C64F20" w:rsidP="00C64F20">
      <w:pPr>
        <w:spacing w:before="240" w:line="240" w:lineRule="auto"/>
        <w:ind w:left="720" w:hanging="720"/>
        <w:rPr>
          <w:rFonts w:asciiTheme="minorEastAsia" w:hAnsiTheme="minorEastAsia" w:cs="Arial"/>
          <w:sz w:val="20"/>
          <w:szCs w:val="20"/>
        </w:rPr>
      </w:pPr>
      <w:r w:rsidRPr="0069495B">
        <w:rPr>
          <w:rFonts w:asciiTheme="minorEastAsia" w:hAnsiTheme="minorEastAsia"/>
          <w:sz w:val="20"/>
          <w:szCs w:val="20"/>
        </w:rPr>
        <w:t xml:space="preserve">Sinha, R. K. (2004). </w:t>
      </w:r>
      <w:r w:rsidRPr="0069495B">
        <w:rPr>
          <w:rFonts w:asciiTheme="minorEastAsia" w:hAnsiTheme="minorEastAsia"/>
          <w:i/>
          <w:iCs/>
          <w:sz w:val="20"/>
          <w:szCs w:val="20"/>
        </w:rPr>
        <w:t>Modern Plant Physiology</w:t>
      </w:r>
      <w:r w:rsidRPr="0069495B">
        <w:rPr>
          <w:rFonts w:asciiTheme="minorEastAsia" w:hAnsiTheme="minorEastAsia"/>
          <w:sz w:val="20"/>
          <w:szCs w:val="20"/>
        </w:rPr>
        <w:t xml:space="preserve">. Alpha science international Ltd. </w:t>
      </w:r>
    </w:p>
    <w:p w14:paraId="3B66FCEA" w14:textId="77777777" w:rsidR="00C64F20" w:rsidRPr="0069495B" w:rsidRDefault="00C64F20" w:rsidP="00C64F20">
      <w:pPr>
        <w:spacing w:before="240"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Souza, B. M., de Aguiar, A. V., </w:t>
      </w:r>
      <w:proofErr w:type="spellStart"/>
      <w:r w:rsidRPr="0069495B">
        <w:rPr>
          <w:rFonts w:asciiTheme="minorEastAsia" w:hAnsiTheme="minorEastAsia" w:cs="Arial"/>
          <w:sz w:val="20"/>
          <w:szCs w:val="20"/>
        </w:rPr>
        <w:t>Dambrat</w:t>
      </w:r>
      <w:proofErr w:type="spellEnd"/>
      <w:r w:rsidRPr="0069495B">
        <w:rPr>
          <w:rFonts w:asciiTheme="minorEastAsia" w:hAnsiTheme="minorEastAsia" w:cs="Arial"/>
          <w:sz w:val="20"/>
          <w:szCs w:val="20"/>
        </w:rPr>
        <w:t xml:space="preserve">, H. M., </w:t>
      </w:r>
      <w:proofErr w:type="spellStart"/>
      <w:r w:rsidRPr="0069495B">
        <w:rPr>
          <w:rFonts w:asciiTheme="minorEastAsia" w:hAnsiTheme="minorEastAsia" w:cs="Arial"/>
          <w:sz w:val="20"/>
          <w:szCs w:val="20"/>
        </w:rPr>
        <w:t>Galucha</w:t>
      </w:r>
      <w:proofErr w:type="spellEnd"/>
      <w:r w:rsidRPr="0069495B">
        <w:rPr>
          <w:rFonts w:asciiTheme="minorEastAsia" w:hAnsiTheme="minorEastAsia" w:cs="Arial"/>
          <w:sz w:val="20"/>
          <w:szCs w:val="20"/>
        </w:rPr>
        <w:t xml:space="preserve">, S. C., </w:t>
      </w:r>
      <w:proofErr w:type="spellStart"/>
      <w:r w:rsidRPr="0069495B">
        <w:rPr>
          <w:rFonts w:asciiTheme="minorEastAsia" w:hAnsiTheme="minorEastAsia" w:cs="Arial"/>
          <w:sz w:val="20"/>
          <w:szCs w:val="20"/>
        </w:rPr>
        <w:t>Tambarussi</w:t>
      </w:r>
      <w:proofErr w:type="spellEnd"/>
      <w:r w:rsidRPr="0069495B">
        <w:rPr>
          <w:rFonts w:asciiTheme="minorEastAsia" w:hAnsiTheme="minorEastAsia" w:cs="Arial"/>
          <w:sz w:val="20"/>
          <w:szCs w:val="20"/>
        </w:rPr>
        <w:t xml:space="preserve">, E. V., da Silva </w:t>
      </w:r>
      <w:proofErr w:type="spellStart"/>
      <w:r w:rsidRPr="0069495B">
        <w:rPr>
          <w:rFonts w:asciiTheme="minorEastAsia" w:hAnsiTheme="minorEastAsia" w:cs="Arial"/>
          <w:sz w:val="20"/>
          <w:szCs w:val="20"/>
        </w:rPr>
        <w:t>Sestrem</w:t>
      </w:r>
      <w:proofErr w:type="spellEnd"/>
      <w:r w:rsidRPr="0069495B">
        <w:rPr>
          <w:rFonts w:asciiTheme="minorEastAsia" w:hAnsiTheme="minorEastAsia" w:cs="Arial"/>
          <w:sz w:val="20"/>
          <w:szCs w:val="20"/>
        </w:rPr>
        <w:t xml:space="preserve">, M. S. C., ... &amp; </w:t>
      </w:r>
      <w:proofErr w:type="spellStart"/>
      <w:r w:rsidRPr="0069495B">
        <w:rPr>
          <w:rFonts w:asciiTheme="minorEastAsia" w:hAnsiTheme="minorEastAsia" w:cs="Arial"/>
          <w:sz w:val="20"/>
          <w:szCs w:val="20"/>
        </w:rPr>
        <w:t>Longui</w:t>
      </w:r>
      <w:proofErr w:type="spellEnd"/>
      <w:r w:rsidRPr="0069495B">
        <w:rPr>
          <w:rFonts w:asciiTheme="minorEastAsia" w:hAnsiTheme="minorEastAsia" w:cs="Arial"/>
          <w:sz w:val="20"/>
          <w:szCs w:val="20"/>
        </w:rPr>
        <w:t>, E. L. (2022). Effects of previous land use on genotype-by-environment interactions in two loblolly pine progeny tests. </w:t>
      </w:r>
      <w:r w:rsidRPr="0069495B">
        <w:rPr>
          <w:rFonts w:asciiTheme="minorEastAsia" w:hAnsiTheme="minorEastAsia" w:cs="Arial"/>
          <w:i/>
          <w:iCs/>
          <w:sz w:val="20"/>
          <w:szCs w:val="20"/>
        </w:rPr>
        <w:t>Forest Ecology and Management</w:t>
      </w:r>
      <w:r w:rsidRPr="0069495B">
        <w:rPr>
          <w:rFonts w:asciiTheme="minorEastAsia" w:hAnsiTheme="minorEastAsia" w:cs="Arial"/>
          <w:sz w:val="20"/>
          <w:szCs w:val="20"/>
        </w:rPr>
        <w:t>, </w:t>
      </w:r>
      <w:r w:rsidRPr="0069495B">
        <w:rPr>
          <w:rFonts w:asciiTheme="minorEastAsia" w:hAnsiTheme="minorEastAsia" w:cs="Arial"/>
          <w:i/>
          <w:iCs/>
          <w:sz w:val="20"/>
          <w:szCs w:val="20"/>
        </w:rPr>
        <w:t>503</w:t>
      </w:r>
      <w:r w:rsidRPr="0069495B">
        <w:rPr>
          <w:rFonts w:asciiTheme="minorEastAsia" w:hAnsiTheme="minorEastAsia" w:cs="Arial"/>
          <w:sz w:val="20"/>
          <w:szCs w:val="20"/>
        </w:rPr>
        <w:t>, 119762.</w:t>
      </w:r>
    </w:p>
    <w:p w14:paraId="790170C6" w14:textId="77777777" w:rsidR="00C64F20" w:rsidRPr="0069495B" w:rsidRDefault="00C64F20" w:rsidP="00C64F20">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Vose</w:t>
      </w:r>
      <w:proofErr w:type="spellEnd"/>
      <w:r w:rsidRPr="0069495B">
        <w:rPr>
          <w:rFonts w:asciiTheme="minorEastAsia" w:hAnsiTheme="minorEastAsia" w:cs="Arial"/>
          <w:sz w:val="20"/>
          <w:szCs w:val="20"/>
        </w:rPr>
        <w:t xml:space="preserve">, J. M., &amp; Allen, H. L. (1988). Leaf area, </w:t>
      </w:r>
      <w:proofErr w:type="spellStart"/>
      <w:r w:rsidRPr="0069495B">
        <w:rPr>
          <w:rFonts w:asciiTheme="minorEastAsia" w:hAnsiTheme="minorEastAsia" w:cs="Arial"/>
          <w:sz w:val="20"/>
          <w:szCs w:val="20"/>
        </w:rPr>
        <w:t>stemwood</w:t>
      </w:r>
      <w:proofErr w:type="spellEnd"/>
      <w:r w:rsidRPr="0069495B">
        <w:rPr>
          <w:rFonts w:asciiTheme="minorEastAsia" w:hAnsiTheme="minorEastAsia" w:cs="Arial"/>
          <w:sz w:val="20"/>
          <w:szCs w:val="20"/>
        </w:rPr>
        <w:t xml:space="preserve"> growth, and nutrition relationships in loblolly pine. </w:t>
      </w:r>
      <w:r w:rsidRPr="0069495B">
        <w:rPr>
          <w:rFonts w:asciiTheme="minorEastAsia" w:hAnsiTheme="minorEastAsia" w:cs="Arial"/>
          <w:i/>
          <w:iCs/>
          <w:sz w:val="20"/>
          <w:szCs w:val="20"/>
        </w:rPr>
        <w:t>Forest science</w:t>
      </w:r>
      <w:r w:rsidRPr="0069495B">
        <w:rPr>
          <w:rFonts w:asciiTheme="minorEastAsia" w:hAnsiTheme="minorEastAsia" w:cs="Arial"/>
          <w:sz w:val="20"/>
          <w:szCs w:val="20"/>
        </w:rPr>
        <w:t>, </w:t>
      </w:r>
      <w:r w:rsidRPr="0069495B">
        <w:rPr>
          <w:rFonts w:asciiTheme="minorEastAsia" w:hAnsiTheme="minorEastAsia" w:cs="Arial"/>
          <w:i/>
          <w:iCs/>
          <w:sz w:val="20"/>
          <w:szCs w:val="20"/>
        </w:rPr>
        <w:t>34</w:t>
      </w:r>
      <w:r w:rsidRPr="0069495B">
        <w:rPr>
          <w:rFonts w:asciiTheme="minorEastAsia" w:hAnsiTheme="minorEastAsia" w:cs="Arial"/>
          <w:sz w:val="20"/>
          <w:szCs w:val="20"/>
        </w:rPr>
        <w:t xml:space="preserve">(3), 547-563. </w:t>
      </w:r>
    </w:p>
    <w:p w14:paraId="47505EFB" w14:textId="77777777" w:rsidR="00C64F20" w:rsidRPr="0069495B" w:rsidRDefault="00C64F20" w:rsidP="00C64F20">
      <w:pPr>
        <w:spacing w:before="240" w:line="240" w:lineRule="auto"/>
        <w:ind w:left="720" w:hanging="720"/>
        <w:rPr>
          <w:rFonts w:asciiTheme="minorEastAsia" w:hAnsiTheme="minorEastAsia" w:cs="Arial"/>
          <w:sz w:val="20"/>
          <w:szCs w:val="20"/>
        </w:rPr>
      </w:pPr>
      <w:proofErr w:type="spellStart"/>
      <w:r w:rsidRPr="0069495B">
        <w:rPr>
          <w:rFonts w:asciiTheme="minorEastAsia" w:hAnsiTheme="minorEastAsia" w:cs="Arial"/>
          <w:sz w:val="20"/>
          <w:szCs w:val="20"/>
        </w:rPr>
        <w:t>Vose</w:t>
      </w:r>
      <w:proofErr w:type="spellEnd"/>
      <w:r w:rsidRPr="0069495B">
        <w:rPr>
          <w:rFonts w:asciiTheme="minorEastAsia" w:hAnsiTheme="minorEastAsia" w:cs="Arial"/>
          <w:sz w:val="20"/>
          <w:szCs w:val="20"/>
        </w:rPr>
        <w:t>, J. M., Harvey, G. J., Elliott, K. J., &amp; Clinton, B. D. (2003). Measuring and modeling tree and stand level transpiration. </w:t>
      </w:r>
      <w:r w:rsidRPr="0069495B">
        <w:rPr>
          <w:rFonts w:asciiTheme="minorEastAsia" w:hAnsiTheme="minorEastAsia" w:cs="Arial"/>
          <w:i/>
          <w:iCs/>
          <w:sz w:val="20"/>
          <w:szCs w:val="20"/>
        </w:rPr>
        <w:t>Phytoremediation: transformation and control of contaminants</w:t>
      </w:r>
      <w:r w:rsidRPr="0069495B">
        <w:rPr>
          <w:rFonts w:asciiTheme="minorEastAsia" w:hAnsiTheme="minorEastAsia" w:cs="Arial"/>
          <w:sz w:val="20"/>
          <w:szCs w:val="20"/>
        </w:rPr>
        <w:t>, 263-282.</w:t>
      </w:r>
    </w:p>
    <w:p w14:paraId="7158912E" w14:textId="77777777" w:rsidR="00C64F20" w:rsidRPr="0069495B" w:rsidRDefault="00C64F20" w:rsidP="00C64F20">
      <w:pPr>
        <w:spacing w:line="240" w:lineRule="auto"/>
        <w:ind w:left="720" w:hanging="720"/>
        <w:rPr>
          <w:rFonts w:asciiTheme="minorEastAsia" w:hAnsiTheme="minorEastAsia" w:cs="Arial"/>
          <w:sz w:val="20"/>
          <w:szCs w:val="20"/>
        </w:rPr>
      </w:pPr>
      <w:r w:rsidRPr="0069495B">
        <w:rPr>
          <w:rFonts w:asciiTheme="minorEastAsia" w:hAnsiTheme="minorEastAsia" w:cs="Arial"/>
          <w:sz w:val="20"/>
          <w:szCs w:val="20"/>
        </w:rPr>
        <w:t xml:space="preserve">Wright, I. J., Reich, P. B., Westoby, M., </w:t>
      </w:r>
      <w:proofErr w:type="spellStart"/>
      <w:r w:rsidRPr="0069495B">
        <w:rPr>
          <w:rFonts w:asciiTheme="minorEastAsia" w:hAnsiTheme="minorEastAsia" w:cs="Arial"/>
          <w:sz w:val="20"/>
          <w:szCs w:val="20"/>
        </w:rPr>
        <w:t>Ackerly</w:t>
      </w:r>
      <w:proofErr w:type="spellEnd"/>
      <w:r w:rsidRPr="0069495B">
        <w:rPr>
          <w:rFonts w:asciiTheme="minorEastAsia" w:hAnsiTheme="minorEastAsia" w:cs="Arial"/>
          <w:sz w:val="20"/>
          <w:szCs w:val="20"/>
        </w:rPr>
        <w:t xml:space="preserve">, D. D., Baruch, Z., </w:t>
      </w:r>
      <w:proofErr w:type="spellStart"/>
      <w:r w:rsidRPr="0069495B">
        <w:rPr>
          <w:rFonts w:asciiTheme="minorEastAsia" w:hAnsiTheme="minorEastAsia" w:cs="Arial"/>
          <w:sz w:val="20"/>
          <w:szCs w:val="20"/>
        </w:rPr>
        <w:t>Bongers</w:t>
      </w:r>
      <w:proofErr w:type="spellEnd"/>
      <w:r w:rsidRPr="0069495B">
        <w:rPr>
          <w:rFonts w:asciiTheme="minorEastAsia" w:hAnsiTheme="minorEastAsia" w:cs="Arial"/>
          <w:sz w:val="20"/>
          <w:szCs w:val="20"/>
        </w:rPr>
        <w:t>, F., ... &amp; Villar, R. (2004). The worldwide leaf economics spectrum. </w:t>
      </w:r>
      <w:r w:rsidRPr="0069495B">
        <w:rPr>
          <w:rFonts w:asciiTheme="minorEastAsia" w:hAnsiTheme="minorEastAsia" w:cs="Arial"/>
          <w:i/>
          <w:iCs/>
          <w:sz w:val="20"/>
          <w:szCs w:val="20"/>
        </w:rPr>
        <w:t>Nature</w:t>
      </w:r>
      <w:r w:rsidRPr="0069495B">
        <w:rPr>
          <w:rFonts w:asciiTheme="minorEastAsia" w:hAnsiTheme="minorEastAsia" w:cs="Arial"/>
          <w:sz w:val="20"/>
          <w:szCs w:val="20"/>
        </w:rPr>
        <w:t>, </w:t>
      </w:r>
      <w:r w:rsidRPr="0069495B">
        <w:rPr>
          <w:rFonts w:asciiTheme="minorEastAsia" w:hAnsiTheme="minorEastAsia" w:cs="Arial"/>
          <w:i/>
          <w:iCs/>
          <w:sz w:val="20"/>
          <w:szCs w:val="20"/>
        </w:rPr>
        <w:t>428</w:t>
      </w:r>
      <w:r w:rsidRPr="0069495B">
        <w:rPr>
          <w:rFonts w:asciiTheme="minorEastAsia" w:hAnsiTheme="minorEastAsia" w:cs="Arial"/>
          <w:sz w:val="20"/>
          <w:szCs w:val="20"/>
        </w:rPr>
        <w:t>(6985), 821-827.</w:t>
      </w:r>
    </w:p>
    <w:p w14:paraId="6DC69548" w14:textId="77777777" w:rsidR="00C64F20" w:rsidRPr="0069495B" w:rsidRDefault="00C64F20" w:rsidP="00C64F20">
      <w:pPr>
        <w:spacing w:before="240" w:line="240" w:lineRule="auto"/>
        <w:ind w:left="720" w:hanging="720"/>
        <w:rPr>
          <w:rStyle w:val="xhotkey-layer"/>
          <w:rFonts w:asciiTheme="minorEastAsia" w:hAnsiTheme="minorEastAsia" w:cs="Arial"/>
          <w:sz w:val="20"/>
          <w:szCs w:val="20"/>
        </w:rPr>
      </w:pPr>
      <w:r w:rsidRPr="0069495B">
        <w:rPr>
          <w:rFonts w:asciiTheme="minorEastAsia" w:hAnsiTheme="minorEastAsia" w:cs="Arial"/>
          <w:sz w:val="20"/>
          <w:szCs w:val="20"/>
        </w:rPr>
        <w:t>Zhang, Y. J., Rockwell, F. E., Graham, A. C., Alexander, T., &amp; Holbrook, N. M. (2016). Reversible leaf xylem collapse: a potential “circuit breaker” against cavitation. </w:t>
      </w:r>
      <w:r w:rsidRPr="0069495B">
        <w:rPr>
          <w:rFonts w:asciiTheme="minorEastAsia" w:hAnsiTheme="minorEastAsia" w:cs="Arial"/>
          <w:i/>
          <w:iCs/>
          <w:sz w:val="20"/>
          <w:szCs w:val="20"/>
        </w:rPr>
        <w:t>Plant Physiology</w:t>
      </w:r>
      <w:r w:rsidRPr="0069495B">
        <w:rPr>
          <w:rFonts w:asciiTheme="minorEastAsia" w:hAnsiTheme="minorEastAsia" w:cs="Arial"/>
          <w:sz w:val="20"/>
          <w:szCs w:val="20"/>
        </w:rPr>
        <w:t>, </w:t>
      </w:r>
      <w:r w:rsidRPr="0069495B">
        <w:rPr>
          <w:rFonts w:asciiTheme="minorEastAsia" w:hAnsiTheme="minorEastAsia" w:cs="Arial"/>
          <w:i/>
          <w:iCs/>
          <w:sz w:val="20"/>
          <w:szCs w:val="20"/>
        </w:rPr>
        <w:t>172</w:t>
      </w:r>
      <w:r w:rsidRPr="0069495B">
        <w:rPr>
          <w:rFonts w:asciiTheme="minorEastAsia" w:hAnsiTheme="minorEastAsia" w:cs="Arial"/>
          <w:sz w:val="20"/>
          <w:szCs w:val="20"/>
        </w:rPr>
        <w:t>(4), 2261-2274.</w:t>
      </w:r>
    </w:p>
    <w:p w14:paraId="4AA7BEBE" w14:textId="77777777" w:rsidR="000D26B3" w:rsidRDefault="000D26B3"/>
    <w:sectPr w:rsidR="000D26B3" w:rsidSect="00C40DA1">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zura Liu" w:date="2022-09-18T23:01:00Z" w:initials="AL">
    <w:p w14:paraId="37AF5092" w14:textId="77777777" w:rsidR="00FE0A1A" w:rsidRDefault="00FE0A1A" w:rsidP="005E2168">
      <w:pPr>
        <w:pStyle w:val="CommentText"/>
      </w:pPr>
      <w:r>
        <w:rPr>
          <w:rStyle w:val="CommentReference"/>
        </w:rPr>
        <w:annotationRef/>
      </w:r>
      <w:r>
        <w:t>Which block</w:t>
      </w:r>
    </w:p>
  </w:comment>
  <w:comment w:id="2" w:author="Azura Liu" w:date="2022-09-18T22:19:00Z" w:initials="AL">
    <w:p w14:paraId="04073799" w14:textId="148DD078" w:rsidR="008315CC" w:rsidRDefault="008315CC" w:rsidP="00DA340E">
      <w:pPr>
        <w:pStyle w:val="CommentText"/>
      </w:pPr>
      <w:r>
        <w:rPr>
          <w:rStyle w:val="CommentReference"/>
        </w:rPr>
        <w:annotationRef/>
      </w:r>
      <w:r>
        <w:rPr>
          <w:color w:val="333333"/>
          <w:highlight w:val="white"/>
        </w:rPr>
        <w:t>Lyu, J., He, QY., Yang, J. </w:t>
      </w:r>
      <w:r>
        <w:rPr>
          <w:i/>
          <w:iCs/>
          <w:color w:val="333333"/>
          <w:highlight w:val="white"/>
        </w:rPr>
        <w:t>et al.</w:t>
      </w:r>
      <w:r>
        <w:rPr>
          <w:color w:val="333333"/>
          <w:highlight w:val="white"/>
        </w:rPr>
        <w:t> Sap flow characteristics in growing and non-growing seasons in three tree species in the semiarid Loess Plateau region of China. </w:t>
      </w:r>
      <w:r>
        <w:rPr>
          <w:i/>
          <w:iCs/>
          <w:color w:val="333333"/>
          <w:highlight w:val="white"/>
        </w:rPr>
        <w:t>Trees</w:t>
      </w:r>
      <w:r>
        <w:rPr>
          <w:color w:val="333333"/>
          <w:highlight w:val="white"/>
        </w:rPr>
        <w:t> </w:t>
      </w:r>
      <w:r>
        <w:rPr>
          <w:b/>
          <w:bCs/>
          <w:color w:val="333333"/>
          <w:highlight w:val="white"/>
        </w:rPr>
        <w:t>34</w:t>
      </w:r>
      <w:r>
        <w:rPr>
          <w:color w:val="333333"/>
          <w:highlight w:val="white"/>
        </w:rPr>
        <w:t>, 943–955 (2020). https://doi.org/10.1007/s00468-020-01972-1</w:t>
      </w:r>
      <w:r>
        <w:t xml:space="preserve"> </w:t>
      </w:r>
    </w:p>
  </w:comment>
  <w:comment w:id="3" w:author="Azura Liu" w:date="2022-09-18T23:07:00Z" w:initials="AL">
    <w:p w14:paraId="3E6BD3DF" w14:textId="77777777" w:rsidR="00B905AA" w:rsidRDefault="00B905AA" w:rsidP="00C0557D">
      <w:pPr>
        <w:pStyle w:val="CommentText"/>
      </w:pPr>
      <w:r>
        <w:rPr>
          <w:rStyle w:val="CommentReference"/>
        </w:rPr>
        <w:annotationRef/>
      </w:r>
      <w:r>
        <w:t>Seems to be all trees, 752 tree diameters</w:t>
      </w:r>
    </w:p>
  </w:comment>
  <w:comment w:id="4" w:author="Azura Liu" w:date="2022-09-18T23:42:00Z" w:initials="AL">
    <w:p w14:paraId="38D658E5" w14:textId="77777777" w:rsidR="00BA6EF3" w:rsidRDefault="00BA6EF3" w:rsidP="00227EDB">
      <w:pPr>
        <w:pStyle w:val="CommentText"/>
      </w:pPr>
      <w:r>
        <w:rPr>
          <w:rStyle w:val="CommentReference"/>
        </w:rPr>
        <w:annotationRef/>
      </w:r>
      <w:r>
        <w:t>Which block</w:t>
      </w:r>
    </w:p>
  </w:comment>
  <w:comment w:id="5" w:author="Azura Liu" w:date="2022-09-18T23:16:00Z" w:initials="AL">
    <w:p w14:paraId="15CBE84A" w14:textId="6F8CE2AF" w:rsidR="005A198F" w:rsidRDefault="005A198F" w:rsidP="00160660">
      <w:pPr>
        <w:pStyle w:val="CommentText"/>
      </w:pPr>
      <w:r>
        <w:rPr>
          <w:rStyle w:val="CommentReference"/>
        </w:rPr>
        <w:annotationRef/>
      </w:r>
      <w:r>
        <w:t>reference</w:t>
      </w:r>
    </w:p>
  </w:comment>
  <w:comment w:id="6" w:author="Azura Liu" w:date="2022-09-18T23:38:00Z" w:initials="AL">
    <w:p w14:paraId="381277A8" w14:textId="77777777" w:rsidR="003F08F7" w:rsidRDefault="003F08F7" w:rsidP="00182CCE">
      <w:pPr>
        <w:pStyle w:val="CommentText"/>
      </w:pPr>
      <w:r>
        <w:rPr>
          <w:rStyle w:val="CommentReference"/>
        </w:rPr>
        <w:annotationRef/>
      </w:r>
      <w:r>
        <w:t>Not sure</w:t>
      </w:r>
    </w:p>
  </w:comment>
  <w:comment w:id="7" w:author="Azura Liu" w:date="2022-09-18T23:21:00Z" w:initials="AL">
    <w:p w14:paraId="351B820F" w14:textId="6F5410C2" w:rsidR="0086227F" w:rsidRDefault="0086227F" w:rsidP="005C4C1A">
      <w:pPr>
        <w:pStyle w:val="CommentText"/>
      </w:pPr>
      <w:r>
        <w:rPr>
          <w:rStyle w:val="CommentReference"/>
        </w:rPr>
        <w:annotationRef/>
      </w:r>
      <w:r>
        <w:rPr>
          <w:color w:val="222222"/>
          <w:highlight w:val="white"/>
        </w:rPr>
        <w:t>Vastaranta, M., Holopainen, M., Yu, X., Hyyppä, J., Mäkinen, A., Rasinmäki, J., Melkas, T., et al. (2011). Effects of Individual Tree Detection Error Sources on Forest Management Planning Calculations. </w:t>
      </w:r>
      <w:r>
        <w:rPr>
          <w:i/>
          <w:iCs/>
          <w:color w:val="222222"/>
          <w:highlight w:val="white"/>
        </w:rPr>
        <w:t xml:space="preserve">Remote Sensing, 3(8), 1614–1626. MDPI AG. Retrieved from </w:t>
      </w:r>
      <w:hyperlink r:id="rId1" w:history="1">
        <w:r w:rsidRPr="005C4C1A">
          <w:rPr>
            <w:rStyle w:val="Hyperlink"/>
            <w:i/>
            <w:iCs/>
            <w:highlight w:val="white"/>
          </w:rPr>
          <w:t>http://dx.doi.org/10.3390/rs3081614</w:t>
        </w:r>
      </w:hyperlink>
    </w:p>
  </w:comment>
  <w:comment w:id="8" w:author="Azura Liu" w:date="2022-09-18T23:50:00Z" w:initials="AL">
    <w:p w14:paraId="7B2BAD8B" w14:textId="77777777" w:rsidR="00000A4F" w:rsidRDefault="00000A4F" w:rsidP="00B657DE">
      <w:pPr>
        <w:pStyle w:val="CommentText"/>
      </w:pPr>
      <w:r>
        <w:rPr>
          <w:rStyle w:val="CommentReference"/>
        </w:rPr>
        <w:annotationRef/>
      </w:r>
      <w:r>
        <w:t xml:space="preserve">Granier A, Bréda N, Biron P, Villette S (1999) A lumped water balance model to evaluate duration and intensity of drought constraints in forest stands. Ecol Model 116:269–283. https://doi.org/10.1016/ S0304-3800(98)00205-1 </w:t>
      </w:r>
    </w:p>
  </w:comment>
  <w:comment w:id="9" w:author="Azura Liu" w:date="2022-08-26T11:49:00Z" w:initials="AL">
    <w:p w14:paraId="0E02DBDC" w14:textId="75C5250B" w:rsidR="00AC22D6" w:rsidRDefault="00AC22D6" w:rsidP="00484869">
      <w:pPr>
        <w:pStyle w:val="CommentText"/>
      </w:pPr>
      <w:r>
        <w:rPr>
          <w:rStyle w:val="CommentReference"/>
        </w:rPr>
        <w:annotationRef/>
      </w:r>
      <w:hyperlink r:id="rId2" w:history="1">
        <w:r w:rsidRPr="00484869">
          <w:rPr>
            <w:rStyle w:val="Hyperlink"/>
          </w:rPr>
          <w:t>https://nicholas.duke.edu/sites/default/files/documents/Effective_discussion.pdf</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AF5092" w15:done="0"/>
  <w15:commentEx w15:paraId="04073799" w15:done="0"/>
  <w15:commentEx w15:paraId="3E6BD3DF" w15:done="0"/>
  <w15:commentEx w15:paraId="38D658E5" w15:done="0"/>
  <w15:commentEx w15:paraId="15CBE84A" w15:done="0"/>
  <w15:commentEx w15:paraId="381277A8" w15:done="0"/>
  <w15:commentEx w15:paraId="351B820F" w15:done="0"/>
  <w15:commentEx w15:paraId="7B2BAD8B" w15:done="0"/>
  <w15:commentEx w15:paraId="0E02DB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221E5" w16cex:dateUtc="2022-09-19T03:01:00Z"/>
  <w16cex:commentExtensible w16cex:durableId="26D21804" w16cex:dateUtc="2022-09-19T02:19:00Z"/>
  <w16cex:commentExtensible w16cex:durableId="26D2231D" w16cex:dateUtc="2022-09-19T03:07:00Z"/>
  <w16cex:commentExtensible w16cex:durableId="26D22B4E" w16cex:dateUtc="2022-09-19T03:42:00Z"/>
  <w16cex:commentExtensible w16cex:durableId="26D22543" w16cex:dateUtc="2022-09-19T03:16:00Z"/>
  <w16cex:commentExtensible w16cex:durableId="26D22A58" w16cex:dateUtc="2022-09-19T03:38:00Z"/>
  <w16cex:commentExtensible w16cex:durableId="26D22693" w16cex:dateUtc="2022-09-19T03:21:00Z"/>
  <w16cex:commentExtensible w16cex:durableId="26D22D2B" w16cex:dateUtc="2022-09-19T03:50:00Z"/>
  <w16cex:commentExtensible w16cex:durableId="26B331BD" w16cex:dateUtc="2022-08-26T1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AF5092" w16cid:durableId="26D221E5"/>
  <w16cid:commentId w16cid:paraId="04073799" w16cid:durableId="26D21804"/>
  <w16cid:commentId w16cid:paraId="3E6BD3DF" w16cid:durableId="26D2231D"/>
  <w16cid:commentId w16cid:paraId="38D658E5" w16cid:durableId="26D22B4E"/>
  <w16cid:commentId w16cid:paraId="15CBE84A" w16cid:durableId="26D22543"/>
  <w16cid:commentId w16cid:paraId="381277A8" w16cid:durableId="26D22A58"/>
  <w16cid:commentId w16cid:paraId="351B820F" w16cid:durableId="26D22693"/>
  <w16cid:commentId w16cid:paraId="7B2BAD8B" w16cid:durableId="26D22D2B"/>
  <w16cid:commentId w16cid:paraId="0E02DBDC" w16cid:durableId="26B331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12259" w14:textId="77777777" w:rsidR="00CE76FD" w:rsidRDefault="00CE76FD" w:rsidP="008B5BBB">
      <w:pPr>
        <w:spacing w:after="0" w:line="240" w:lineRule="auto"/>
      </w:pPr>
      <w:r>
        <w:separator/>
      </w:r>
    </w:p>
  </w:endnote>
  <w:endnote w:type="continuationSeparator" w:id="0">
    <w:p w14:paraId="1C17FE9D" w14:textId="77777777" w:rsidR="00CE76FD" w:rsidRDefault="00CE76FD" w:rsidP="008B5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penSans">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044973"/>
      <w:docPartObj>
        <w:docPartGallery w:val="Page Numbers (Bottom of Page)"/>
        <w:docPartUnique/>
      </w:docPartObj>
    </w:sdtPr>
    <w:sdtEndPr>
      <w:rPr>
        <w:noProof/>
      </w:rPr>
    </w:sdtEndPr>
    <w:sdtContent>
      <w:p w14:paraId="138D761A" w14:textId="3D3BB348" w:rsidR="008B5BBB" w:rsidRDefault="008B5B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6077B8" w14:textId="77777777" w:rsidR="008B5BBB" w:rsidRDefault="008B5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2E22" w14:textId="77777777" w:rsidR="00CE76FD" w:rsidRDefault="00CE76FD" w:rsidP="008B5BBB">
      <w:pPr>
        <w:spacing w:after="0" w:line="240" w:lineRule="auto"/>
      </w:pPr>
      <w:r>
        <w:separator/>
      </w:r>
    </w:p>
  </w:footnote>
  <w:footnote w:type="continuationSeparator" w:id="0">
    <w:p w14:paraId="4D0720CE" w14:textId="77777777" w:rsidR="00CE76FD" w:rsidRDefault="00CE76FD" w:rsidP="008B5BB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zura Liu">
    <w15:presenceInfo w15:providerId="None" w15:userId="Azura Li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05C"/>
    <w:rsid w:val="00000A4F"/>
    <w:rsid w:val="000529E0"/>
    <w:rsid w:val="000836B4"/>
    <w:rsid w:val="000D26B3"/>
    <w:rsid w:val="00287A0F"/>
    <w:rsid w:val="003F08F7"/>
    <w:rsid w:val="004164C9"/>
    <w:rsid w:val="00441BE5"/>
    <w:rsid w:val="00466752"/>
    <w:rsid w:val="00496D7C"/>
    <w:rsid w:val="004D505C"/>
    <w:rsid w:val="0053778C"/>
    <w:rsid w:val="00545436"/>
    <w:rsid w:val="005664A2"/>
    <w:rsid w:val="005A198F"/>
    <w:rsid w:val="005F7FEF"/>
    <w:rsid w:val="00717268"/>
    <w:rsid w:val="00734443"/>
    <w:rsid w:val="007B2361"/>
    <w:rsid w:val="008315CC"/>
    <w:rsid w:val="0086227F"/>
    <w:rsid w:val="008A1FCE"/>
    <w:rsid w:val="008B5BBB"/>
    <w:rsid w:val="008C7E4F"/>
    <w:rsid w:val="00961A9C"/>
    <w:rsid w:val="009F251B"/>
    <w:rsid w:val="009F49B4"/>
    <w:rsid w:val="009F71BA"/>
    <w:rsid w:val="00A03453"/>
    <w:rsid w:val="00A372E9"/>
    <w:rsid w:val="00A75016"/>
    <w:rsid w:val="00A75655"/>
    <w:rsid w:val="00AC22D6"/>
    <w:rsid w:val="00B53547"/>
    <w:rsid w:val="00B73296"/>
    <w:rsid w:val="00B905AA"/>
    <w:rsid w:val="00B97D56"/>
    <w:rsid w:val="00BA6EF3"/>
    <w:rsid w:val="00C40DA1"/>
    <w:rsid w:val="00C64F20"/>
    <w:rsid w:val="00CE76FD"/>
    <w:rsid w:val="00D06511"/>
    <w:rsid w:val="00D2170C"/>
    <w:rsid w:val="00D913E0"/>
    <w:rsid w:val="00E3291D"/>
    <w:rsid w:val="00F97F7A"/>
    <w:rsid w:val="00FA7087"/>
    <w:rsid w:val="00FC0BB7"/>
    <w:rsid w:val="00FE0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E9DB"/>
  <w15:chartTrackingRefBased/>
  <w15:docId w15:val="{3DDC0C7B-0633-460E-BED1-4D94C602B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F20"/>
  </w:style>
  <w:style w:type="paragraph" w:styleId="Heading1">
    <w:name w:val="heading 1"/>
    <w:basedOn w:val="Normal"/>
    <w:next w:val="Normal"/>
    <w:link w:val="Heading1Char"/>
    <w:uiPriority w:val="9"/>
    <w:qFormat/>
    <w:rsid w:val="00B732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hotkey-layer">
    <w:name w:val="x_hotkey-layer"/>
    <w:basedOn w:val="DefaultParagraphFont"/>
    <w:rsid w:val="00C64F20"/>
  </w:style>
  <w:style w:type="paragraph" w:customStyle="1" w:styleId="xmsonormal">
    <w:name w:val="x_msonormal"/>
    <w:basedOn w:val="Normal"/>
    <w:rsid w:val="00C64F20"/>
    <w:pPr>
      <w:spacing w:before="100" w:beforeAutospacing="1" w:after="100" w:afterAutospacing="1" w:line="240" w:lineRule="auto"/>
    </w:pPr>
    <w:rPr>
      <w:rFonts w:ascii="Calibri" w:hAnsi="Calibri" w:cs="Calibri"/>
    </w:rPr>
  </w:style>
  <w:style w:type="table" w:styleId="TableGrid">
    <w:name w:val="Table Grid"/>
    <w:basedOn w:val="TableNormal"/>
    <w:uiPriority w:val="39"/>
    <w:rsid w:val="00C64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F7FE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AC22D6"/>
    <w:rPr>
      <w:sz w:val="16"/>
      <w:szCs w:val="16"/>
    </w:rPr>
  </w:style>
  <w:style w:type="paragraph" w:styleId="CommentText">
    <w:name w:val="annotation text"/>
    <w:basedOn w:val="Normal"/>
    <w:link w:val="CommentTextChar"/>
    <w:uiPriority w:val="99"/>
    <w:unhideWhenUsed/>
    <w:rsid w:val="00AC22D6"/>
    <w:pPr>
      <w:spacing w:line="240" w:lineRule="auto"/>
    </w:pPr>
    <w:rPr>
      <w:sz w:val="20"/>
      <w:szCs w:val="20"/>
    </w:rPr>
  </w:style>
  <w:style w:type="character" w:customStyle="1" w:styleId="CommentTextChar">
    <w:name w:val="Comment Text Char"/>
    <w:basedOn w:val="DefaultParagraphFont"/>
    <w:link w:val="CommentText"/>
    <w:uiPriority w:val="99"/>
    <w:rsid w:val="00AC22D6"/>
    <w:rPr>
      <w:sz w:val="20"/>
      <w:szCs w:val="20"/>
    </w:rPr>
  </w:style>
  <w:style w:type="paragraph" w:styleId="CommentSubject">
    <w:name w:val="annotation subject"/>
    <w:basedOn w:val="CommentText"/>
    <w:next w:val="CommentText"/>
    <w:link w:val="CommentSubjectChar"/>
    <w:uiPriority w:val="99"/>
    <w:semiHidden/>
    <w:unhideWhenUsed/>
    <w:rsid w:val="00AC22D6"/>
    <w:rPr>
      <w:b/>
      <w:bCs/>
    </w:rPr>
  </w:style>
  <w:style w:type="character" w:customStyle="1" w:styleId="CommentSubjectChar">
    <w:name w:val="Comment Subject Char"/>
    <w:basedOn w:val="CommentTextChar"/>
    <w:link w:val="CommentSubject"/>
    <w:uiPriority w:val="99"/>
    <w:semiHidden/>
    <w:rsid w:val="00AC22D6"/>
    <w:rPr>
      <w:b/>
      <w:bCs/>
      <w:sz w:val="20"/>
      <w:szCs w:val="20"/>
    </w:rPr>
  </w:style>
  <w:style w:type="character" w:styleId="Hyperlink">
    <w:name w:val="Hyperlink"/>
    <w:basedOn w:val="DefaultParagraphFont"/>
    <w:uiPriority w:val="99"/>
    <w:unhideWhenUsed/>
    <w:rsid w:val="00AC22D6"/>
    <w:rPr>
      <w:color w:val="0563C1" w:themeColor="hyperlink"/>
      <w:u w:val="single"/>
    </w:rPr>
  </w:style>
  <w:style w:type="character" w:styleId="UnresolvedMention">
    <w:name w:val="Unresolved Mention"/>
    <w:basedOn w:val="DefaultParagraphFont"/>
    <w:uiPriority w:val="99"/>
    <w:semiHidden/>
    <w:unhideWhenUsed/>
    <w:rsid w:val="00AC22D6"/>
    <w:rPr>
      <w:color w:val="605E5C"/>
      <w:shd w:val="clear" w:color="auto" w:fill="E1DFDD"/>
    </w:rPr>
  </w:style>
  <w:style w:type="paragraph" w:styleId="Date">
    <w:name w:val="Date"/>
    <w:basedOn w:val="Normal"/>
    <w:next w:val="Normal"/>
    <w:link w:val="DateChar"/>
    <w:uiPriority w:val="99"/>
    <w:semiHidden/>
    <w:unhideWhenUsed/>
    <w:rsid w:val="009F49B4"/>
  </w:style>
  <w:style w:type="character" w:customStyle="1" w:styleId="DateChar">
    <w:name w:val="Date Char"/>
    <w:basedOn w:val="DefaultParagraphFont"/>
    <w:link w:val="Date"/>
    <w:uiPriority w:val="99"/>
    <w:semiHidden/>
    <w:rsid w:val="009F49B4"/>
  </w:style>
  <w:style w:type="paragraph" w:styleId="Header">
    <w:name w:val="header"/>
    <w:basedOn w:val="Normal"/>
    <w:link w:val="HeaderChar"/>
    <w:uiPriority w:val="99"/>
    <w:unhideWhenUsed/>
    <w:rsid w:val="008B5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BBB"/>
  </w:style>
  <w:style w:type="paragraph" w:styleId="Footer">
    <w:name w:val="footer"/>
    <w:basedOn w:val="Normal"/>
    <w:link w:val="FooterChar"/>
    <w:uiPriority w:val="99"/>
    <w:unhideWhenUsed/>
    <w:rsid w:val="008B5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BBB"/>
  </w:style>
  <w:style w:type="character" w:customStyle="1" w:styleId="Heading1Char">
    <w:name w:val="Heading 1 Char"/>
    <w:basedOn w:val="DefaultParagraphFont"/>
    <w:link w:val="Heading1"/>
    <w:uiPriority w:val="9"/>
    <w:rsid w:val="00B732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3296"/>
    <w:pPr>
      <w:outlineLvl w:val="9"/>
    </w:pPr>
    <w:rPr>
      <w:lang w:eastAsia="en-US"/>
    </w:rPr>
  </w:style>
  <w:style w:type="paragraph" w:styleId="TOC2">
    <w:name w:val="toc 2"/>
    <w:basedOn w:val="Normal"/>
    <w:next w:val="Normal"/>
    <w:autoRedefine/>
    <w:uiPriority w:val="39"/>
    <w:unhideWhenUsed/>
    <w:rsid w:val="00B73296"/>
    <w:pPr>
      <w:spacing w:after="100"/>
      <w:ind w:left="220"/>
    </w:pPr>
    <w:rPr>
      <w:rFonts w:cs="Times New Roman"/>
      <w:lang w:eastAsia="en-US"/>
    </w:rPr>
  </w:style>
  <w:style w:type="paragraph" w:styleId="TOC1">
    <w:name w:val="toc 1"/>
    <w:basedOn w:val="Normal"/>
    <w:next w:val="Normal"/>
    <w:autoRedefine/>
    <w:uiPriority w:val="39"/>
    <w:unhideWhenUsed/>
    <w:rsid w:val="00B73296"/>
    <w:pPr>
      <w:spacing w:after="100"/>
    </w:pPr>
    <w:rPr>
      <w:rFonts w:cs="Times New Roman"/>
      <w:lang w:eastAsia="en-US"/>
    </w:rPr>
  </w:style>
  <w:style w:type="paragraph" w:styleId="TOC3">
    <w:name w:val="toc 3"/>
    <w:basedOn w:val="Normal"/>
    <w:next w:val="Normal"/>
    <w:autoRedefine/>
    <w:uiPriority w:val="39"/>
    <w:unhideWhenUsed/>
    <w:rsid w:val="00B73296"/>
    <w:pPr>
      <w:spacing w:after="100"/>
      <w:ind w:left="440"/>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418932">
      <w:bodyDiv w:val="1"/>
      <w:marLeft w:val="0"/>
      <w:marRight w:val="0"/>
      <w:marTop w:val="0"/>
      <w:marBottom w:val="0"/>
      <w:divBdr>
        <w:top w:val="none" w:sz="0" w:space="0" w:color="auto"/>
        <w:left w:val="none" w:sz="0" w:space="0" w:color="auto"/>
        <w:bottom w:val="none" w:sz="0" w:space="0" w:color="auto"/>
        <w:right w:val="none" w:sz="0" w:space="0" w:color="auto"/>
      </w:divBdr>
    </w:div>
    <w:div w:id="155466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nicholas.duke.edu/sites/default/files/documents/Effective_discussion.pdf" TargetMode="External"/><Relationship Id="rId1" Type="http://schemas.openxmlformats.org/officeDocument/2006/relationships/hyperlink" Target="http://dx.doi.org/10.3390/rs3081614"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58E82-EF25-4FB4-AA5C-23A7E86FC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2187</TotalTime>
  <Pages>15</Pages>
  <Words>2825</Words>
  <Characters>16106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Azura Liu</dc:creator>
  <cp:keywords/>
  <dc:description/>
  <cp:lastModifiedBy>Azura Liu</cp:lastModifiedBy>
  <cp:revision>7</cp:revision>
  <dcterms:created xsi:type="dcterms:W3CDTF">2022-08-26T14:46:00Z</dcterms:created>
  <dcterms:modified xsi:type="dcterms:W3CDTF">2022-09-30T16:06:00Z</dcterms:modified>
</cp:coreProperties>
</file>