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7EF0D" w14:textId="77777777" w:rsidR="0098066A" w:rsidRDefault="0098066A" w:rsidP="0098066A">
      <w:pPr>
        <w:jc w:val="center"/>
        <w:rPr>
          <w:rFonts w:cstheme="minorHAnsi"/>
          <w:b/>
          <w:bCs/>
          <w:color w:val="2F5496" w:themeColor="accent1" w:themeShade="BF"/>
          <w:sz w:val="44"/>
          <w:szCs w:val="44"/>
        </w:rPr>
      </w:pPr>
    </w:p>
    <w:p w14:paraId="36FAAD0D" w14:textId="77777777" w:rsidR="0098066A" w:rsidRDefault="0098066A" w:rsidP="0098066A">
      <w:pPr>
        <w:jc w:val="center"/>
        <w:rPr>
          <w:rFonts w:cstheme="minorHAnsi"/>
          <w:b/>
          <w:bCs/>
          <w:color w:val="2F5496" w:themeColor="accent1" w:themeShade="BF"/>
          <w:sz w:val="44"/>
          <w:szCs w:val="44"/>
        </w:rPr>
      </w:pPr>
    </w:p>
    <w:p w14:paraId="49CD91B5" w14:textId="77777777" w:rsidR="0098066A" w:rsidRDefault="0098066A" w:rsidP="0098066A">
      <w:pPr>
        <w:jc w:val="center"/>
        <w:rPr>
          <w:rFonts w:cstheme="minorHAnsi"/>
          <w:b/>
          <w:bCs/>
          <w:color w:val="2F5496" w:themeColor="accent1" w:themeShade="BF"/>
          <w:sz w:val="44"/>
          <w:szCs w:val="44"/>
        </w:rPr>
      </w:pPr>
      <w:r w:rsidRPr="00B22145">
        <w:rPr>
          <w:noProof/>
        </w:rPr>
        <w:drawing>
          <wp:anchor distT="0" distB="0" distL="114300" distR="114300" simplePos="0" relativeHeight="251658240" behindDoc="0" locked="0" layoutInCell="1" allowOverlap="1" wp14:anchorId="1863753C" wp14:editId="6F676625">
            <wp:simplePos x="0" y="0"/>
            <wp:positionH relativeFrom="column">
              <wp:posOffset>464820</wp:posOffset>
            </wp:positionH>
            <wp:positionV relativeFrom="paragraph">
              <wp:posOffset>525780</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6E5B9941" w14:textId="77777777" w:rsidR="0098066A" w:rsidRDefault="0098066A" w:rsidP="0098066A">
      <w:pPr>
        <w:jc w:val="center"/>
        <w:rPr>
          <w:rFonts w:cstheme="minorHAnsi"/>
          <w:b/>
          <w:bCs/>
          <w:color w:val="2F5496" w:themeColor="accent1" w:themeShade="BF"/>
          <w:sz w:val="44"/>
          <w:szCs w:val="44"/>
        </w:rPr>
      </w:pPr>
    </w:p>
    <w:p w14:paraId="4B133DE9" w14:textId="68DDF58B" w:rsidR="0098066A" w:rsidRDefault="0098066A" w:rsidP="0098066A">
      <w:pPr>
        <w:jc w:val="center"/>
        <w:rPr>
          <w:rFonts w:cstheme="minorHAnsi"/>
          <w:b/>
          <w:bCs/>
          <w:color w:val="2F5496" w:themeColor="accent1" w:themeShade="BF"/>
          <w:sz w:val="44"/>
          <w:szCs w:val="44"/>
        </w:rPr>
      </w:pPr>
    </w:p>
    <w:p w14:paraId="2621CEA8" w14:textId="7A01D1DA" w:rsidR="005E37F6" w:rsidRDefault="005E37F6" w:rsidP="0098066A">
      <w:pPr>
        <w:jc w:val="center"/>
        <w:rPr>
          <w:rFonts w:cstheme="minorHAnsi"/>
          <w:b/>
          <w:bCs/>
          <w:color w:val="2F5496" w:themeColor="accent1" w:themeShade="BF"/>
          <w:sz w:val="44"/>
          <w:szCs w:val="44"/>
        </w:rPr>
      </w:pPr>
    </w:p>
    <w:p w14:paraId="32DC9BB2" w14:textId="544DCD1C" w:rsidR="005E37F6" w:rsidRDefault="005E37F6" w:rsidP="0098066A">
      <w:pPr>
        <w:jc w:val="center"/>
        <w:rPr>
          <w:rFonts w:cstheme="minorHAnsi"/>
          <w:b/>
          <w:bCs/>
          <w:color w:val="2F5496" w:themeColor="accent1" w:themeShade="BF"/>
          <w:sz w:val="44"/>
          <w:szCs w:val="44"/>
        </w:rPr>
      </w:pPr>
    </w:p>
    <w:p w14:paraId="3C3AF1AE" w14:textId="1007D6C2" w:rsidR="0098066A" w:rsidRPr="007122BF" w:rsidRDefault="0098066A" w:rsidP="0098066A">
      <w:pPr>
        <w:jc w:val="center"/>
        <w:rPr>
          <w:b/>
          <w:color w:val="2F5496" w:themeColor="accent1" w:themeShade="BF"/>
          <w:sz w:val="32"/>
          <w:szCs w:val="32"/>
        </w:rPr>
      </w:pPr>
      <w:r w:rsidRPr="007122BF">
        <w:rPr>
          <w:rFonts w:cstheme="minorHAnsi"/>
          <w:b/>
          <w:bCs/>
          <w:color w:val="2F5496" w:themeColor="accent1" w:themeShade="BF"/>
          <w:sz w:val="44"/>
          <w:szCs w:val="44"/>
        </w:rPr>
        <w:t>WVD CAF Governance</w:t>
      </w:r>
      <w:r w:rsidRPr="007122BF">
        <w:rPr>
          <w:rFonts w:cstheme="minorHAnsi"/>
          <w:b/>
          <w:bCs/>
          <w:color w:val="2F5496" w:themeColor="accent1" w:themeShade="BF"/>
          <w:sz w:val="44"/>
          <w:szCs w:val="44"/>
        </w:rPr>
        <w:br/>
        <w:t>Security Polic</w:t>
      </w:r>
      <w:r>
        <w:rPr>
          <w:rFonts w:cstheme="minorHAnsi"/>
          <w:b/>
          <w:bCs/>
          <w:color w:val="2F5496" w:themeColor="accent1" w:themeShade="BF"/>
          <w:sz w:val="44"/>
          <w:szCs w:val="44"/>
        </w:rPr>
        <w:t>y Guidelines</w:t>
      </w:r>
    </w:p>
    <w:p w14:paraId="3C56787A" w14:textId="77777777" w:rsidR="0098066A" w:rsidRDefault="0098066A" w:rsidP="0098066A">
      <w:pPr>
        <w:rPr>
          <w:lang w:val="en-IN"/>
        </w:rPr>
      </w:pPr>
      <w:r>
        <w:br w:type="page"/>
      </w:r>
    </w:p>
    <w:sdt>
      <w:sdtPr>
        <w:rPr>
          <w:rFonts w:asciiTheme="minorHAnsi" w:eastAsiaTheme="minorHAnsi" w:hAnsiTheme="minorHAnsi" w:cstheme="minorBidi"/>
          <w:color w:val="auto"/>
          <w:sz w:val="22"/>
          <w:szCs w:val="22"/>
          <w:lang w:val="en-US"/>
        </w:rPr>
        <w:id w:val="251247518"/>
        <w:docPartObj>
          <w:docPartGallery w:val="Table of Contents"/>
          <w:docPartUnique/>
        </w:docPartObj>
      </w:sdtPr>
      <w:sdtEndPr>
        <w:rPr>
          <w:rFonts w:eastAsia="Times New Roman" w:cs="Times New Roman"/>
          <w:b/>
          <w:bCs/>
          <w:noProof/>
          <w:szCs w:val="24"/>
        </w:rPr>
      </w:sdtEndPr>
      <w:sdtContent>
        <w:p w14:paraId="5C58B91C" w14:textId="77777777" w:rsidR="0098066A" w:rsidRDefault="0098066A" w:rsidP="0098066A">
          <w:pPr>
            <w:pStyle w:val="TOCHeading"/>
            <w:jc w:val="both"/>
          </w:pPr>
          <w:r>
            <w:t>Table of Contents</w:t>
          </w:r>
        </w:p>
        <w:p w14:paraId="2AD70879" w14:textId="66B25D76" w:rsidR="00A814E4" w:rsidRDefault="0098066A">
          <w:pPr>
            <w:pStyle w:val="TOC1"/>
            <w:tabs>
              <w:tab w:val="left" w:pos="440"/>
              <w:tab w:val="right" w:leader="dot" w:pos="9350"/>
            </w:tabs>
            <w:rPr>
              <w:noProof/>
              <w:lang w:val="en-US"/>
            </w:rPr>
          </w:pPr>
          <w:r>
            <w:fldChar w:fldCharType="begin"/>
          </w:r>
          <w:r>
            <w:instrText xml:space="preserve"> TOC \o "1-4" \h \z \u </w:instrText>
          </w:r>
          <w:r>
            <w:fldChar w:fldCharType="separate"/>
          </w:r>
          <w:hyperlink w:anchor="_Toc42195163" w:history="1">
            <w:r w:rsidR="00A814E4" w:rsidRPr="00004EE3">
              <w:rPr>
                <w:rStyle w:val="Hyperlink"/>
                <w:b/>
                <w:noProof/>
              </w:rPr>
              <w:t>1.</w:t>
            </w:r>
            <w:r w:rsidR="00A814E4">
              <w:rPr>
                <w:noProof/>
                <w:lang w:val="en-US"/>
              </w:rPr>
              <w:tab/>
            </w:r>
            <w:r w:rsidR="00A814E4" w:rsidRPr="00004EE3">
              <w:rPr>
                <w:rStyle w:val="Hyperlink"/>
                <w:b/>
                <w:noProof/>
              </w:rPr>
              <w:t>Govern - Identity Baseline</w:t>
            </w:r>
            <w:r w:rsidR="00A814E4">
              <w:rPr>
                <w:noProof/>
                <w:webHidden/>
              </w:rPr>
              <w:tab/>
            </w:r>
            <w:r w:rsidR="00A814E4">
              <w:rPr>
                <w:noProof/>
                <w:webHidden/>
              </w:rPr>
              <w:fldChar w:fldCharType="begin"/>
            </w:r>
            <w:r w:rsidR="00A814E4">
              <w:rPr>
                <w:noProof/>
                <w:webHidden/>
              </w:rPr>
              <w:instrText xml:space="preserve"> PAGEREF _Toc42195163 \h </w:instrText>
            </w:r>
            <w:r w:rsidR="00A814E4">
              <w:rPr>
                <w:noProof/>
                <w:webHidden/>
              </w:rPr>
            </w:r>
            <w:r w:rsidR="00A814E4">
              <w:rPr>
                <w:noProof/>
                <w:webHidden/>
              </w:rPr>
              <w:fldChar w:fldCharType="separate"/>
            </w:r>
            <w:r w:rsidR="00A814E4">
              <w:rPr>
                <w:noProof/>
                <w:webHidden/>
              </w:rPr>
              <w:t>3</w:t>
            </w:r>
            <w:r w:rsidR="00A814E4">
              <w:rPr>
                <w:noProof/>
                <w:webHidden/>
              </w:rPr>
              <w:fldChar w:fldCharType="end"/>
            </w:r>
          </w:hyperlink>
        </w:p>
        <w:p w14:paraId="166CD7A9" w14:textId="096CDFEE" w:rsidR="00A814E4" w:rsidRDefault="00A814E4">
          <w:pPr>
            <w:pStyle w:val="TOC2"/>
            <w:tabs>
              <w:tab w:val="left" w:pos="880"/>
              <w:tab w:val="right" w:leader="dot" w:pos="9350"/>
            </w:tabs>
            <w:rPr>
              <w:rFonts w:eastAsiaTheme="minorEastAsia"/>
              <w:noProof/>
            </w:rPr>
          </w:pPr>
          <w:hyperlink w:anchor="_Toc42195164" w:history="1">
            <w:r w:rsidRPr="00004EE3">
              <w:rPr>
                <w:rStyle w:val="Hyperlink"/>
                <w:rFonts w:ascii="Calibri" w:hAnsi="Calibri" w:cs="Segoe UI Light"/>
                <w:noProof/>
              </w:rPr>
              <w:t>1.1</w:t>
            </w:r>
            <w:r>
              <w:rPr>
                <w:rFonts w:eastAsiaTheme="minorEastAsia"/>
                <w:noProof/>
              </w:rPr>
              <w:tab/>
            </w:r>
            <w:r w:rsidRPr="00004EE3">
              <w:rPr>
                <w:rStyle w:val="Hyperlink"/>
                <w:rFonts w:ascii="Calibri" w:hAnsi="Calibri" w:cs="Segoe UI Light"/>
                <w:noProof/>
              </w:rPr>
              <w:t>Hybrid Identity</w:t>
            </w:r>
            <w:r>
              <w:rPr>
                <w:noProof/>
                <w:webHidden/>
              </w:rPr>
              <w:tab/>
            </w:r>
            <w:r>
              <w:rPr>
                <w:noProof/>
                <w:webHidden/>
              </w:rPr>
              <w:fldChar w:fldCharType="begin"/>
            </w:r>
            <w:r>
              <w:rPr>
                <w:noProof/>
                <w:webHidden/>
              </w:rPr>
              <w:instrText xml:space="preserve"> PAGEREF _Toc42195164 \h </w:instrText>
            </w:r>
            <w:r>
              <w:rPr>
                <w:noProof/>
                <w:webHidden/>
              </w:rPr>
            </w:r>
            <w:r>
              <w:rPr>
                <w:noProof/>
                <w:webHidden/>
              </w:rPr>
              <w:fldChar w:fldCharType="separate"/>
            </w:r>
            <w:r>
              <w:rPr>
                <w:noProof/>
                <w:webHidden/>
              </w:rPr>
              <w:t>3</w:t>
            </w:r>
            <w:r>
              <w:rPr>
                <w:noProof/>
                <w:webHidden/>
              </w:rPr>
              <w:fldChar w:fldCharType="end"/>
            </w:r>
          </w:hyperlink>
        </w:p>
        <w:p w14:paraId="689A2FBB" w14:textId="0DB51B11" w:rsidR="00A814E4" w:rsidRDefault="00A814E4">
          <w:pPr>
            <w:pStyle w:val="TOC2"/>
            <w:tabs>
              <w:tab w:val="left" w:pos="880"/>
              <w:tab w:val="right" w:leader="dot" w:pos="9350"/>
            </w:tabs>
            <w:rPr>
              <w:rFonts w:eastAsiaTheme="minorEastAsia"/>
              <w:noProof/>
            </w:rPr>
          </w:pPr>
          <w:hyperlink w:anchor="_Toc42195165" w:history="1">
            <w:r w:rsidRPr="00004EE3">
              <w:rPr>
                <w:rStyle w:val="Hyperlink"/>
                <w:rFonts w:ascii="Calibri" w:hAnsi="Calibri" w:cs="Segoe UI Light"/>
                <w:noProof/>
              </w:rPr>
              <w:t>1.2</w:t>
            </w:r>
            <w:r>
              <w:rPr>
                <w:rFonts w:eastAsiaTheme="minorEastAsia"/>
                <w:noProof/>
              </w:rPr>
              <w:tab/>
            </w:r>
            <w:r w:rsidRPr="00004EE3">
              <w:rPr>
                <w:rStyle w:val="Hyperlink"/>
                <w:rFonts w:ascii="Calibri" w:hAnsi="Calibri" w:cs="Segoe UI Light"/>
                <w:noProof/>
              </w:rPr>
              <w:t>Identity Requirements</w:t>
            </w:r>
            <w:r>
              <w:rPr>
                <w:noProof/>
                <w:webHidden/>
              </w:rPr>
              <w:tab/>
            </w:r>
            <w:r>
              <w:rPr>
                <w:noProof/>
                <w:webHidden/>
              </w:rPr>
              <w:fldChar w:fldCharType="begin"/>
            </w:r>
            <w:r>
              <w:rPr>
                <w:noProof/>
                <w:webHidden/>
              </w:rPr>
              <w:instrText xml:space="preserve"> PAGEREF _Toc42195165 \h </w:instrText>
            </w:r>
            <w:r>
              <w:rPr>
                <w:noProof/>
                <w:webHidden/>
              </w:rPr>
            </w:r>
            <w:r>
              <w:rPr>
                <w:noProof/>
                <w:webHidden/>
              </w:rPr>
              <w:fldChar w:fldCharType="separate"/>
            </w:r>
            <w:r>
              <w:rPr>
                <w:noProof/>
                <w:webHidden/>
              </w:rPr>
              <w:t>4</w:t>
            </w:r>
            <w:r>
              <w:rPr>
                <w:noProof/>
                <w:webHidden/>
              </w:rPr>
              <w:fldChar w:fldCharType="end"/>
            </w:r>
          </w:hyperlink>
        </w:p>
        <w:p w14:paraId="7E2601C1" w14:textId="53BB2975" w:rsidR="00A814E4" w:rsidRDefault="00A814E4">
          <w:pPr>
            <w:pStyle w:val="TOC1"/>
            <w:tabs>
              <w:tab w:val="left" w:pos="440"/>
              <w:tab w:val="right" w:leader="dot" w:pos="9350"/>
            </w:tabs>
            <w:rPr>
              <w:noProof/>
              <w:lang w:val="en-US"/>
            </w:rPr>
          </w:pPr>
          <w:hyperlink w:anchor="_Toc42195166" w:history="1">
            <w:r w:rsidRPr="00004EE3">
              <w:rPr>
                <w:rStyle w:val="Hyperlink"/>
                <w:b/>
                <w:noProof/>
              </w:rPr>
              <w:t>2.</w:t>
            </w:r>
            <w:r>
              <w:rPr>
                <w:noProof/>
                <w:lang w:val="en-US"/>
              </w:rPr>
              <w:tab/>
            </w:r>
            <w:r w:rsidRPr="00004EE3">
              <w:rPr>
                <w:rStyle w:val="Hyperlink"/>
                <w:b/>
                <w:noProof/>
              </w:rPr>
              <w:t>Govern - Security Baseline</w:t>
            </w:r>
            <w:r>
              <w:rPr>
                <w:noProof/>
                <w:webHidden/>
              </w:rPr>
              <w:tab/>
            </w:r>
            <w:r>
              <w:rPr>
                <w:noProof/>
                <w:webHidden/>
              </w:rPr>
              <w:fldChar w:fldCharType="begin"/>
            </w:r>
            <w:r>
              <w:rPr>
                <w:noProof/>
                <w:webHidden/>
              </w:rPr>
              <w:instrText xml:space="preserve"> PAGEREF _Toc42195166 \h </w:instrText>
            </w:r>
            <w:r>
              <w:rPr>
                <w:noProof/>
                <w:webHidden/>
              </w:rPr>
            </w:r>
            <w:r>
              <w:rPr>
                <w:noProof/>
                <w:webHidden/>
              </w:rPr>
              <w:fldChar w:fldCharType="separate"/>
            </w:r>
            <w:r>
              <w:rPr>
                <w:noProof/>
                <w:webHidden/>
              </w:rPr>
              <w:t>4</w:t>
            </w:r>
            <w:r>
              <w:rPr>
                <w:noProof/>
                <w:webHidden/>
              </w:rPr>
              <w:fldChar w:fldCharType="end"/>
            </w:r>
          </w:hyperlink>
        </w:p>
        <w:p w14:paraId="131E4DBD" w14:textId="53C16448" w:rsidR="00A814E4" w:rsidRDefault="00A814E4">
          <w:pPr>
            <w:pStyle w:val="TOC2"/>
            <w:tabs>
              <w:tab w:val="left" w:pos="880"/>
              <w:tab w:val="right" w:leader="dot" w:pos="9350"/>
            </w:tabs>
            <w:rPr>
              <w:rFonts w:eastAsiaTheme="minorEastAsia"/>
              <w:noProof/>
            </w:rPr>
          </w:pPr>
          <w:hyperlink w:anchor="_Toc42195167" w:history="1">
            <w:r w:rsidRPr="00004EE3">
              <w:rPr>
                <w:rStyle w:val="Hyperlink"/>
                <w:rFonts w:ascii="Calibri" w:hAnsi="Calibri" w:cs="Segoe UI Light"/>
                <w:noProof/>
              </w:rPr>
              <w:t>2.1</w:t>
            </w:r>
            <w:r>
              <w:rPr>
                <w:rFonts w:eastAsiaTheme="minorEastAsia"/>
                <w:noProof/>
              </w:rPr>
              <w:tab/>
            </w:r>
            <w:r w:rsidRPr="00004EE3">
              <w:rPr>
                <w:rStyle w:val="Hyperlink"/>
                <w:rFonts w:ascii="Calibri" w:hAnsi="Calibri" w:cs="Segoe UI Light"/>
                <w:noProof/>
              </w:rPr>
              <w:t>Compliance and risk</w:t>
            </w:r>
            <w:r>
              <w:rPr>
                <w:noProof/>
                <w:webHidden/>
              </w:rPr>
              <w:tab/>
            </w:r>
            <w:r>
              <w:rPr>
                <w:noProof/>
                <w:webHidden/>
              </w:rPr>
              <w:fldChar w:fldCharType="begin"/>
            </w:r>
            <w:r>
              <w:rPr>
                <w:noProof/>
                <w:webHidden/>
              </w:rPr>
              <w:instrText xml:space="preserve"> PAGEREF _Toc42195167 \h </w:instrText>
            </w:r>
            <w:r>
              <w:rPr>
                <w:noProof/>
                <w:webHidden/>
              </w:rPr>
            </w:r>
            <w:r>
              <w:rPr>
                <w:noProof/>
                <w:webHidden/>
              </w:rPr>
              <w:fldChar w:fldCharType="separate"/>
            </w:r>
            <w:r>
              <w:rPr>
                <w:noProof/>
                <w:webHidden/>
              </w:rPr>
              <w:t>4</w:t>
            </w:r>
            <w:r>
              <w:rPr>
                <w:noProof/>
                <w:webHidden/>
              </w:rPr>
              <w:fldChar w:fldCharType="end"/>
            </w:r>
          </w:hyperlink>
        </w:p>
        <w:p w14:paraId="0C99129F" w14:textId="33D8C514" w:rsidR="00A814E4" w:rsidRDefault="00A814E4">
          <w:pPr>
            <w:pStyle w:val="TOC2"/>
            <w:tabs>
              <w:tab w:val="left" w:pos="880"/>
              <w:tab w:val="right" w:leader="dot" w:pos="9350"/>
            </w:tabs>
            <w:rPr>
              <w:rFonts w:eastAsiaTheme="minorEastAsia"/>
              <w:noProof/>
            </w:rPr>
          </w:pPr>
          <w:hyperlink w:anchor="_Toc42195168" w:history="1">
            <w:r w:rsidRPr="00004EE3">
              <w:rPr>
                <w:rStyle w:val="Hyperlink"/>
                <w:rFonts w:ascii="Calibri" w:hAnsi="Calibri" w:cs="Segoe UI Light"/>
                <w:noProof/>
              </w:rPr>
              <w:t>2.2</w:t>
            </w:r>
            <w:r>
              <w:rPr>
                <w:rFonts w:eastAsiaTheme="minorEastAsia"/>
                <w:noProof/>
              </w:rPr>
              <w:tab/>
            </w:r>
            <w:r w:rsidRPr="00004EE3">
              <w:rPr>
                <w:rStyle w:val="Hyperlink"/>
                <w:rFonts w:ascii="Calibri" w:hAnsi="Calibri" w:cs="Segoe UI Light"/>
                <w:noProof/>
              </w:rPr>
              <w:t>Data Encryption</w:t>
            </w:r>
            <w:r>
              <w:rPr>
                <w:noProof/>
                <w:webHidden/>
              </w:rPr>
              <w:tab/>
            </w:r>
            <w:r>
              <w:rPr>
                <w:noProof/>
                <w:webHidden/>
              </w:rPr>
              <w:fldChar w:fldCharType="begin"/>
            </w:r>
            <w:r>
              <w:rPr>
                <w:noProof/>
                <w:webHidden/>
              </w:rPr>
              <w:instrText xml:space="preserve"> PAGEREF _Toc42195168 \h </w:instrText>
            </w:r>
            <w:r>
              <w:rPr>
                <w:noProof/>
                <w:webHidden/>
              </w:rPr>
            </w:r>
            <w:r>
              <w:rPr>
                <w:noProof/>
                <w:webHidden/>
              </w:rPr>
              <w:fldChar w:fldCharType="separate"/>
            </w:r>
            <w:r>
              <w:rPr>
                <w:noProof/>
                <w:webHidden/>
              </w:rPr>
              <w:t>5</w:t>
            </w:r>
            <w:r>
              <w:rPr>
                <w:noProof/>
                <w:webHidden/>
              </w:rPr>
              <w:fldChar w:fldCharType="end"/>
            </w:r>
          </w:hyperlink>
        </w:p>
        <w:p w14:paraId="676C11C3" w14:textId="4690B043" w:rsidR="00A814E4" w:rsidRDefault="00A814E4">
          <w:pPr>
            <w:pStyle w:val="TOC2"/>
            <w:tabs>
              <w:tab w:val="left" w:pos="880"/>
              <w:tab w:val="right" w:leader="dot" w:pos="9350"/>
            </w:tabs>
            <w:rPr>
              <w:rFonts w:eastAsiaTheme="minorEastAsia"/>
              <w:noProof/>
            </w:rPr>
          </w:pPr>
          <w:hyperlink w:anchor="_Toc42195169" w:history="1">
            <w:r w:rsidRPr="00004EE3">
              <w:rPr>
                <w:rStyle w:val="Hyperlink"/>
                <w:rFonts w:ascii="Calibri" w:hAnsi="Calibri" w:cs="Segoe UI Light"/>
                <w:noProof/>
              </w:rPr>
              <w:t>2.3</w:t>
            </w:r>
            <w:r>
              <w:rPr>
                <w:rFonts w:eastAsiaTheme="minorEastAsia"/>
                <w:noProof/>
              </w:rPr>
              <w:tab/>
            </w:r>
            <w:r w:rsidRPr="00004EE3">
              <w:rPr>
                <w:rStyle w:val="Hyperlink"/>
                <w:rFonts w:ascii="Calibri" w:hAnsi="Calibri" w:cs="Segoe UI Light"/>
                <w:noProof/>
              </w:rPr>
              <w:t>Data Security - Encryption</w:t>
            </w:r>
            <w:r>
              <w:rPr>
                <w:noProof/>
                <w:webHidden/>
              </w:rPr>
              <w:tab/>
            </w:r>
            <w:r>
              <w:rPr>
                <w:noProof/>
                <w:webHidden/>
              </w:rPr>
              <w:fldChar w:fldCharType="begin"/>
            </w:r>
            <w:r>
              <w:rPr>
                <w:noProof/>
                <w:webHidden/>
              </w:rPr>
              <w:instrText xml:space="preserve"> PAGEREF _Toc42195169 \h </w:instrText>
            </w:r>
            <w:r>
              <w:rPr>
                <w:noProof/>
                <w:webHidden/>
              </w:rPr>
            </w:r>
            <w:r>
              <w:rPr>
                <w:noProof/>
                <w:webHidden/>
              </w:rPr>
              <w:fldChar w:fldCharType="separate"/>
            </w:r>
            <w:r>
              <w:rPr>
                <w:noProof/>
                <w:webHidden/>
              </w:rPr>
              <w:t>5</w:t>
            </w:r>
            <w:r>
              <w:rPr>
                <w:noProof/>
                <w:webHidden/>
              </w:rPr>
              <w:fldChar w:fldCharType="end"/>
            </w:r>
          </w:hyperlink>
        </w:p>
        <w:p w14:paraId="37F241ED" w14:textId="492D8C9E" w:rsidR="00A814E4" w:rsidRDefault="00A814E4">
          <w:pPr>
            <w:pStyle w:val="TOC2"/>
            <w:tabs>
              <w:tab w:val="left" w:pos="880"/>
              <w:tab w:val="right" w:leader="dot" w:pos="9350"/>
            </w:tabs>
            <w:rPr>
              <w:rFonts w:eastAsiaTheme="minorEastAsia"/>
              <w:noProof/>
            </w:rPr>
          </w:pPr>
          <w:hyperlink w:anchor="_Toc42195170" w:history="1">
            <w:r w:rsidRPr="00004EE3">
              <w:rPr>
                <w:rStyle w:val="Hyperlink"/>
                <w:rFonts w:ascii="Calibri" w:hAnsi="Calibri" w:cs="Segoe UI Light"/>
                <w:noProof/>
              </w:rPr>
              <w:t>2.4</w:t>
            </w:r>
            <w:r>
              <w:rPr>
                <w:rFonts w:eastAsiaTheme="minorEastAsia"/>
                <w:noProof/>
              </w:rPr>
              <w:tab/>
            </w:r>
            <w:r w:rsidRPr="00004EE3">
              <w:rPr>
                <w:rStyle w:val="Hyperlink"/>
                <w:rFonts w:ascii="Calibri" w:hAnsi="Calibri" w:cs="Segoe UI Light"/>
                <w:noProof/>
              </w:rPr>
              <w:t>DDoS Protection</w:t>
            </w:r>
            <w:r>
              <w:rPr>
                <w:noProof/>
                <w:webHidden/>
              </w:rPr>
              <w:tab/>
            </w:r>
            <w:r>
              <w:rPr>
                <w:noProof/>
                <w:webHidden/>
              </w:rPr>
              <w:fldChar w:fldCharType="begin"/>
            </w:r>
            <w:r>
              <w:rPr>
                <w:noProof/>
                <w:webHidden/>
              </w:rPr>
              <w:instrText xml:space="preserve"> PAGEREF _Toc42195170 \h </w:instrText>
            </w:r>
            <w:r>
              <w:rPr>
                <w:noProof/>
                <w:webHidden/>
              </w:rPr>
            </w:r>
            <w:r>
              <w:rPr>
                <w:noProof/>
                <w:webHidden/>
              </w:rPr>
              <w:fldChar w:fldCharType="separate"/>
            </w:r>
            <w:r>
              <w:rPr>
                <w:noProof/>
                <w:webHidden/>
              </w:rPr>
              <w:t>6</w:t>
            </w:r>
            <w:r>
              <w:rPr>
                <w:noProof/>
                <w:webHidden/>
              </w:rPr>
              <w:fldChar w:fldCharType="end"/>
            </w:r>
          </w:hyperlink>
        </w:p>
        <w:p w14:paraId="63D80400" w14:textId="3B33D733" w:rsidR="00A814E4" w:rsidRDefault="00A814E4">
          <w:pPr>
            <w:pStyle w:val="TOC2"/>
            <w:tabs>
              <w:tab w:val="left" w:pos="880"/>
              <w:tab w:val="right" w:leader="dot" w:pos="9350"/>
            </w:tabs>
            <w:rPr>
              <w:rFonts w:eastAsiaTheme="minorEastAsia"/>
              <w:noProof/>
            </w:rPr>
          </w:pPr>
          <w:hyperlink w:anchor="_Toc42195171" w:history="1">
            <w:r w:rsidRPr="00004EE3">
              <w:rPr>
                <w:rStyle w:val="Hyperlink"/>
                <w:rFonts w:ascii="Calibri" w:hAnsi="Calibri" w:cs="Segoe UI Light"/>
                <w:noProof/>
              </w:rPr>
              <w:t>2.5</w:t>
            </w:r>
            <w:r>
              <w:rPr>
                <w:rFonts w:eastAsiaTheme="minorEastAsia"/>
                <w:noProof/>
              </w:rPr>
              <w:tab/>
            </w:r>
            <w:r w:rsidRPr="00004EE3">
              <w:rPr>
                <w:rStyle w:val="Hyperlink"/>
                <w:rFonts w:ascii="Calibri" w:hAnsi="Calibri" w:cs="Segoe UI Light"/>
                <w:noProof/>
              </w:rPr>
              <w:t>Deployment Acceleration</w:t>
            </w:r>
            <w:r>
              <w:rPr>
                <w:noProof/>
                <w:webHidden/>
              </w:rPr>
              <w:tab/>
            </w:r>
            <w:r>
              <w:rPr>
                <w:noProof/>
                <w:webHidden/>
              </w:rPr>
              <w:fldChar w:fldCharType="begin"/>
            </w:r>
            <w:r>
              <w:rPr>
                <w:noProof/>
                <w:webHidden/>
              </w:rPr>
              <w:instrText xml:space="preserve"> PAGEREF _Toc42195171 \h </w:instrText>
            </w:r>
            <w:r>
              <w:rPr>
                <w:noProof/>
                <w:webHidden/>
              </w:rPr>
            </w:r>
            <w:r>
              <w:rPr>
                <w:noProof/>
                <w:webHidden/>
              </w:rPr>
              <w:fldChar w:fldCharType="separate"/>
            </w:r>
            <w:r>
              <w:rPr>
                <w:noProof/>
                <w:webHidden/>
              </w:rPr>
              <w:t>6</w:t>
            </w:r>
            <w:r>
              <w:rPr>
                <w:noProof/>
                <w:webHidden/>
              </w:rPr>
              <w:fldChar w:fldCharType="end"/>
            </w:r>
          </w:hyperlink>
        </w:p>
        <w:p w14:paraId="711E6B35" w14:textId="4387B7A9" w:rsidR="00A814E4" w:rsidRDefault="00A814E4">
          <w:pPr>
            <w:pStyle w:val="TOC2"/>
            <w:tabs>
              <w:tab w:val="left" w:pos="880"/>
              <w:tab w:val="right" w:leader="dot" w:pos="9350"/>
            </w:tabs>
            <w:rPr>
              <w:rFonts w:eastAsiaTheme="minorEastAsia"/>
              <w:noProof/>
            </w:rPr>
          </w:pPr>
          <w:hyperlink w:anchor="_Toc42195172" w:history="1">
            <w:r w:rsidRPr="00004EE3">
              <w:rPr>
                <w:rStyle w:val="Hyperlink"/>
                <w:rFonts w:ascii="Calibri" w:hAnsi="Calibri" w:cs="Segoe UI Light"/>
                <w:noProof/>
              </w:rPr>
              <w:t>2.6</w:t>
            </w:r>
            <w:r>
              <w:rPr>
                <w:rFonts w:eastAsiaTheme="minorEastAsia"/>
                <w:noProof/>
              </w:rPr>
              <w:tab/>
            </w:r>
            <w:r w:rsidRPr="00004EE3">
              <w:rPr>
                <w:rStyle w:val="Hyperlink"/>
                <w:rFonts w:ascii="Calibri" w:hAnsi="Calibri" w:cs="Segoe UI Light"/>
                <w:noProof/>
              </w:rPr>
              <w:t>Hybrid Network Security/Identity</w:t>
            </w:r>
            <w:r>
              <w:rPr>
                <w:noProof/>
                <w:webHidden/>
              </w:rPr>
              <w:tab/>
            </w:r>
            <w:r>
              <w:rPr>
                <w:noProof/>
                <w:webHidden/>
              </w:rPr>
              <w:fldChar w:fldCharType="begin"/>
            </w:r>
            <w:r>
              <w:rPr>
                <w:noProof/>
                <w:webHidden/>
              </w:rPr>
              <w:instrText xml:space="preserve"> PAGEREF _Toc42195172 \h </w:instrText>
            </w:r>
            <w:r>
              <w:rPr>
                <w:noProof/>
                <w:webHidden/>
              </w:rPr>
            </w:r>
            <w:r>
              <w:rPr>
                <w:noProof/>
                <w:webHidden/>
              </w:rPr>
              <w:fldChar w:fldCharType="separate"/>
            </w:r>
            <w:r>
              <w:rPr>
                <w:noProof/>
                <w:webHidden/>
              </w:rPr>
              <w:t>6</w:t>
            </w:r>
            <w:r>
              <w:rPr>
                <w:noProof/>
                <w:webHidden/>
              </w:rPr>
              <w:fldChar w:fldCharType="end"/>
            </w:r>
          </w:hyperlink>
        </w:p>
        <w:p w14:paraId="3703D015" w14:textId="73B291DC" w:rsidR="00A814E4" w:rsidRDefault="00A814E4">
          <w:pPr>
            <w:pStyle w:val="TOC2"/>
            <w:tabs>
              <w:tab w:val="left" w:pos="880"/>
              <w:tab w:val="right" w:leader="dot" w:pos="9350"/>
            </w:tabs>
            <w:rPr>
              <w:rFonts w:eastAsiaTheme="minorEastAsia"/>
              <w:noProof/>
            </w:rPr>
          </w:pPr>
          <w:hyperlink w:anchor="_Toc42195173" w:history="1">
            <w:r w:rsidRPr="00004EE3">
              <w:rPr>
                <w:rStyle w:val="Hyperlink"/>
                <w:rFonts w:ascii="Calibri" w:hAnsi="Calibri" w:cs="Segoe UI Light"/>
                <w:noProof/>
              </w:rPr>
              <w:t>2.7</w:t>
            </w:r>
            <w:r>
              <w:rPr>
                <w:rFonts w:eastAsiaTheme="minorEastAsia"/>
                <w:noProof/>
              </w:rPr>
              <w:tab/>
            </w:r>
            <w:r w:rsidRPr="00004EE3">
              <w:rPr>
                <w:rStyle w:val="Hyperlink"/>
                <w:rFonts w:ascii="Calibri" w:hAnsi="Calibri" w:cs="Segoe UI Light"/>
                <w:noProof/>
              </w:rPr>
              <w:t>Infrastructure Security</w:t>
            </w:r>
            <w:r>
              <w:rPr>
                <w:noProof/>
                <w:webHidden/>
              </w:rPr>
              <w:tab/>
            </w:r>
            <w:r>
              <w:rPr>
                <w:noProof/>
                <w:webHidden/>
              </w:rPr>
              <w:fldChar w:fldCharType="begin"/>
            </w:r>
            <w:r>
              <w:rPr>
                <w:noProof/>
                <w:webHidden/>
              </w:rPr>
              <w:instrText xml:space="preserve"> PAGEREF _Toc42195173 \h </w:instrText>
            </w:r>
            <w:r>
              <w:rPr>
                <w:noProof/>
                <w:webHidden/>
              </w:rPr>
            </w:r>
            <w:r>
              <w:rPr>
                <w:noProof/>
                <w:webHidden/>
              </w:rPr>
              <w:fldChar w:fldCharType="separate"/>
            </w:r>
            <w:r>
              <w:rPr>
                <w:noProof/>
                <w:webHidden/>
              </w:rPr>
              <w:t>7</w:t>
            </w:r>
            <w:r>
              <w:rPr>
                <w:noProof/>
                <w:webHidden/>
              </w:rPr>
              <w:fldChar w:fldCharType="end"/>
            </w:r>
          </w:hyperlink>
        </w:p>
        <w:p w14:paraId="28528AF9" w14:textId="2C3900D4" w:rsidR="00A814E4" w:rsidRDefault="00A814E4">
          <w:pPr>
            <w:pStyle w:val="TOC2"/>
            <w:tabs>
              <w:tab w:val="left" w:pos="880"/>
              <w:tab w:val="right" w:leader="dot" w:pos="9350"/>
            </w:tabs>
            <w:rPr>
              <w:rFonts w:eastAsiaTheme="minorEastAsia"/>
              <w:noProof/>
            </w:rPr>
          </w:pPr>
          <w:hyperlink w:anchor="_Toc42195174" w:history="1">
            <w:r w:rsidRPr="00004EE3">
              <w:rPr>
                <w:rStyle w:val="Hyperlink"/>
                <w:rFonts w:ascii="Calibri" w:hAnsi="Calibri" w:cs="Segoe UI Light"/>
                <w:noProof/>
              </w:rPr>
              <w:t>2.8</w:t>
            </w:r>
            <w:r>
              <w:rPr>
                <w:rFonts w:eastAsiaTheme="minorEastAsia"/>
                <w:noProof/>
              </w:rPr>
              <w:tab/>
            </w:r>
            <w:r w:rsidRPr="00004EE3">
              <w:rPr>
                <w:rStyle w:val="Hyperlink"/>
                <w:rFonts w:ascii="Calibri" w:hAnsi="Calibri" w:cs="Segoe UI Light"/>
                <w:noProof/>
              </w:rPr>
              <w:t>Monitoring Alert, Audit/Diagnostic Logs and alerting</w:t>
            </w:r>
            <w:r>
              <w:rPr>
                <w:noProof/>
                <w:webHidden/>
              </w:rPr>
              <w:tab/>
            </w:r>
            <w:r>
              <w:rPr>
                <w:noProof/>
                <w:webHidden/>
              </w:rPr>
              <w:fldChar w:fldCharType="begin"/>
            </w:r>
            <w:r>
              <w:rPr>
                <w:noProof/>
                <w:webHidden/>
              </w:rPr>
              <w:instrText xml:space="preserve"> PAGEREF _Toc42195174 \h </w:instrText>
            </w:r>
            <w:r>
              <w:rPr>
                <w:noProof/>
                <w:webHidden/>
              </w:rPr>
            </w:r>
            <w:r>
              <w:rPr>
                <w:noProof/>
                <w:webHidden/>
              </w:rPr>
              <w:fldChar w:fldCharType="separate"/>
            </w:r>
            <w:r>
              <w:rPr>
                <w:noProof/>
                <w:webHidden/>
              </w:rPr>
              <w:t>7</w:t>
            </w:r>
            <w:r>
              <w:rPr>
                <w:noProof/>
                <w:webHidden/>
              </w:rPr>
              <w:fldChar w:fldCharType="end"/>
            </w:r>
          </w:hyperlink>
        </w:p>
        <w:p w14:paraId="01AA4807" w14:textId="36768077" w:rsidR="00A814E4" w:rsidRDefault="00A814E4">
          <w:pPr>
            <w:pStyle w:val="TOC2"/>
            <w:tabs>
              <w:tab w:val="left" w:pos="880"/>
              <w:tab w:val="right" w:leader="dot" w:pos="9350"/>
            </w:tabs>
            <w:rPr>
              <w:rFonts w:eastAsiaTheme="minorEastAsia"/>
              <w:noProof/>
            </w:rPr>
          </w:pPr>
          <w:hyperlink w:anchor="_Toc42195175" w:history="1">
            <w:r w:rsidRPr="00004EE3">
              <w:rPr>
                <w:rStyle w:val="Hyperlink"/>
                <w:rFonts w:ascii="Calibri" w:hAnsi="Calibri" w:cs="Segoe UI Light"/>
                <w:noProof/>
              </w:rPr>
              <w:t>2.9</w:t>
            </w:r>
            <w:r>
              <w:rPr>
                <w:rFonts w:eastAsiaTheme="minorEastAsia"/>
                <w:noProof/>
              </w:rPr>
              <w:tab/>
            </w:r>
            <w:r w:rsidRPr="00004EE3">
              <w:rPr>
                <w:rStyle w:val="Hyperlink"/>
                <w:rFonts w:ascii="Calibri" w:hAnsi="Calibri" w:cs="Segoe UI Light"/>
                <w:noProof/>
              </w:rPr>
              <w:t>Network Security</w:t>
            </w:r>
            <w:r>
              <w:rPr>
                <w:noProof/>
                <w:webHidden/>
              </w:rPr>
              <w:tab/>
            </w:r>
            <w:r>
              <w:rPr>
                <w:noProof/>
                <w:webHidden/>
              </w:rPr>
              <w:fldChar w:fldCharType="begin"/>
            </w:r>
            <w:r>
              <w:rPr>
                <w:noProof/>
                <w:webHidden/>
              </w:rPr>
              <w:instrText xml:space="preserve"> PAGEREF _Toc42195175 \h </w:instrText>
            </w:r>
            <w:r>
              <w:rPr>
                <w:noProof/>
                <w:webHidden/>
              </w:rPr>
            </w:r>
            <w:r>
              <w:rPr>
                <w:noProof/>
                <w:webHidden/>
              </w:rPr>
              <w:fldChar w:fldCharType="separate"/>
            </w:r>
            <w:r>
              <w:rPr>
                <w:noProof/>
                <w:webHidden/>
              </w:rPr>
              <w:t>7</w:t>
            </w:r>
            <w:r>
              <w:rPr>
                <w:noProof/>
                <w:webHidden/>
              </w:rPr>
              <w:fldChar w:fldCharType="end"/>
            </w:r>
          </w:hyperlink>
        </w:p>
        <w:p w14:paraId="7C99F8A6" w14:textId="22CD43A2" w:rsidR="00A814E4" w:rsidRDefault="00A814E4">
          <w:pPr>
            <w:pStyle w:val="TOC2"/>
            <w:tabs>
              <w:tab w:val="left" w:pos="880"/>
              <w:tab w:val="right" w:leader="dot" w:pos="9350"/>
            </w:tabs>
            <w:rPr>
              <w:rFonts w:eastAsiaTheme="minorEastAsia"/>
              <w:noProof/>
            </w:rPr>
          </w:pPr>
          <w:hyperlink w:anchor="_Toc42195176" w:history="1">
            <w:r w:rsidRPr="00004EE3">
              <w:rPr>
                <w:rStyle w:val="Hyperlink"/>
                <w:rFonts w:ascii="Calibri" w:hAnsi="Calibri" w:cs="Segoe UI Light"/>
                <w:noProof/>
              </w:rPr>
              <w:t>2.10</w:t>
            </w:r>
            <w:r>
              <w:rPr>
                <w:rFonts w:eastAsiaTheme="minorEastAsia"/>
                <w:noProof/>
              </w:rPr>
              <w:tab/>
            </w:r>
            <w:r w:rsidRPr="00004EE3">
              <w:rPr>
                <w:rStyle w:val="Hyperlink"/>
                <w:rFonts w:ascii="Calibri" w:hAnsi="Calibri" w:cs="Segoe UI Light"/>
                <w:noProof/>
              </w:rPr>
              <w:t>Network Security - Internet connectivity Paths</w:t>
            </w:r>
            <w:r>
              <w:rPr>
                <w:noProof/>
                <w:webHidden/>
              </w:rPr>
              <w:tab/>
            </w:r>
            <w:r>
              <w:rPr>
                <w:noProof/>
                <w:webHidden/>
              </w:rPr>
              <w:fldChar w:fldCharType="begin"/>
            </w:r>
            <w:r>
              <w:rPr>
                <w:noProof/>
                <w:webHidden/>
              </w:rPr>
              <w:instrText xml:space="preserve"> PAGEREF _Toc42195176 \h </w:instrText>
            </w:r>
            <w:r>
              <w:rPr>
                <w:noProof/>
                <w:webHidden/>
              </w:rPr>
            </w:r>
            <w:r>
              <w:rPr>
                <w:noProof/>
                <w:webHidden/>
              </w:rPr>
              <w:fldChar w:fldCharType="separate"/>
            </w:r>
            <w:r>
              <w:rPr>
                <w:noProof/>
                <w:webHidden/>
              </w:rPr>
              <w:t>8</w:t>
            </w:r>
            <w:r>
              <w:rPr>
                <w:noProof/>
                <w:webHidden/>
              </w:rPr>
              <w:fldChar w:fldCharType="end"/>
            </w:r>
          </w:hyperlink>
        </w:p>
        <w:p w14:paraId="39E4FCC8" w14:textId="67B81FCC" w:rsidR="00A814E4" w:rsidRDefault="00A814E4">
          <w:pPr>
            <w:pStyle w:val="TOC2"/>
            <w:tabs>
              <w:tab w:val="left" w:pos="880"/>
              <w:tab w:val="right" w:leader="dot" w:pos="9350"/>
            </w:tabs>
            <w:rPr>
              <w:rFonts w:eastAsiaTheme="minorEastAsia"/>
              <w:noProof/>
            </w:rPr>
          </w:pPr>
          <w:hyperlink w:anchor="_Toc42195177" w:history="1">
            <w:r w:rsidRPr="00004EE3">
              <w:rPr>
                <w:rStyle w:val="Hyperlink"/>
                <w:rFonts w:ascii="Calibri" w:hAnsi="Calibri" w:cs="Segoe UI Light"/>
                <w:noProof/>
              </w:rPr>
              <w:t>2.11</w:t>
            </w:r>
            <w:r>
              <w:rPr>
                <w:rFonts w:eastAsiaTheme="minorEastAsia"/>
                <w:noProof/>
              </w:rPr>
              <w:tab/>
            </w:r>
            <w:r w:rsidRPr="00004EE3">
              <w:rPr>
                <w:rStyle w:val="Hyperlink"/>
                <w:rFonts w:ascii="Calibri" w:hAnsi="Calibri" w:cs="Segoe UI Light"/>
                <w:noProof/>
              </w:rPr>
              <w:t>Network Security - Software defined networking models</w:t>
            </w:r>
            <w:r>
              <w:rPr>
                <w:noProof/>
                <w:webHidden/>
              </w:rPr>
              <w:tab/>
            </w:r>
            <w:r>
              <w:rPr>
                <w:noProof/>
                <w:webHidden/>
              </w:rPr>
              <w:fldChar w:fldCharType="begin"/>
            </w:r>
            <w:r>
              <w:rPr>
                <w:noProof/>
                <w:webHidden/>
              </w:rPr>
              <w:instrText xml:space="preserve"> PAGEREF _Toc42195177 \h </w:instrText>
            </w:r>
            <w:r>
              <w:rPr>
                <w:noProof/>
                <w:webHidden/>
              </w:rPr>
            </w:r>
            <w:r>
              <w:rPr>
                <w:noProof/>
                <w:webHidden/>
              </w:rPr>
              <w:fldChar w:fldCharType="separate"/>
            </w:r>
            <w:r>
              <w:rPr>
                <w:noProof/>
                <w:webHidden/>
              </w:rPr>
              <w:t>9</w:t>
            </w:r>
            <w:r>
              <w:rPr>
                <w:noProof/>
                <w:webHidden/>
              </w:rPr>
              <w:fldChar w:fldCharType="end"/>
            </w:r>
          </w:hyperlink>
        </w:p>
        <w:p w14:paraId="20C24911" w14:textId="63750D7F" w:rsidR="00A814E4" w:rsidRDefault="00A814E4">
          <w:pPr>
            <w:pStyle w:val="TOC2"/>
            <w:tabs>
              <w:tab w:val="left" w:pos="880"/>
              <w:tab w:val="right" w:leader="dot" w:pos="9350"/>
            </w:tabs>
            <w:rPr>
              <w:rFonts w:eastAsiaTheme="minorEastAsia"/>
              <w:noProof/>
            </w:rPr>
          </w:pPr>
          <w:hyperlink w:anchor="_Toc42195178" w:history="1">
            <w:r w:rsidRPr="00004EE3">
              <w:rPr>
                <w:rStyle w:val="Hyperlink"/>
                <w:rFonts w:ascii="Calibri" w:hAnsi="Calibri" w:cs="Segoe UI Light"/>
                <w:noProof/>
              </w:rPr>
              <w:t>2.12</w:t>
            </w:r>
            <w:r>
              <w:rPr>
                <w:rFonts w:eastAsiaTheme="minorEastAsia"/>
                <w:noProof/>
              </w:rPr>
              <w:tab/>
            </w:r>
            <w:r w:rsidRPr="00004EE3">
              <w:rPr>
                <w:rStyle w:val="Hyperlink"/>
                <w:rFonts w:ascii="Calibri" w:hAnsi="Calibri" w:cs="Segoe UI Light"/>
                <w:noProof/>
              </w:rPr>
              <w:t>Resource Consistency</w:t>
            </w:r>
            <w:r>
              <w:rPr>
                <w:noProof/>
                <w:webHidden/>
              </w:rPr>
              <w:tab/>
            </w:r>
            <w:r>
              <w:rPr>
                <w:noProof/>
                <w:webHidden/>
              </w:rPr>
              <w:fldChar w:fldCharType="begin"/>
            </w:r>
            <w:r>
              <w:rPr>
                <w:noProof/>
                <w:webHidden/>
              </w:rPr>
              <w:instrText xml:space="preserve"> PAGEREF _Toc42195178 \h </w:instrText>
            </w:r>
            <w:r>
              <w:rPr>
                <w:noProof/>
                <w:webHidden/>
              </w:rPr>
            </w:r>
            <w:r>
              <w:rPr>
                <w:noProof/>
                <w:webHidden/>
              </w:rPr>
              <w:fldChar w:fldCharType="separate"/>
            </w:r>
            <w:r>
              <w:rPr>
                <w:noProof/>
                <w:webHidden/>
              </w:rPr>
              <w:t>9</w:t>
            </w:r>
            <w:r>
              <w:rPr>
                <w:noProof/>
                <w:webHidden/>
              </w:rPr>
              <w:fldChar w:fldCharType="end"/>
            </w:r>
          </w:hyperlink>
        </w:p>
        <w:p w14:paraId="5879E4CB" w14:textId="29720995" w:rsidR="00A814E4" w:rsidRDefault="00A814E4">
          <w:pPr>
            <w:pStyle w:val="TOC1"/>
            <w:tabs>
              <w:tab w:val="left" w:pos="440"/>
              <w:tab w:val="right" w:leader="dot" w:pos="9350"/>
            </w:tabs>
            <w:rPr>
              <w:noProof/>
              <w:lang w:val="en-US"/>
            </w:rPr>
          </w:pPr>
          <w:hyperlink w:anchor="_Toc42195179" w:history="1">
            <w:r w:rsidRPr="00004EE3">
              <w:rPr>
                <w:rStyle w:val="Hyperlink"/>
                <w:b/>
                <w:noProof/>
              </w:rPr>
              <w:t>3.</w:t>
            </w:r>
            <w:r>
              <w:rPr>
                <w:noProof/>
                <w:lang w:val="en-US"/>
              </w:rPr>
              <w:tab/>
            </w:r>
            <w:r w:rsidRPr="00004EE3">
              <w:rPr>
                <w:rStyle w:val="Hyperlink"/>
                <w:b/>
                <w:noProof/>
              </w:rPr>
              <w:t>Govern - Security Baseline</w:t>
            </w:r>
            <w:r>
              <w:rPr>
                <w:noProof/>
                <w:webHidden/>
              </w:rPr>
              <w:tab/>
            </w:r>
            <w:r>
              <w:rPr>
                <w:noProof/>
                <w:webHidden/>
              </w:rPr>
              <w:fldChar w:fldCharType="begin"/>
            </w:r>
            <w:r>
              <w:rPr>
                <w:noProof/>
                <w:webHidden/>
              </w:rPr>
              <w:instrText xml:space="preserve"> PAGEREF _Toc42195179 \h </w:instrText>
            </w:r>
            <w:r>
              <w:rPr>
                <w:noProof/>
                <w:webHidden/>
              </w:rPr>
            </w:r>
            <w:r>
              <w:rPr>
                <w:noProof/>
                <w:webHidden/>
              </w:rPr>
              <w:fldChar w:fldCharType="separate"/>
            </w:r>
            <w:r>
              <w:rPr>
                <w:noProof/>
                <w:webHidden/>
              </w:rPr>
              <w:t>9</w:t>
            </w:r>
            <w:r>
              <w:rPr>
                <w:noProof/>
                <w:webHidden/>
              </w:rPr>
              <w:fldChar w:fldCharType="end"/>
            </w:r>
          </w:hyperlink>
        </w:p>
        <w:p w14:paraId="574B34DC" w14:textId="416BBDD4" w:rsidR="00A814E4" w:rsidRDefault="00A814E4">
          <w:pPr>
            <w:pStyle w:val="TOC2"/>
            <w:tabs>
              <w:tab w:val="left" w:pos="880"/>
              <w:tab w:val="right" w:leader="dot" w:pos="9350"/>
            </w:tabs>
            <w:rPr>
              <w:rFonts w:eastAsiaTheme="minorEastAsia"/>
              <w:noProof/>
            </w:rPr>
          </w:pPr>
          <w:hyperlink w:anchor="_Toc42195180" w:history="1">
            <w:r w:rsidRPr="00004EE3">
              <w:rPr>
                <w:rStyle w:val="Hyperlink"/>
                <w:rFonts w:ascii="Calibri" w:hAnsi="Calibri" w:cs="Segoe UI Light"/>
                <w:noProof/>
              </w:rPr>
              <w:t>3.1</w:t>
            </w:r>
            <w:r>
              <w:rPr>
                <w:rFonts w:eastAsiaTheme="minorEastAsia"/>
                <w:noProof/>
              </w:rPr>
              <w:tab/>
            </w:r>
            <w:r w:rsidRPr="00004EE3">
              <w:rPr>
                <w:rStyle w:val="Hyperlink"/>
                <w:rFonts w:ascii="Calibri" w:hAnsi="Calibri" w:cs="Segoe UI Light"/>
                <w:noProof/>
              </w:rPr>
              <w:t>Identity</w:t>
            </w:r>
            <w:r>
              <w:rPr>
                <w:noProof/>
                <w:webHidden/>
              </w:rPr>
              <w:tab/>
            </w:r>
            <w:r>
              <w:rPr>
                <w:noProof/>
                <w:webHidden/>
              </w:rPr>
              <w:fldChar w:fldCharType="begin"/>
            </w:r>
            <w:r>
              <w:rPr>
                <w:noProof/>
                <w:webHidden/>
              </w:rPr>
              <w:instrText xml:space="preserve"> PAGEREF _Toc42195180 \h </w:instrText>
            </w:r>
            <w:r>
              <w:rPr>
                <w:noProof/>
                <w:webHidden/>
              </w:rPr>
            </w:r>
            <w:r>
              <w:rPr>
                <w:noProof/>
                <w:webHidden/>
              </w:rPr>
              <w:fldChar w:fldCharType="separate"/>
            </w:r>
            <w:r>
              <w:rPr>
                <w:noProof/>
                <w:webHidden/>
              </w:rPr>
              <w:t>9</w:t>
            </w:r>
            <w:r>
              <w:rPr>
                <w:noProof/>
                <w:webHidden/>
              </w:rPr>
              <w:fldChar w:fldCharType="end"/>
            </w:r>
          </w:hyperlink>
        </w:p>
        <w:p w14:paraId="7B37B216" w14:textId="3A16157E" w:rsidR="00A814E4" w:rsidRDefault="00A814E4">
          <w:pPr>
            <w:pStyle w:val="TOC2"/>
            <w:tabs>
              <w:tab w:val="left" w:pos="880"/>
              <w:tab w:val="right" w:leader="dot" w:pos="9350"/>
            </w:tabs>
            <w:rPr>
              <w:rFonts w:eastAsiaTheme="minorEastAsia"/>
              <w:noProof/>
            </w:rPr>
          </w:pPr>
          <w:hyperlink w:anchor="_Toc42195181" w:history="1">
            <w:r w:rsidRPr="00004EE3">
              <w:rPr>
                <w:rStyle w:val="Hyperlink"/>
                <w:rFonts w:ascii="Calibri" w:hAnsi="Calibri" w:cs="Segoe UI Light"/>
                <w:noProof/>
              </w:rPr>
              <w:t>3.2</w:t>
            </w:r>
            <w:r>
              <w:rPr>
                <w:rFonts w:eastAsiaTheme="minorEastAsia"/>
                <w:noProof/>
              </w:rPr>
              <w:tab/>
            </w:r>
            <w:r w:rsidRPr="00004EE3">
              <w:rPr>
                <w:rStyle w:val="Hyperlink"/>
                <w:rFonts w:ascii="Calibri" w:hAnsi="Calibri" w:cs="Segoe UI Light"/>
                <w:noProof/>
              </w:rPr>
              <w:t>Information Protection</w:t>
            </w:r>
            <w:r>
              <w:rPr>
                <w:noProof/>
                <w:webHidden/>
              </w:rPr>
              <w:tab/>
            </w:r>
            <w:r>
              <w:rPr>
                <w:noProof/>
                <w:webHidden/>
              </w:rPr>
              <w:fldChar w:fldCharType="begin"/>
            </w:r>
            <w:r>
              <w:rPr>
                <w:noProof/>
                <w:webHidden/>
              </w:rPr>
              <w:instrText xml:space="preserve"> PAGEREF _Toc42195181 \h </w:instrText>
            </w:r>
            <w:r>
              <w:rPr>
                <w:noProof/>
                <w:webHidden/>
              </w:rPr>
            </w:r>
            <w:r>
              <w:rPr>
                <w:noProof/>
                <w:webHidden/>
              </w:rPr>
              <w:fldChar w:fldCharType="separate"/>
            </w:r>
            <w:r>
              <w:rPr>
                <w:noProof/>
                <w:webHidden/>
              </w:rPr>
              <w:t>10</w:t>
            </w:r>
            <w:r>
              <w:rPr>
                <w:noProof/>
                <w:webHidden/>
              </w:rPr>
              <w:fldChar w:fldCharType="end"/>
            </w:r>
          </w:hyperlink>
        </w:p>
        <w:p w14:paraId="22B7F1DA" w14:textId="6BC0DC7F" w:rsidR="00A814E4" w:rsidRDefault="00A814E4">
          <w:pPr>
            <w:pStyle w:val="TOC2"/>
            <w:tabs>
              <w:tab w:val="left" w:pos="880"/>
              <w:tab w:val="right" w:leader="dot" w:pos="9350"/>
            </w:tabs>
            <w:rPr>
              <w:rFonts w:eastAsiaTheme="minorEastAsia"/>
              <w:noProof/>
            </w:rPr>
          </w:pPr>
          <w:hyperlink w:anchor="_Toc42195182" w:history="1">
            <w:r w:rsidRPr="00004EE3">
              <w:rPr>
                <w:rStyle w:val="Hyperlink"/>
                <w:rFonts w:ascii="Calibri" w:hAnsi="Calibri" w:cs="Segoe UI Light"/>
                <w:noProof/>
              </w:rPr>
              <w:t>3.3</w:t>
            </w:r>
            <w:r>
              <w:rPr>
                <w:rFonts w:eastAsiaTheme="minorEastAsia"/>
                <w:noProof/>
              </w:rPr>
              <w:tab/>
            </w:r>
            <w:r w:rsidRPr="00004EE3">
              <w:rPr>
                <w:rStyle w:val="Hyperlink"/>
                <w:rFonts w:ascii="Calibri" w:hAnsi="Calibri" w:cs="Segoe UI Light"/>
                <w:noProof/>
              </w:rPr>
              <w:t>Monitoring</w:t>
            </w:r>
            <w:r>
              <w:rPr>
                <w:noProof/>
                <w:webHidden/>
              </w:rPr>
              <w:tab/>
            </w:r>
            <w:r>
              <w:rPr>
                <w:noProof/>
                <w:webHidden/>
              </w:rPr>
              <w:fldChar w:fldCharType="begin"/>
            </w:r>
            <w:r>
              <w:rPr>
                <w:noProof/>
                <w:webHidden/>
              </w:rPr>
              <w:instrText xml:space="preserve"> PAGEREF _Toc42195182 \h </w:instrText>
            </w:r>
            <w:r>
              <w:rPr>
                <w:noProof/>
                <w:webHidden/>
              </w:rPr>
            </w:r>
            <w:r>
              <w:rPr>
                <w:noProof/>
                <w:webHidden/>
              </w:rPr>
              <w:fldChar w:fldCharType="separate"/>
            </w:r>
            <w:r>
              <w:rPr>
                <w:noProof/>
                <w:webHidden/>
              </w:rPr>
              <w:t>10</w:t>
            </w:r>
            <w:r>
              <w:rPr>
                <w:noProof/>
                <w:webHidden/>
              </w:rPr>
              <w:fldChar w:fldCharType="end"/>
            </w:r>
          </w:hyperlink>
        </w:p>
        <w:p w14:paraId="05C5F56A" w14:textId="27504EB7" w:rsidR="00A814E4" w:rsidRDefault="00A814E4">
          <w:pPr>
            <w:pStyle w:val="TOC2"/>
            <w:tabs>
              <w:tab w:val="left" w:pos="880"/>
              <w:tab w:val="right" w:leader="dot" w:pos="9350"/>
            </w:tabs>
            <w:rPr>
              <w:rFonts w:eastAsiaTheme="minorEastAsia"/>
              <w:noProof/>
            </w:rPr>
          </w:pPr>
          <w:hyperlink w:anchor="_Toc42195183" w:history="1">
            <w:r w:rsidRPr="00004EE3">
              <w:rPr>
                <w:rStyle w:val="Hyperlink"/>
                <w:rFonts w:ascii="Calibri" w:hAnsi="Calibri" w:cs="Segoe UI Light"/>
                <w:noProof/>
              </w:rPr>
              <w:t>3.4</w:t>
            </w:r>
            <w:r>
              <w:rPr>
                <w:rFonts w:eastAsiaTheme="minorEastAsia"/>
                <w:noProof/>
              </w:rPr>
              <w:tab/>
            </w:r>
            <w:r w:rsidRPr="00004EE3">
              <w:rPr>
                <w:rStyle w:val="Hyperlink"/>
                <w:rFonts w:ascii="Calibri" w:hAnsi="Calibri" w:cs="Segoe UI Light"/>
                <w:noProof/>
              </w:rPr>
              <w:t>Threat Protection</w:t>
            </w:r>
            <w:r>
              <w:rPr>
                <w:noProof/>
                <w:webHidden/>
              </w:rPr>
              <w:tab/>
            </w:r>
            <w:r>
              <w:rPr>
                <w:noProof/>
                <w:webHidden/>
              </w:rPr>
              <w:fldChar w:fldCharType="begin"/>
            </w:r>
            <w:r>
              <w:rPr>
                <w:noProof/>
                <w:webHidden/>
              </w:rPr>
              <w:instrText xml:space="preserve"> PAGEREF _Toc42195183 \h </w:instrText>
            </w:r>
            <w:r>
              <w:rPr>
                <w:noProof/>
                <w:webHidden/>
              </w:rPr>
            </w:r>
            <w:r>
              <w:rPr>
                <w:noProof/>
                <w:webHidden/>
              </w:rPr>
              <w:fldChar w:fldCharType="separate"/>
            </w:r>
            <w:r>
              <w:rPr>
                <w:noProof/>
                <w:webHidden/>
              </w:rPr>
              <w:t>11</w:t>
            </w:r>
            <w:r>
              <w:rPr>
                <w:noProof/>
                <w:webHidden/>
              </w:rPr>
              <w:fldChar w:fldCharType="end"/>
            </w:r>
          </w:hyperlink>
        </w:p>
        <w:p w14:paraId="1664A659" w14:textId="7C5DAE14" w:rsidR="00A814E4" w:rsidRDefault="00A814E4">
          <w:pPr>
            <w:pStyle w:val="TOC1"/>
            <w:tabs>
              <w:tab w:val="left" w:pos="440"/>
              <w:tab w:val="right" w:leader="dot" w:pos="9350"/>
            </w:tabs>
            <w:rPr>
              <w:noProof/>
              <w:lang w:val="en-US"/>
            </w:rPr>
          </w:pPr>
          <w:hyperlink w:anchor="_Toc42195184" w:history="1">
            <w:r w:rsidRPr="00004EE3">
              <w:rPr>
                <w:rStyle w:val="Hyperlink"/>
                <w:b/>
                <w:noProof/>
              </w:rPr>
              <w:t>4.</w:t>
            </w:r>
            <w:r>
              <w:rPr>
                <w:noProof/>
                <w:lang w:val="en-US"/>
              </w:rPr>
              <w:tab/>
            </w:r>
            <w:r w:rsidRPr="00004EE3">
              <w:rPr>
                <w:rStyle w:val="Hyperlink"/>
                <w:b/>
                <w:noProof/>
              </w:rPr>
              <w:t>Governance – Resource Consistency</w:t>
            </w:r>
            <w:r>
              <w:rPr>
                <w:noProof/>
                <w:webHidden/>
              </w:rPr>
              <w:tab/>
            </w:r>
            <w:r>
              <w:rPr>
                <w:noProof/>
                <w:webHidden/>
              </w:rPr>
              <w:fldChar w:fldCharType="begin"/>
            </w:r>
            <w:r>
              <w:rPr>
                <w:noProof/>
                <w:webHidden/>
              </w:rPr>
              <w:instrText xml:space="preserve"> PAGEREF _Toc42195184 \h </w:instrText>
            </w:r>
            <w:r>
              <w:rPr>
                <w:noProof/>
                <w:webHidden/>
              </w:rPr>
            </w:r>
            <w:r>
              <w:rPr>
                <w:noProof/>
                <w:webHidden/>
              </w:rPr>
              <w:fldChar w:fldCharType="separate"/>
            </w:r>
            <w:r>
              <w:rPr>
                <w:noProof/>
                <w:webHidden/>
              </w:rPr>
              <w:t>12</w:t>
            </w:r>
            <w:r>
              <w:rPr>
                <w:noProof/>
                <w:webHidden/>
              </w:rPr>
              <w:fldChar w:fldCharType="end"/>
            </w:r>
          </w:hyperlink>
        </w:p>
        <w:p w14:paraId="2E4E58B5" w14:textId="36371EB3" w:rsidR="00A814E4" w:rsidRDefault="00A814E4">
          <w:pPr>
            <w:pStyle w:val="TOC2"/>
            <w:tabs>
              <w:tab w:val="left" w:pos="880"/>
              <w:tab w:val="right" w:leader="dot" w:pos="9350"/>
            </w:tabs>
            <w:rPr>
              <w:rFonts w:eastAsiaTheme="minorEastAsia"/>
              <w:noProof/>
            </w:rPr>
          </w:pPr>
          <w:hyperlink w:anchor="_Toc42195185" w:history="1">
            <w:r w:rsidRPr="00004EE3">
              <w:rPr>
                <w:rStyle w:val="Hyperlink"/>
                <w:rFonts w:ascii="Calibri" w:hAnsi="Calibri" w:cs="Segoe UI Light"/>
                <w:noProof/>
              </w:rPr>
              <w:t>4.1</w:t>
            </w:r>
            <w:r>
              <w:rPr>
                <w:rFonts w:eastAsiaTheme="minorEastAsia"/>
                <w:noProof/>
              </w:rPr>
              <w:tab/>
            </w:r>
            <w:r w:rsidRPr="00004EE3">
              <w:rPr>
                <w:rStyle w:val="Hyperlink"/>
                <w:rFonts w:ascii="Calibri" w:hAnsi="Calibri" w:cs="Segoe UI Light"/>
                <w:noProof/>
              </w:rPr>
              <w:t>Asset Classification</w:t>
            </w:r>
            <w:r>
              <w:rPr>
                <w:noProof/>
                <w:webHidden/>
              </w:rPr>
              <w:tab/>
            </w:r>
            <w:r>
              <w:rPr>
                <w:noProof/>
                <w:webHidden/>
              </w:rPr>
              <w:fldChar w:fldCharType="begin"/>
            </w:r>
            <w:r>
              <w:rPr>
                <w:noProof/>
                <w:webHidden/>
              </w:rPr>
              <w:instrText xml:space="preserve"> PAGEREF _Toc42195185 \h </w:instrText>
            </w:r>
            <w:r>
              <w:rPr>
                <w:noProof/>
                <w:webHidden/>
              </w:rPr>
            </w:r>
            <w:r>
              <w:rPr>
                <w:noProof/>
                <w:webHidden/>
              </w:rPr>
              <w:fldChar w:fldCharType="separate"/>
            </w:r>
            <w:r>
              <w:rPr>
                <w:noProof/>
                <w:webHidden/>
              </w:rPr>
              <w:t>12</w:t>
            </w:r>
            <w:r>
              <w:rPr>
                <w:noProof/>
                <w:webHidden/>
              </w:rPr>
              <w:fldChar w:fldCharType="end"/>
            </w:r>
          </w:hyperlink>
        </w:p>
        <w:p w14:paraId="0EADF053" w14:textId="0BB0D4C1" w:rsidR="00A814E4" w:rsidRDefault="00A814E4">
          <w:pPr>
            <w:pStyle w:val="TOC2"/>
            <w:tabs>
              <w:tab w:val="left" w:pos="880"/>
              <w:tab w:val="right" w:leader="dot" w:pos="9350"/>
            </w:tabs>
            <w:rPr>
              <w:rFonts w:eastAsiaTheme="minorEastAsia"/>
              <w:noProof/>
            </w:rPr>
          </w:pPr>
          <w:hyperlink w:anchor="_Toc42195186" w:history="1">
            <w:r w:rsidRPr="00004EE3">
              <w:rPr>
                <w:rStyle w:val="Hyperlink"/>
                <w:rFonts w:ascii="Calibri" w:hAnsi="Calibri" w:cs="Segoe UI Light"/>
                <w:noProof/>
              </w:rPr>
              <w:t>4.2</w:t>
            </w:r>
            <w:r>
              <w:rPr>
                <w:rFonts w:eastAsiaTheme="minorEastAsia"/>
                <w:noProof/>
              </w:rPr>
              <w:tab/>
            </w:r>
            <w:r w:rsidRPr="00004EE3">
              <w:rPr>
                <w:rStyle w:val="Hyperlink"/>
                <w:rFonts w:ascii="Calibri" w:hAnsi="Calibri" w:cs="Segoe UI Light"/>
                <w:noProof/>
              </w:rPr>
              <w:t>Service Discoverability and Shadow IT</w:t>
            </w:r>
            <w:r>
              <w:rPr>
                <w:noProof/>
                <w:webHidden/>
              </w:rPr>
              <w:tab/>
            </w:r>
            <w:r>
              <w:rPr>
                <w:noProof/>
                <w:webHidden/>
              </w:rPr>
              <w:fldChar w:fldCharType="begin"/>
            </w:r>
            <w:r>
              <w:rPr>
                <w:noProof/>
                <w:webHidden/>
              </w:rPr>
              <w:instrText xml:space="preserve"> PAGEREF _Toc42195186 \h </w:instrText>
            </w:r>
            <w:r>
              <w:rPr>
                <w:noProof/>
                <w:webHidden/>
              </w:rPr>
            </w:r>
            <w:r>
              <w:rPr>
                <w:noProof/>
                <w:webHidden/>
              </w:rPr>
              <w:fldChar w:fldCharType="separate"/>
            </w:r>
            <w:r>
              <w:rPr>
                <w:noProof/>
                <w:webHidden/>
              </w:rPr>
              <w:t>12</w:t>
            </w:r>
            <w:r>
              <w:rPr>
                <w:noProof/>
                <w:webHidden/>
              </w:rPr>
              <w:fldChar w:fldCharType="end"/>
            </w:r>
          </w:hyperlink>
        </w:p>
        <w:p w14:paraId="41E94817" w14:textId="1E55751A" w:rsidR="00A814E4" w:rsidRDefault="00A814E4">
          <w:pPr>
            <w:pStyle w:val="TOC2"/>
            <w:tabs>
              <w:tab w:val="left" w:pos="880"/>
              <w:tab w:val="right" w:leader="dot" w:pos="9350"/>
            </w:tabs>
            <w:rPr>
              <w:rFonts w:eastAsiaTheme="minorEastAsia"/>
              <w:noProof/>
            </w:rPr>
          </w:pPr>
          <w:hyperlink w:anchor="_Toc42195187" w:history="1">
            <w:r w:rsidRPr="00004EE3">
              <w:rPr>
                <w:rStyle w:val="Hyperlink"/>
                <w:rFonts w:ascii="Calibri" w:hAnsi="Calibri" w:cs="Segoe UI Light"/>
                <w:noProof/>
              </w:rPr>
              <w:t>4.3</w:t>
            </w:r>
            <w:r>
              <w:rPr>
                <w:rFonts w:eastAsiaTheme="minorEastAsia"/>
                <w:noProof/>
              </w:rPr>
              <w:tab/>
            </w:r>
            <w:r w:rsidRPr="00004EE3">
              <w:rPr>
                <w:rStyle w:val="Hyperlink"/>
                <w:rFonts w:ascii="Calibri" w:hAnsi="Calibri" w:cs="Segoe UI Light"/>
                <w:noProof/>
              </w:rPr>
              <w:t>Service Disturbance</w:t>
            </w:r>
            <w:r>
              <w:rPr>
                <w:noProof/>
                <w:webHidden/>
              </w:rPr>
              <w:tab/>
            </w:r>
            <w:r>
              <w:rPr>
                <w:noProof/>
                <w:webHidden/>
              </w:rPr>
              <w:fldChar w:fldCharType="begin"/>
            </w:r>
            <w:r>
              <w:rPr>
                <w:noProof/>
                <w:webHidden/>
              </w:rPr>
              <w:instrText xml:space="preserve"> PAGEREF _Toc42195187 \h </w:instrText>
            </w:r>
            <w:r>
              <w:rPr>
                <w:noProof/>
                <w:webHidden/>
              </w:rPr>
            </w:r>
            <w:r>
              <w:rPr>
                <w:noProof/>
                <w:webHidden/>
              </w:rPr>
              <w:fldChar w:fldCharType="separate"/>
            </w:r>
            <w:r>
              <w:rPr>
                <w:noProof/>
                <w:webHidden/>
              </w:rPr>
              <w:t>12</w:t>
            </w:r>
            <w:r>
              <w:rPr>
                <w:noProof/>
                <w:webHidden/>
              </w:rPr>
              <w:fldChar w:fldCharType="end"/>
            </w:r>
          </w:hyperlink>
        </w:p>
        <w:p w14:paraId="1EF782D9" w14:textId="61739990" w:rsidR="0098066A" w:rsidRDefault="0098066A" w:rsidP="0098066A">
          <w:pPr>
            <w:jc w:val="both"/>
          </w:pPr>
          <w:r>
            <w:fldChar w:fldCharType="end"/>
          </w:r>
        </w:p>
      </w:sdtContent>
    </w:sdt>
    <w:p w14:paraId="24CF1AAC" w14:textId="77777777" w:rsidR="0098066A" w:rsidRDefault="0098066A" w:rsidP="00DF3F18"/>
    <w:p w14:paraId="41A427F9" w14:textId="0C0AB24B" w:rsidR="00DF3F18" w:rsidRDefault="00DF3F18" w:rsidP="0098066A">
      <w:pPr>
        <w:spacing w:after="160" w:line="259" w:lineRule="auto"/>
        <w:jc w:val="both"/>
        <w:rPr>
          <w:rFonts w:eastAsiaTheme="minorHAnsi" w:cstheme="minorHAnsi"/>
          <w:b/>
          <w:sz w:val="32"/>
          <w:szCs w:val="22"/>
        </w:rPr>
      </w:pPr>
    </w:p>
    <w:p w14:paraId="11669614" w14:textId="3E50E5E5" w:rsidR="00DF3F18" w:rsidRDefault="00DF3F18" w:rsidP="0098066A">
      <w:pPr>
        <w:spacing w:after="160" w:line="259" w:lineRule="auto"/>
        <w:jc w:val="both"/>
        <w:rPr>
          <w:rFonts w:eastAsiaTheme="minorHAnsi" w:cstheme="minorHAnsi"/>
          <w:b/>
          <w:sz w:val="32"/>
          <w:szCs w:val="22"/>
        </w:rPr>
      </w:pPr>
    </w:p>
    <w:p w14:paraId="40906386" w14:textId="7E46E3A4" w:rsidR="00825612" w:rsidRDefault="00825612" w:rsidP="0098066A">
      <w:pPr>
        <w:spacing w:after="160" w:line="259" w:lineRule="auto"/>
        <w:jc w:val="both"/>
        <w:rPr>
          <w:rFonts w:eastAsiaTheme="minorHAnsi" w:cstheme="minorHAnsi"/>
          <w:b/>
          <w:sz w:val="32"/>
          <w:szCs w:val="22"/>
        </w:rPr>
      </w:pPr>
    </w:p>
    <w:p w14:paraId="0098143A" w14:textId="77777777" w:rsidR="00825612" w:rsidRDefault="00825612" w:rsidP="0098066A">
      <w:pPr>
        <w:spacing w:after="160" w:line="259" w:lineRule="auto"/>
        <w:jc w:val="both"/>
        <w:rPr>
          <w:rFonts w:eastAsiaTheme="minorHAnsi" w:cstheme="minorHAnsi"/>
          <w:b/>
          <w:sz w:val="32"/>
          <w:szCs w:val="22"/>
        </w:rPr>
      </w:pPr>
    </w:p>
    <w:p w14:paraId="40FD0FC0" w14:textId="41C1C4B5" w:rsidR="00D81F8F" w:rsidRPr="0098066A" w:rsidRDefault="00BC1AB6" w:rsidP="0098066A">
      <w:pPr>
        <w:spacing w:after="160" w:line="259" w:lineRule="auto"/>
        <w:jc w:val="both"/>
        <w:rPr>
          <w:rFonts w:eastAsiaTheme="minorHAnsi" w:cstheme="minorHAnsi"/>
          <w:b/>
          <w:sz w:val="32"/>
          <w:szCs w:val="22"/>
        </w:rPr>
      </w:pPr>
      <w:r w:rsidRPr="0098066A">
        <w:rPr>
          <w:rFonts w:eastAsiaTheme="minorHAnsi" w:cstheme="minorHAnsi"/>
          <w:b/>
          <w:sz w:val="32"/>
          <w:szCs w:val="22"/>
        </w:rPr>
        <w:lastRenderedPageBreak/>
        <w:t xml:space="preserve">WVD </w:t>
      </w:r>
      <w:r w:rsidR="00C3164F" w:rsidRPr="0098066A">
        <w:rPr>
          <w:rFonts w:eastAsiaTheme="minorHAnsi" w:cstheme="minorHAnsi"/>
          <w:b/>
          <w:sz w:val="32"/>
          <w:szCs w:val="22"/>
        </w:rPr>
        <w:t xml:space="preserve">Governance </w:t>
      </w:r>
      <w:r w:rsidRPr="0098066A">
        <w:rPr>
          <w:rFonts w:eastAsiaTheme="minorHAnsi" w:cstheme="minorHAnsi"/>
          <w:b/>
          <w:sz w:val="32"/>
          <w:szCs w:val="22"/>
        </w:rPr>
        <w:t>Security Polic</w:t>
      </w:r>
      <w:r w:rsidR="0051603F" w:rsidRPr="0098066A">
        <w:rPr>
          <w:rFonts w:eastAsiaTheme="minorHAnsi" w:cstheme="minorHAnsi"/>
          <w:b/>
          <w:sz w:val="32"/>
          <w:szCs w:val="22"/>
        </w:rPr>
        <w:t>y</w:t>
      </w:r>
      <w:r w:rsidR="00C3164F" w:rsidRPr="0098066A">
        <w:rPr>
          <w:rFonts w:eastAsiaTheme="minorHAnsi" w:cstheme="minorHAnsi"/>
          <w:b/>
          <w:sz w:val="32"/>
          <w:szCs w:val="22"/>
        </w:rPr>
        <w:t xml:space="preserve"> Guidelines</w:t>
      </w:r>
    </w:p>
    <w:p w14:paraId="4D51FBBB" w14:textId="4E5B1311" w:rsidR="00D81F8F" w:rsidRPr="0098066A" w:rsidRDefault="00D81F8F" w:rsidP="0098066A">
      <w:pPr>
        <w:pStyle w:val="Heading1"/>
        <w:numPr>
          <w:ilvl w:val="0"/>
          <w:numId w:val="4"/>
        </w:numPr>
        <w:spacing w:after="120"/>
        <w:ind w:left="360"/>
        <w:rPr>
          <w:b/>
          <w:sz w:val="40"/>
        </w:rPr>
      </w:pPr>
      <w:bookmarkStart w:id="0" w:name="_Toc42195163"/>
      <w:r w:rsidRPr="0098066A">
        <w:rPr>
          <w:b/>
          <w:sz w:val="40"/>
        </w:rPr>
        <w:t>Govern - Identity Baseline</w:t>
      </w:r>
      <w:bookmarkStart w:id="1" w:name="_GoBack"/>
      <w:bookmarkEnd w:id="0"/>
      <w:bookmarkEnd w:id="1"/>
    </w:p>
    <w:p w14:paraId="5D331644" w14:textId="3D7DC1EC" w:rsidR="00D81F8F" w:rsidRDefault="00D81F8F" w:rsidP="0098066A">
      <w:pPr>
        <w:pStyle w:val="Heading2"/>
        <w:numPr>
          <w:ilvl w:val="0"/>
          <w:numId w:val="5"/>
        </w:numPr>
        <w:tabs>
          <w:tab w:val="left" w:pos="540"/>
        </w:tabs>
        <w:spacing w:line="360" w:lineRule="auto"/>
        <w:ind w:left="810" w:hanging="450"/>
        <w:rPr>
          <w:rFonts w:ascii="Calibri" w:hAnsi="Calibri" w:cs="Segoe UI Light"/>
          <w:color w:val="0078D4"/>
          <w:sz w:val="28"/>
        </w:rPr>
      </w:pPr>
      <w:bookmarkStart w:id="2" w:name="_Toc42195164"/>
      <w:r w:rsidRPr="0098066A">
        <w:rPr>
          <w:rFonts w:ascii="Calibri" w:hAnsi="Calibri" w:cs="Segoe UI Light"/>
          <w:color w:val="0078D4"/>
          <w:sz w:val="28"/>
        </w:rPr>
        <w:t>Hybrid Identity</w:t>
      </w:r>
      <w:bookmarkEnd w:id="2"/>
      <w:r w:rsidRPr="0098066A">
        <w:rPr>
          <w:rFonts w:ascii="Calibri" w:hAnsi="Calibri" w:cs="Segoe UI Light"/>
          <w:color w:val="0078D4"/>
          <w:sz w:val="28"/>
        </w:rPr>
        <w:t xml:space="preserve"> </w:t>
      </w:r>
    </w:p>
    <w:p w14:paraId="0DBBCEFE" w14:textId="700CC6F7" w:rsidR="00C339AF" w:rsidRDefault="00C339AF" w:rsidP="000B4ECB">
      <w:pPr>
        <w:spacing w:after="0" w:line="360" w:lineRule="auto"/>
        <w:ind w:left="360"/>
        <w:jc w:val="both"/>
      </w:pPr>
      <w:r w:rsidRPr="00C339AF">
        <w:t xml:space="preserve">In any environment, </w:t>
      </w:r>
      <w:r w:rsidR="008C0951">
        <w:t>t</w:t>
      </w:r>
      <w:r w:rsidR="006A479F" w:rsidRPr="006A479F">
        <w:t>o improve access to solutions that span on-prem and cloud-based capabilities and platforms, an organization needs to create a common user identity that can be used for authentication and authorization to all such resources, including those on-prem and those in the cloud.</w:t>
      </w:r>
      <w:r w:rsidR="009D7209">
        <w:t xml:space="preserve"> This is called hybrid identity.</w:t>
      </w:r>
    </w:p>
    <w:p w14:paraId="0BEA06AC" w14:textId="3F5B0859" w:rsidR="00D81F8F" w:rsidRDefault="0051603F" w:rsidP="00A814E4">
      <w:pPr>
        <w:pStyle w:val="ListParagraph"/>
        <w:numPr>
          <w:ilvl w:val="0"/>
          <w:numId w:val="10"/>
        </w:numPr>
        <w:spacing w:after="120" w:line="360" w:lineRule="auto"/>
        <w:contextualSpacing w:val="0"/>
        <w:jc w:val="both"/>
      </w:pPr>
      <w:r w:rsidRPr="009908A5">
        <w:rPr>
          <w:b/>
          <w:bCs/>
        </w:rPr>
        <w:t>A</w:t>
      </w:r>
      <w:r w:rsidR="00D81F8F" w:rsidRPr="009908A5">
        <w:rPr>
          <w:b/>
          <w:bCs/>
        </w:rPr>
        <w:t>zure ad connects</w:t>
      </w:r>
      <w:r w:rsidR="006E4A2E">
        <w:t xml:space="preserve">: </w:t>
      </w:r>
      <w:r w:rsidR="006E4A2E" w:rsidRPr="006E4A2E">
        <w:t>The Azure AD Connect tool allows you to connect Azure AD instances with your existing identity management solutions, allowing synchronization of your existing directory in the cloud.</w:t>
      </w:r>
    </w:p>
    <w:p w14:paraId="0BF3C447" w14:textId="516CE2AB" w:rsidR="00CE324D" w:rsidRDefault="00D81F8F" w:rsidP="00A814E4">
      <w:pPr>
        <w:pStyle w:val="ListParagraph"/>
        <w:numPr>
          <w:ilvl w:val="0"/>
          <w:numId w:val="10"/>
        </w:numPr>
        <w:spacing w:after="120" w:line="360" w:lineRule="auto"/>
        <w:contextualSpacing w:val="0"/>
        <w:jc w:val="both"/>
      </w:pPr>
      <w:r w:rsidRPr="009908A5">
        <w:rPr>
          <w:b/>
          <w:bCs/>
        </w:rPr>
        <w:t>Password policy (Passthrough, password hash, Federation)</w:t>
      </w:r>
      <w:r w:rsidR="006E4A2E">
        <w:t>:</w:t>
      </w:r>
      <w:r w:rsidR="00CE324D">
        <w:t xml:space="preserve"> </w:t>
      </w:r>
    </w:p>
    <w:p w14:paraId="1A55D902" w14:textId="72398065" w:rsidR="009908A5" w:rsidRDefault="009908A5" w:rsidP="00A814E4">
      <w:pPr>
        <w:pStyle w:val="ListParagraph"/>
        <w:numPr>
          <w:ilvl w:val="0"/>
          <w:numId w:val="10"/>
        </w:numPr>
        <w:spacing w:after="120" w:line="360" w:lineRule="auto"/>
        <w:contextualSpacing w:val="0"/>
        <w:jc w:val="both"/>
      </w:pPr>
      <w:r w:rsidRPr="009908A5">
        <w:rPr>
          <w:b/>
          <w:bCs/>
        </w:rPr>
        <w:t>Password hash synchronization</w:t>
      </w:r>
      <w:r w:rsidRPr="009908A5">
        <w:t>: It is a sign-in method that is used as part of a hybrid identity solution.  To accomplish a hybrid identity solution with PHS, a hash of user’s on-prem Active Directory (AD) password is synchronized to a cloud-based Azure AD instance.  This feature is typically used for signing into Azure services such as Office 365 with the same password as an on-prem AD account.  This is a preferable solution for end users because it creates a pleasant end user experience.</w:t>
      </w:r>
    </w:p>
    <w:p w14:paraId="32C2FC61" w14:textId="42B75FC3" w:rsidR="0015745D" w:rsidRDefault="0015745D" w:rsidP="00A814E4">
      <w:pPr>
        <w:pStyle w:val="ListParagraph"/>
        <w:numPr>
          <w:ilvl w:val="0"/>
          <w:numId w:val="10"/>
        </w:numPr>
        <w:spacing w:after="120" w:line="360" w:lineRule="auto"/>
        <w:contextualSpacing w:val="0"/>
        <w:jc w:val="both"/>
      </w:pPr>
      <w:r w:rsidRPr="0015745D">
        <w:rPr>
          <w:b/>
          <w:bCs/>
        </w:rPr>
        <w:t>Pass-through Authentication</w:t>
      </w:r>
      <w:r w:rsidRPr="0015745D">
        <w:t>: Azure AD Pass-through Authentication allows users to sign in to on-prem apps as well as cloud-based apps, using the same password.  However, pass-through authentication validates user passwords directly against the on-premises Active Directory.</w:t>
      </w:r>
    </w:p>
    <w:p w14:paraId="5C7F5B56" w14:textId="10EEFBC0" w:rsidR="00C53A27" w:rsidRDefault="00891C81" w:rsidP="00A814E4">
      <w:pPr>
        <w:pStyle w:val="ListParagraph"/>
        <w:numPr>
          <w:ilvl w:val="0"/>
          <w:numId w:val="10"/>
        </w:numPr>
        <w:spacing w:after="120" w:line="360" w:lineRule="auto"/>
        <w:contextualSpacing w:val="0"/>
        <w:jc w:val="both"/>
      </w:pPr>
      <w:r w:rsidRPr="00891C81">
        <w:rPr>
          <w:b/>
          <w:bCs/>
        </w:rPr>
        <w:t>Federation</w:t>
      </w:r>
      <w:r>
        <w:t>:</w:t>
      </w:r>
      <w:r w:rsidRPr="00891C81">
        <w:t xml:space="preserve"> </w:t>
      </w:r>
      <w:r>
        <w:t xml:space="preserve">It </w:t>
      </w:r>
      <w:r w:rsidRPr="00891C81">
        <w:t>consists of a collection of domains with an established trust. The trust typically includes authentication and almost always includes authorization.  A typical federation configuration would include several organizations that have established trust for shared access to a set of resources.</w:t>
      </w:r>
    </w:p>
    <w:p w14:paraId="322D599A" w14:textId="77777777" w:rsidR="00EA39B3" w:rsidRDefault="00D81F8F" w:rsidP="006D5665">
      <w:pPr>
        <w:pStyle w:val="ListParagraph"/>
        <w:numPr>
          <w:ilvl w:val="0"/>
          <w:numId w:val="10"/>
        </w:numPr>
        <w:spacing w:after="0" w:line="360" w:lineRule="auto"/>
        <w:jc w:val="both"/>
      </w:pPr>
      <w:r w:rsidRPr="004B7226">
        <w:rPr>
          <w:b/>
          <w:bCs/>
        </w:rPr>
        <w:t>SAS (azure shared access signature)</w:t>
      </w:r>
      <w:r w:rsidR="00CE324D">
        <w:t>:</w:t>
      </w:r>
    </w:p>
    <w:p w14:paraId="4AB889BE" w14:textId="46BAD7DF" w:rsidR="00D81F8F" w:rsidRDefault="000F41FB" w:rsidP="006D5665">
      <w:pPr>
        <w:pStyle w:val="ListParagraph"/>
        <w:spacing w:after="0" w:line="360" w:lineRule="auto"/>
        <w:ind w:left="1080"/>
        <w:jc w:val="both"/>
      </w:pPr>
      <w:r w:rsidRPr="000F41FB">
        <w:t>SAS is a URI (Uniform Resource Identifier). Instead of providing your storage access keys to authorized users, you can provide the SAS URIs to access the storage resources. As it is not recommended to share the storage access keys, it would be much easier to generate a SAS token and embed within your application for accessing the storage resources. With SAS, you can set a start time, expiry date, permitted permissions, allowed IP addresses, etc.</w:t>
      </w:r>
    </w:p>
    <w:p w14:paraId="2489293F" w14:textId="3906A2FA" w:rsidR="00D81F8F" w:rsidRDefault="00D81F8F" w:rsidP="0098066A">
      <w:pPr>
        <w:pStyle w:val="Heading2"/>
        <w:numPr>
          <w:ilvl w:val="0"/>
          <w:numId w:val="5"/>
        </w:numPr>
        <w:tabs>
          <w:tab w:val="left" w:pos="540"/>
        </w:tabs>
        <w:spacing w:line="360" w:lineRule="auto"/>
        <w:ind w:left="810" w:hanging="450"/>
        <w:rPr>
          <w:rFonts w:ascii="Calibri" w:hAnsi="Calibri" w:cs="Segoe UI Light"/>
          <w:color w:val="0078D4"/>
          <w:sz w:val="28"/>
        </w:rPr>
      </w:pPr>
      <w:bookmarkStart w:id="3" w:name="_Toc42195165"/>
      <w:r w:rsidRPr="0098066A">
        <w:rPr>
          <w:rFonts w:ascii="Calibri" w:hAnsi="Calibri" w:cs="Segoe UI Light"/>
          <w:color w:val="0078D4"/>
          <w:sz w:val="28"/>
        </w:rPr>
        <w:lastRenderedPageBreak/>
        <w:t xml:space="preserve">Identity </w:t>
      </w:r>
      <w:r w:rsidR="00DF3F18">
        <w:rPr>
          <w:rFonts w:ascii="Calibri" w:hAnsi="Calibri" w:cs="Segoe UI Light"/>
          <w:color w:val="0078D4"/>
          <w:sz w:val="28"/>
        </w:rPr>
        <w:t>R</w:t>
      </w:r>
      <w:r w:rsidRPr="0098066A">
        <w:rPr>
          <w:rFonts w:ascii="Calibri" w:hAnsi="Calibri" w:cs="Segoe UI Light"/>
          <w:color w:val="0078D4"/>
          <w:sz w:val="28"/>
        </w:rPr>
        <w:t>equirements</w:t>
      </w:r>
      <w:bookmarkEnd w:id="3"/>
    </w:p>
    <w:p w14:paraId="26D42365" w14:textId="6A034962" w:rsidR="003A08A3" w:rsidRPr="003A08A3" w:rsidRDefault="003A08A3" w:rsidP="009F6855">
      <w:pPr>
        <w:spacing w:after="120" w:line="360" w:lineRule="auto"/>
        <w:ind w:left="360"/>
      </w:pPr>
      <w:r w:rsidRPr="003A08A3">
        <w:t>Azure AD enables you to govern employee and business partner access to resources at enterprise scale with great compliance and auditing controls. Azure AD entitlement management removes barriers to internal and external collaboration by automating employee and partner access requests, approvals, auditing, and review for Office 365, for thousands of popular SaaS apps like ServiceNow, Workday, Google Apps, and Salesforce.com to any line of business app integrated with Azure AD.</w:t>
      </w:r>
    </w:p>
    <w:p w14:paraId="3D002CF4" w14:textId="4DAD6FC5" w:rsidR="00D81F8F" w:rsidRDefault="00D81F8F" w:rsidP="00A814E4">
      <w:pPr>
        <w:pStyle w:val="ListParagraph"/>
        <w:numPr>
          <w:ilvl w:val="0"/>
          <w:numId w:val="10"/>
        </w:numPr>
        <w:spacing w:after="120" w:line="360" w:lineRule="auto"/>
        <w:contextualSpacing w:val="0"/>
        <w:jc w:val="both"/>
      </w:pPr>
      <w:r w:rsidRPr="006F00D4">
        <w:rPr>
          <w:b/>
          <w:bCs/>
        </w:rPr>
        <w:t>Conditional access policy (MFA, failed login)</w:t>
      </w:r>
      <w:r w:rsidR="001045F6">
        <w:t xml:space="preserve">: </w:t>
      </w:r>
      <w:r w:rsidR="00B62CFC" w:rsidRPr="00B62CFC">
        <w:t>Conditional Access policies by default apply to browser-based applications and applications that utilize modern authentication protocols. In addition to these applications, administrators can choose to include Exchange ActiveSync clients and other clients that utilize legacy protocols.</w:t>
      </w:r>
      <w:r w:rsidR="0093703A">
        <w:t xml:space="preserve"> To know about conditional access policy </w:t>
      </w:r>
      <w:hyperlink r:id="rId11" w:history="1">
        <w:r w:rsidR="0093703A" w:rsidRPr="0093703A">
          <w:rPr>
            <w:rStyle w:val="Hyperlink"/>
          </w:rPr>
          <w:t>click here</w:t>
        </w:r>
      </w:hyperlink>
      <w:r w:rsidR="0093703A">
        <w:t>.</w:t>
      </w:r>
    </w:p>
    <w:p w14:paraId="4AC96907" w14:textId="4AA33C06" w:rsidR="00D81F8F" w:rsidRDefault="00D81F8F" w:rsidP="00A814E4">
      <w:pPr>
        <w:pStyle w:val="ListParagraph"/>
        <w:numPr>
          <w:ilvl w:val="0"/>
          <w:numId w:val="10"/>
        </w:numPr>
        <w:spacing w:after="120" w:line="360" w:lineRule="auto"/>
        <w:contextualSpacing w:val="0"/>
        <w:jc w:val="both"/>
      </w:pPr>
      <w:r w:rsidRPr="006F00D4">
        <w:rPr>
          <w:b/>
          <w:bCs/>
        </w:rPr>
        <w:t>Configure MFA</w:t>
      </w:r>
      <w:r w:rsidR="00E62666">
        <w:t xml:space="preserve">: </w:t>
      </w:r>
      <w:r w:rsidR="004034ED" w:rsidRPr="004034ED">
        <w:t>People are connecting to organizational resources in increasingly complicated scenarios. People connect from organization-owned, personal, and public devices on and off the corporate network using smart phones, tablets, PCs, and laptops, often on multiple platforms.</w:t>
      </w:r>
      <w:r w:rsidR="004034ED">
        <w:t xml:space="preserve"> To know about MFA </w:t>
      </w:r>
      <w:hyperlink r:id="rId12" w:history="1">
        <w:r w:rsidR="004034ED" w:rsidRPr="0025509C">
          <w:rPr>
            <w:rStyle w:val="Hyperlink"/>
          </w:rPr>
          <w:t>click here</w:t>
        </w:r>
      </w:hyperlink>
    </w:p>
    <w:p w14:paraId="2BCF09F6" w14:textId="5C5233CA" w:rsidR="00D81F8F" w:rsidRDefault="00D81F8F" w:rsidP="006D5665">
      <w:pPr>
        <w:pStyle w:val="ListParagraph"/>
        <w:numPr>
          <w:ilvl w:val="0"/>
          <w:numId w:val="10"/>
        </w:numPr>
        <w:spacing w:after="0" w:line="360" w:lineRule="auto"/>
        <w:jc w:val="both"/>
      </w:pPr>
      <w:r w:rsidRPr="006F00D4">
        <w:rPr>
          <w:b/>
          <w:bCs/>
        </w:rPr>
        <w:t xml:space="preserve">Creation of authentication and authorization Policy (application identity, Shared </w:t>
      </w:r>
      <w:r w:rsidR="0051603F" w:rsidRPr="006F00D4">
        <w:rPr>
          <w:b/>
          <w:bCs/>
        </w:rPr>
        <w:t>C</w:t>
      </w:r>
      <w:r w:rsidRPr="006F00D4">
        <w:rPr>
          <w:b/>
          <w:bCs/>
        </w:rPr>
        <w:t>redentials, RBAC, MS365 App Security</w:t>
      </w:r>
      <w:r w:rsidR="00977C78" w:rsidRPr="006F00D4">
        <w:rPr>
          <w:b/>
          <w:bCs/>
        </w:rPr>
        <w:t>)</w:t>
      </w:r>
      <w:r w:rsidR="00B07500">
        <w:tab/>
      </w:r>
      <w:r w:rsidR="00977C78">
        <w:t xml:space="preserve">: </w:t>
      </w:r>
    </w:p>
    <w:p w14:paraId="17052E77" w14:textId="7569B59B" w:rsidR="0052447D" w:rsidRDefault="0052447D" w:rsidP="00A814E4">
      <w:pPr>
        <w:pStyle w:val="ListParagraph"/>
        <w:numPr>
          <w:ilvl w:val="0"/>
          <w:numId w:val="20"/>
        </w:numPr>
        <w:spacing w:after="120" w:line="360" w:lineRule="auto"/>
        <w:ind w:left="1440"/>
        <w:contextualSpacing w:val="0"/>
        <w:jc w:val="both"/>
      </w:pPr>
      <w:r w:rsidRPr="006F00D4">
        <w:rPr>
          <w:b/>
          <w:bCs/>
        </w:rPr>
        <w:t>Authentication</w:t>
      </w:r>
      <w:r>
        <w:t>: Authentication</w:t>
      </w:r>
      <w:r w:rsidRPr="0052447D">
        <w:t xml:space="preserve"> is the process of proving you are who you say you are. Authentication is sometimes shortened to </w:t>
      </w:r>
      <w:proofErr w:type="spellStart"/>
      <w:r w:rsidRPr="0052447D">
        <w:t>AuthN</w:t>
      </w:r>
      <w:proofErr w:type="spellEnd"/>
      <w:r w:rsidRPr="0052447D">
        <w:t>. Microsoft identity platform implements the OpenID Connect protocol for handling authentication.</w:t>
      </w:r>
    </w:p>
    <w:p w14:paraId="596342DA" w14:textId="3FFA414B" w:rsidR="00DC4EAE" w:rsidRDefault="00DC4EAE" w:rsidP="00134F77">
      <w:pPr>
        <w:pStyle w:val="ListParagraph"/>
        <w:numPr>
          <w:ilvl w:val="0"/>
          <w:numId w:val="20"/>
        </w:numPr>
        <w:spacing w:line="360" w:lineRule="auto"/>
        <w:ind w:left="1440"/>
        <w:jc w:val="both"/>
      </w:pPr>
      <w:r w:rsidRPr="006F00D4">
        <w:rPr>
          <w:b/>
          <w:bCs/>
        </w:rPr>
        <w:t>Authorization</w:t>
      </w:r>
      <w:r>
        <w:t>: Authorization</w:t>
      </w:r>
      <w:r w:rsidRPr="00DC4EAE">
        <w:t xml:space="preserve"> is the act of granting an authenticated party permission to do something. It specifies what data you're allowed to access and what you can do with that data. Authorization is sometimes shortened to </w:t>
      </w:r>
      <w:proofErr w:type="spellStart"/>
      <w:r w:rsidRPr="00DC4EAE">
        <w:t>AuthZ</w:t>
      </w:r>
      <w:proofErr w:type="spellEnd"/>
      <w:r w:rsidRPr="00DC4EAE">
        <w:t>. Microsoft identity platform implements the OAuth 2.0 protocol for handling authorization.</w:t>
      </w:r>
      <w:r w:rsidR="00054A91">
        <w:t xml:space="preserve"> To know about authentication and authorization </w:t>
      </w:r>
      <w:hyperlink r:id="rId13" w:history="1">
        <w:r w:rsidR="00054A91" w:rsidRPr="00712778">
          <w:rPr>
            <w:rStyle w:val="Hyperlink"/>
          </w:rPr>
          <w:t>click here</w:t>
        </w:r>
      </w:hyperlink>
    </w:p>
    <w:p w14:paraId="2D3910AA" w14:textId="77777777" w:rsidR="00D81F8F" w:rsidRPr="0098066A" w:rsidRDefault="00D81F8F" w:rsidP="0098066A">
      <w:pPr>
        <w:pStyle w:val="Heading1"/>
        <w:numPr>
          <w:ilvl w:val="0"/>
          <w:numId w:val="4"/>
        </w:numPr>
        <w:spacing w:after="120"/>
        <w:ind w:left="360"/>
        <w:rPr>
          <w:b/>
          <w:sz w:val="40"/>
        </w:rPr>
      </w:pPr>
      <w:bookmarkStart w:id="4" w:name="_Toc42195166"/>
      <w:r w:rsidRPr="0098066A">
        <w:rPr>
          <w:b/>
          <w:sz w:val="40"/>
        </w:rPr>
        <w:t>Govern - Security Baseline</w:t>
      </w:r>
      <w:bookmarkEnd w:id="4"/>
    </w:p>
    <w:p w14:paraId="01410BB3" w14:textId="7FB75CBC" w:rsidR="00D81F8F" w:rsidRPr="0098066A" w:rsidRDefault="00D81F8F" w:rsidP="0098066A">
      <w:pPr>
        <w:pStyle w:val="Heading2"/>
        <w:numPr>
          <w:ilvl w:val="0"/>
          <w:numId w:val="7"/>
        </w:numPr>
        <w:tabs>
          <w:tab w:val="left" w:pos="540"/>
        </w:tabs>
        <w:spacing w:line="360" w:lineRule="auto"/>
        <w:ind w:left="810" w:hanging="450"/>
        <w:rPr>
          <w:rFonts w:ascii="Calibri" w:hAnsi="Calibri" w:cs="Segoe UI Light"/>
          <w:color w:val="0078D4"/>
          <w:sz w:val="28"/>
        </w:rPr>
      </w:pPr>
      <w:bookmarkStart w:id="5" w:name="_Toc42195167"/>
      <w:r w:rsidRPr="0098066A">
        <w:rPr>
          <w:rFonts w:ascii="Calibri" w:hAnsi="Calibri" w:cs="Segoe UI Light"/>
          <w:color w:val="0078D4"/>
          <w:sz w:val="28"/>
        </w:rPr>
        <w:t>Compliance and risk</w:t>
      </w:r>
      <w:bookmarkEnd w:id="5"/>
    </w:p>
    <w:p w14:paraId="376A7F82" w14:textId="09FDD099" w:rsidR="00D81F8F" w:rsidRDefault="00D81F8F" w:rsidP="00A814E4">
      <w:pPr>
        <w:pStyle w:val="ListParagraph"/>
        <w:numPr>
          <w:ilvl w:val="0"/>
          <w:numId w:val="11"/>
        </w:numPr>
        <w:spacing w:after="120" w:line="360" w:lineRule="auto"/>
        <w:contextualSpacing w:val="0"/>
        <w:jc w:val="both"/>
      </w:pPr>
      <w:r w:rsidRPr="00257612">
        <w:rPr>
          <w:b/>
          <w:bCs/>
        </w:rPr>
        <w:t>Compliance manager configuration, reporting, risk mitigation</w:t>
      </w:r>
      <w:r w:rsidR="00093779">
        <w:t xml:space="preserve">: </w:t>
      </w:r>
      <w:r w:rsidR="00093779" w:rsidRPr="00CB7B5E">
        <w:t xml:space="preserve">Compliance Manager uses several components to help you with your compliance management activities. These components work together to provide a complete management </w:t>
      </w:r>
      <w:r w:rsidR="00D00F79" w:rsidRPr="00CB7B5E">
        <w:t>workflow</w:t>
      </w:r>
      <w:r w:rsidR="00093779" w:rsidRPr="00CB7B5E">
        <w:t xml:space="preserve"> and hassle-free compliance reports for auditors.</w:t>
      </w:r>
    </w:p>
    <w:p w14:paraId="0BAA81E3" w14:textId="13098898" w:rsidR="00D81F8F" w:rsidRDefault="00D81F8F" w:rsidP="00A814E4">
      <w:pPr>
        <w:pStyle w:val="ListParagraph"/>
        <w:numPr>
          <w:ilvl w:val="0"/>
          <w:numId w:val="11"/>
        </w:numPr>
        <w:spacing w:after="120" w:line="360" w:lineRule="auto"/>
        <w:contextualSpacing w:val="0"/>
        <w:jc w:val="both"/>
      </w:pPr>
      <w:r w:rsidRPr="00257612">
        <w:rPr>
          <w:b/>
          <w:bCs/>
        </w:rPr>
        <w:lastRenderedPageBreak/>
        <w:t>Policy and Industry Standard controls configuration</w:t>
      </w:r>
      <w:r w:rsidR="00627F54">
        <w:t>:</w:t>
      </w:r>
      <w:r w:rsidR="00A70E88">
        <w:t xml:space="preserve"> </w:t>
      </w:r>
      <w:r w:rsidR="009A71ED" w:rsidRPr="009A71ED">
        <w:t xml:space="preserve">Azure Security Center continually compares the configuration of your resources with requirements in industry standards, regulations, and benchmarks. The regulatory compliance dashboard provides insights into your compliance posture based on how you're meeting specific compliance controls and requirements. </w:t>
      </w:r>
      <w:r w:rsidR="00A70E88">
        <w:t>To know about</w:t>
      </w:r>
      <w:r w:rsidR="00074410">
        <w:t xml:space="preserve"> policy and </w:t>
      </w:r>
      <w:r w:rsidR="00074410" w:rsidRPr="00074410">
        <w:t>Industry Standard controls configuration</w:t>
      </w:r>
      <w:r w:rsidR="00074410">
        <w:t xml:space="preserve"> </w:t>
      </w:r>
      <w:hyperlink r:id="rId14" w:history="1">
        <w:r w:rsidR="00074410" w:rsidRPr="00531E1C">
          <w:rPr>
            <w:rStyle w:val="Hyperlink"/>
          </w:rPr>
          <w:t>click here</w:t>
        </w:r>
      </w:hyperlink>
    </w:p>
    <w:p w14:paraId="2745905F" w14:textId="0A63B89B" w:rsidR="00D81F8F" w:rsidRDefault="00D81F8F" w:rsidP="00134F77">
      <w:pPr>
        <w:pStyle w:val="ListParagraph"/>
        <w:numPr>
          <w:ilvl w:val="0"/>
          <w:numId w:val="11"/>
        </w:numPr>
        <w:spacing w:line="360" w:lineRule="auto"/>
        <w:jc w:val="both"/>
      </w:pPr>
      <w:r w:rsidRPr="00257612">
        <w:rPr>
          <w:b/>
          <w:bCs/>
        </w:rPr>
        <w:t>Security Assessment - Secure score configuration</w:t>
      </w:r>
      <w:r w:rsidR="009A71ED">
        <w:t>:</w:t>
      </w:r>
      <w:r w:rsidR="00F26E16">
        <w:t xml:space="preserve"> </w:t>
      </w:r>
      <w:r w:rsidR="00F26E16" w:rsidRPr="00F26E16">
        <w:t>Security Center continually assesses your resources, subscriptions, and organization for security issues. It then aggregates all the findings into a single score so that you can tell, at a glance, your current security situation: the higher the score, the lower the identified risk level. Use the score to track security efforts and projects in your organization.</w:t>
      </w:r>
      <w:r w:rsidR="00F26E16">
        <w:t xml:space="preserve"> To know about </w:t>
      </w:r>
      <w:r w:rsidR="000C2599" w:rsidRPr="000C2599">
        <w:t>Security Assessment - Secure score configuration</w:t>
      </w:r>
      <w:r w:rsidR="00FC4146">
        <w:t xml:space="preserve"> </w:t>
      </w:r>
      <w:hyperlink r:id="rId15" w:history="1">
        <w:r w:rsidR="00FC4146" w:rsidRPr="00FC4146">
          <w:rPr>
            <w:rStyle w:val="Hyperlink"/>
          </w:rPr>
          <w:t>click here</w:t>
        </w:r>
      </w:hyperlink>
    </w:p>
    <w:p w14:paraId="32C05B1D" w14:textId="33EE6C6D" w:rsidR="00D81F8F" w:rsidRPr="0098066A" w:rsidRDefault="00D81F8F" w:rsidP="0098066A">
      <w:pPr>
        <w:pStyle w:val="Heading2"/>
        <w:numPr>
          <w:ilvl w:val="0"/>
          <w:numId w:val="7"/>
        </w:numPr>
        <w:tabs>
          <w:tab w:val="left" w:pos="540"/>
        </w:tabs>
        <w:spacing w:line="360" w:lineRule="auto"/>
        <w:ind w:left="810" w:hanging="450"/>
        <w:rPr>
          <w:rFonts w:ascii="Calibri" w:hAnsi="Calibri" w:cs="Segoe UI Light"/>
          <w:color w:val="0078D4"/>
          <w:sz w:val="28"/>
        </w:rPr>
      </w:pPr>
      <w:bookmarkStart w:id="6" w:name="_Toc42195168"/>
      <w:r w:rsidRPr="0098066A">
        <w:rPr>
          <w:rFonts w:ascii="Calibri" w:hAnsi="Calibri" w:cs="Segoe UI Light"/>
          <w:color w:val="0078D4"/>
          <w:sz w:val="28"/>
        </w:rPr>
        <w:t xml:space="preserve">Data </w:t>
      </w:r>
      <w:r w:rsidR="00DF3F18">
        <w:rPr>
          <w:rFonts w:ascii="Calibri" w:hAnsi="Calibri" w:cs="Segoe UI Light"/>
          <w:color w:val="0078D4"/>
          <w:sz w:val="28"/>
        </w:rPr>
        <w:t>E</w:t>
      </w:r>
      <w:r w:rsidRPr="0098066A">
        <w:rPr>
          <w:rFonts w:ascii="Calibri" w:hAnsi="Calibri" w:cs="Segoe UI Light"/>
          <w:color w:val="0078D4"/>
          <w:sz w:val="28"/>
        </w:rPr>
        <w:t>ncryption</w:t>
      </w:r>
      <w:bookmarkEnd w:id="6"/>
    </w:p>
    <w:p w14:paraId="77011228" w14:textId="2FF8B807" w:rsidR="006E3954" w:rsidRDefault="0051603F" w:rsidP="00134F77">
      <w:pPr>
        <w:pStyle w:val="ListParagraph"/>
        <w:numPr>
          <w:ilvl w:val="0"/>
          <w:numId w:val="13"/>
        </w:numPr>
        <w:spacing w:line="360" w:lineRule="auto"/>
        <w:jc w:val="both"/>
      </w:pPr>
      <w:r w:rsidRPr="008A2BE3">
        <w:rPr>
          <w:b/>
          <w:bCs/>
        </w:rPr>
        <w:t>D</w:t>
      </w:r>
      <w:r w:rsidR="00D81F8F" w:rsidRPr="008A2BE3">
        <w:rPr>
          <w:b/>
          <w:bCs/>
        </w:rPr>
        <w:t>ata at rest encryption is performed on the Azure platform</w:t>
      </w:r>
      <w:r w:rsidR="006E3954">
        <w:t xml:space="preserve">: </w:t>
      </w:r>
      <w:r w:rsidR="006E3954" w:rsidRPr="006E3954">
        <w:t>Encryption at Rest is the encoding (encryption) of data when it is persisted. The Encryption at Rest designs in Azure use symmetric encryption to encrypt and decrypt large amounts of data quickly according to a simple conceptual model</w:t>
      </w:r>
      <w:r w:rsidR="006E3954">
        <w:t xml:space="preserve">. To know about Data Encryption </w:t>
      </w:r>
      <w:hyperlink r:id="rId16" w:history="1">
        <w:r w:rsidR="002176DF" w:rsidRPr="002176DF">
          <w:rPr>
            <w:rStyle w:val="Hyperlink"/>
          </w:rPr>
          <w:t>click here</w:t>
        </w:r>
      </w:hyperlink>
    </w:p>
    <w:p w14:paraId="3C594FF0" w14:textId="77777777" w:rsidR="00D81F8F" w:rsidRPr="0098066A" w:rsidRDefault="00D81F8F" w:rsidP="0098066A">
      <w:pPr>
        <w:pStyle w:val="Heading2"/>
        <w:numPr>
          <w:ilvl w:val="0"/>
          <w:numId w:val="7"/>
        </w:numPr>
        <w:tabs>
          <w:tab w:val="left" w:pos="540"/>
        </w:tabs>
        <w:spacing w:line="360" w:lineRule="auto"/>
        <w:ind w:left="810" w:hanging="450"/>
        <w:rPr>
          <w:rFonts w:ascii="Calibri" w:hAnsi="Calibri" w:cs="Segoe UI Light"/>
          <w:color w:val="0078D4"/>
          <w:sz w:val="28"/>
        </w:rPr>
      </w:pPr>
      <w:bookmarkStart w:id="7" w:name="_Toc42195169"/>
      <w:r w:rsidRPr="0098066A">
        <w:rPr>
          <w:rFonts w:ascii="Calibri" w:hAnsi="Calibri" w:cs="Segoe UI Light"/>
          <w:color w:val="0078D4"/>
          <w:sz w:val="28"/>
        </w:rPr>
        <w:t>Data Security - Encryption</w:t>
      </w:r>
      <w:bookmarkEnd w:id="7"/>
    </w:p>
    <w:p w14:paraId="495ACD28" w14:textId="77777777" w:rsidR="00527BBF" w:rsidRDefault="00D81F8F" w:rsidP="00A814E4">
      <w:pPr>
        <w:spacing w:after="0" w:line="360" w:lineRule="auto"/>
        <w:ind w:left="806"/>
        <w:jc w:val="both"/>
      </w:pPr>
      <w:r w:rsidRPr="002C12F0">
        <w:rPr>
          <w:b/>
          <w:bCs/>
        </w:rPr>
        <w:t>Azure Key Vault</w:t>
      </w:r>
      <w:r w:rsidR="00B85D35">
        <w:t>:</w:t>
      </w:r>
      <w:r w:rsidR="00A64CCC" w:rsidRPr="00A64CCC">
        <w:t xml:space="preserve"> </w:t>
      </w:r>
      <w:r w:rsidR="00527BBF" w:rsidRPr="00527BBF">
        <w:t xml:space="preserve">Azure Key Vault provides a centralized key management solution that offers a consistent management solution for many cloud-based and even on-premises services that use encryption. </w:t>
      </w:r>
    </w:p>
    <w:p w14:paraId="495C8CF1" w14:textId="429AD7EF" w:rsidR="00D81F8F" w:rsidRDefault="00D81F8F" w:rsidP="00134F77">
      <w:pPr>
        <w:pStyle w:val="ListParagraph"/>
        <w:numPr>
          <w:ilvl w:val="0"/>
          <w:numId w:val="1"/>
        </w:numPr>
        <w:spacing w:after="0" w:line="360" w:lineRule="auto"/>
        <w:ind w:left="1440"/>
        <w:jc w:val="both"/>
      </w:pPr>
      <w:r>
        <w:t>Configure Bring your own keys configuration per policy (BYOK)</w:t>
      </w:r>
    </w:p>
    <w:p w14:paraId="7E97E2D2" w14:textId="7C88869C" w:rsidR="00D81F8F" w:rsidRDefault="00D81F8F" w:rsidP="00134F77">
      <w:pPr>
        <w:pStyle w:val="ListParagraph"/>
        <w:numPr>
          <w:ilvl w:val="0"/>
          <w:numId w:val="1"/>
        </w:numPr>
        <w:spacing w:after="0" w:line="360" w:lineRule="auto"/>
        <w:ind w:left="1440"/>
        <w:jc w:val="both"/>
      </w:pPr>
      <w:r>
        <w:t>Configure HSM per company standard and policy</w:t>
      </w:r>
    </w:p>
    <w:p w14:paraId="23E59A5C" w14:textId="1CA0FACC" w:rsidR="00D81F8F" w:rsidRDefault="00D81F8F" w:rsidP="00134F77">
      <w:pPr>
        <w:pStyle w:val="ListParagraph"/>
        <w:numPr>
          <w:ilvl w:val="0"/>
          <w:numId w:val="1"/>
        </w:numPr>
        <w:spacing w:after="0" w:line="360" w:lineRule="auto"/>
        <w:ind w:left="1440"/>
        <w:jc w:val="both"/>
      </w:pPr>
      <w:r>
        <w:t>Configure Key rotation policy</w:t>
      </w:r>
    </w:p>
    <w:p w14:paraId="3A5F8FDE" w14:textId="66C21BC7" w:rsidR="00D81F8F" w:rsidRDefault="00D81F8F" w:rsidP="00134F77">
      <w:pPr>
        <w:pStyle w:val="ListParagraph"/>
        <w:numPr>
          <w:ilvl w:val="0"/>
          <w:numId w:val="1"/>
        </w:numPr>
        <w:spacing w:after="0" w:line="360" w:lineRule="auto"/>
        <w:ind w:left="1440"/>
        <w:jc w:val="both"/>
      </w:pPr>
      <w:r>
        <w:t>configure internal/External CA per company standard and policy</w:t>
      </w:r>
    </w:p>
    <w:p w14:paraId="7F1F0652" w14:textId="7CB095A1" w:rsidR="00D81F8F" w:rsidRDefault="00D81F8F" w:rsidP="00134F77">
      <w:pPr>
        <w:pStyle w:val="ListParagraph"/>
        <w:numPr>
          <w:ilvl w:val="0"/>
          <w:numId w:val="1"/>
        </w:numPr>
        <w:spacing w:after="0" w:line="360" w:lineRule="auto"/>
        <w:ind w:left="1440"/>
        <w:jc w:val="both"/>
      </w:pPr>
      <w:r>
        <w:t>Key management policies</w:t>
      </w:r>
    </w:p>
    <w:p w14:paraId="64426D5A" w14:textId="77777777" w:rsidR="00D81F8F" w:rsidRDefault="00D81F8F" w:rsidP="00A814E4">
      <w:pPr>
        <w:pStyle w:val="ListParagraph"/>
        <w:numPr>
          <w:ilvl w:val="0"/>
          <w:numId w:val="1"/>
        </w:numPr>
        <w:spacing w:after="120" w:line="360" w:lineRule="auto"/>
        <w:ind w:left="1440"/>
        <w:contextualSpacing w:val="0"/>
        <w:jc w:val="both"/>
      </w:pPr>
      <w:r>
        <w:t xml:space="preserve">Configuring customer-managed encryption keys for Azure Storage – Always encrypted </w:t>
      </w:r>
    </w:p>
    <w:p w14:paraId="4335C273" w14:textId="73D91D27" w:rsidR="00B85D35" w:rsidRDefault="00D81F8F" w:rsidP="00134F77">
      <w:pPr>
        <w:spacing w:after="0" w:line="360" w:lineRule="auto"/>
        <w:ind w:left="810"/>
        <w:jc w:val="both"/>
      </w:pPr>
      <w:r w:rsidRPr="00A02286">
        <w:rPr>
          <w:b/>
          <w:bCs/>
        </w:rPr>
        <w:t>Data at rest</w:t>
      </w:r>
      <w:r w:rsidR="00B85D35">
        <w:t>:</w:t>
      </w:r>
      <w:r w:rsidR="00BC0E1A" w:rsidRPr="00BC0E1A">
        <w:t xml:space="preserve"> Encryption at Rest is a common security requirement. In Azure, organizations can encrypt data at rest without the risk or cost of a custom key management solution. Organizations have the option of letting Azure completely manage Encryption at Rest</w:t>
      </w:r>
      <w:r w:rsidR="00BC0E1A">
        <w:t>.</w:t>
      </w:r>
    </w:p>
    <w:p w14:paraId="6369EF62" w14:textId="3995CF12" w:rsidR="00D81F8F" w:rsidRDefault="00D81F8F" w:rsidP="00134F77">
      <w:pPr>
        <w:pStyle w:val="ListParagraph"/>
        <w:numPr>
          <w:ilvl w:val="0"/>
          <w:numId w:val="1"/>
        </w:numPr>
        <w:spacing w:after="0" w:line="360" w:lineRule="auto"/>
        <w:ind w:left="1440"/>
        <w:jc w:val="both"/>
      </w:pPr>
      <w:r>
        <w:t xml:space="preserve">Configure Encrypting - VM Disks (Windows and Linux VMs Bit locker/DM Crypt </w:t>
      </w:r>
    </w:p>
    <w:p w14:paraId="72116CB3" w14:textId="11586464" w:rsidR="00D81F8F" w:rsidRDefault="00D81F8F" w:rsidP="00134F77">
      <w:pPr>
        <w:pStyle w:val="ListParagraph"/>
        <w:numPr>
          <w:ilvl w:val="0"/>
          <w:numId w:val="1"/>
        </w:numPr>
        <w:spacing w:after="0" w:line="360" w:lineRule="auto"/>
        <w:ind w:left="1440"/>
        <w:jc w:val="both"/>
      </w:pPr>
      <w:r>
        <w:t>Configure Encrypting -Azure storage encryption</w:t>
      </w:r>
    </w:p>
    <w:p w14:paraId="2183F0A9" w14:textId="07101830" w:rsidR="00D81F8F" w:rsidRDefault="00D81F8F" w:rsidP="00134F77">
      <w:pPr>
        <w:pStyle w:val="ListParagraph"/>
        <w:numPr>
          <w:ilvl w:val="0"/>
          <w:numId w:val="1"/>
        </w:numPr>
        <w:spacing w:after="0" w:line="360" w:lineRule="auto"/>
        <w:ind w:left="1440"/>
        <w:jc w:val="both"/>
      </w:pPr>
      <w:r>
        <w:lastRenderedPageBreak/>
        <w:t>Configure Encrypting SQL DB - TDE</w:t>
      </w:r>
    </w:p>
    <w:p w14:paraId="5DB450F2" w14:textId="0F7CA456" w:rsidR="00D81F8F" w:rsidRDefault="00D81F8F" w:rsidP="00A814E4">
      <w:pPr>
        <w:pStyle w:val="ListParagraph"/>
        <w:numPr>
          <w:ilvl w:val="0"/>
          <w:numId w:val="1"/>
        </w:numPr>
        <w:spacing w:after="120" w:line="360" w:lineRule="auto"/>
        <w:ind w:left="1440"/>
        <w:jc w:val="both"/>
      </w:pPr>
      <w:r>
        <w:t xml:space="preserve">Configure Encrypting SQL DB -SQL Always Encrypted </w:t>
      </w:r>
    </w:p>
    <w:p w14:paraId="69922DAD" w14:textId="721408E0" w:rsidR="00D81F8F" w:rsidRDefault="00D81F8F" w:rsidP="00A814E4">
      <w:pPr>
        <w:spacing w:after="120" w:line="360" w:lineRule="auto"/>
        <w:ind w:left="806"/>
        <w:jc w:val="both"/>
      </w:pPr>
      <w:r w:rsidRPr="00A02286">
        <w:rPr>
          <w:b/>
          <w:bCs/>
        </w:rPr>
        <w:t>Encrypting data in use</w:t>
      </w:r>
      <w:r w:rsidR="003405DB">
        <w:t xml:space="preserve">: </w:t>
      </w:r>
      <w:r>
        <w:t xml:space="preserve"> Azure Confidential computing for multi-tenant scenario </w:t>
      </w:r>
    </w:p>
    <w:p w14:paraId="7EA232E6" w14:textId="77777777" w:rsidR="003405DB" w:rsidRDefault="00D81F8F" w:rsidP="00134F77">
      <w:pPr>
        <w:spacing w:after="0" w:line="360" w:lineRule="auto"/>
        <w:ind w:left="810"/>
        <w:jc w:val="both"/>
      </w:pPr>
      <w:r w:rsidRPr="00A02286">
        <w:rPr>
          <w:b/>
          <w:bCs/>
        </w:rPr>
        <w:t>Encryption data in transit</w:t>
      </w:r>
      <w:r w:rsidR="003405DB">
        <w:t>:</w:t>
      </w:r>
    </w:p>
    <w:p w14:paraId="27EF36EB" w14:textId="7C024872" w:rsidR="00D81F8F" w:rsidRDefault="00D81F8F" w:rsidP="00134F77">
      <w:pPr>
        <w:pStyle w:val="ListParagraph"/>
        <w:numPr>
          <w:ilvl w:val="0"/>
          <w:numId w:val="1"/>
        </w:numPr>
        <w:spacing w:after="0" w:line="360" w:lineRule="auto"/>
        <w:ind w:left="1440"/>
        <w:jc w:val="both"/>
      </w:pPr>
      <w:r>
        <w:t>Azure App Service - https://. azurewebsites.net - Custom domains and certificates</w:t>
      </w:r>
    </w:p>
    <w:p w14:paraId="1F1A8C85" w14:textId="2F879A91" w:rsidR="00D81F8F" w:rsidRDefault="00D81F8F" w:rsidP="00134F77">
      <w:pPr>
        <w:pStyle w:val="ListParagraph"/>
        <w:numPr>
          <w:ilvl w:val="0"/>
          <w:numId w:val="1"/>
        </w:numPr>
        <w:spacing w:after="0" w:line="360" w:lineRule="auto"/>
        <w:ind w:left="1440"/>
        <w:jc w:val="both"/>
      </w:pPr>
      <w:r>
        <w:t>Azure portal uses HTTPS</w:t>
      </w:r>
    </w:p>
    <w:p w14:paraId="588D982A" w14:textId="00416DA5" w:rsidR="00D81F8F" w:rsidRDefault="00D81F8F" w:rsidP="00134F77">
      <w:pPr>
        <w:pStyle w:val="ListParagraph"/>
        <w:numPr>
          <w:ilvl w:val="0"/>
          <w:numId w:val="1"/>
        </w:numPr>
        <w:spacing w:after="0" w:line="360" w:lineRule="auto"/>
        <w:ind w:left="1440"/>
        <w:jc w:val="both"/>
      </w:pPr>
      <w:r>
        <w:t>Azure Storage REST endpoints - HTTPS is optional - SAS can enforce HTTPS</w:t>
      </w:r>
    </w:p>
    <w:p w14:paraId="4B1378E5" w14:textId="6917F28F" w:rsidR="00D81F8F" w:rsidRDefault="00D81F8F" w:rsidP="00134F77">
      <w:pPr>
        <w:pStyle w:val="ListParagraph"/>
        <w:numPr>
          <w:ilvl w:val="0"/>
          <w:numId w:val="1"/>
        </w:numPr>
        <w:spacing w:after="0" w:line="360" w:lineRule="auto"/>
        <w:ind w:left="1440"/>
        <w:jc w:val="both"/>
      </w:pPr>
      <w:r>
        <w:t>Encryption of all public endpoints - VPN, Express routes encryption</w:t>
      </w:r>
    </w:p>
    <w:p w14:paraId="4511C9C6" w14:textId="77777777" w:rsidR="00D81F8F" w:rsidRDefault="00D81F8F" w:rsidP="00572D4C">
      <w:pPr>
        <w:pStyle w:val="ListParagraph"/>
        <w:numPr>
          <w:ilvl w:val="0"/>
          <w:numId w:val="1"/>
        </w:numPr>
        <w:spacing w:after="0" w:line="360" w:lineRule="auto"/>
        <w:ind w:left="1440"/>
        <w:jc w:val="both"/>
      </w:pPr>
      <w:r>
        <w:t xml:space="preserve">Security center alerts configuration </w:t>
      </w:r>
    </w:p>
    <w:p w14:paraId="56768FF0" w14:textId="59704E30" w:rsidR="00D81F8F" w:rsidRDefault="00D81F8F" w:rsidP="00F80ED6">
      <w:pPr>
        <w:spacing w:line="360" w:lineRule="auto"/>
        <w:ind w:left="806"/>
        <w:jc w:val="both"/>
      </w:pPr>
      <w:r>
        <w:t>Security documents and emails</w:t>
      </w:r>
      <w:r w:rsidR="00D66CA8">
        <w:t xml:space="preserve">: </w:t>
      </w:r>
      <w:r>
        <w:t>Azure information Protection (labeling and classification)</w:t>
      </w:r>
    </w:p>
    <w:p w14:paraId="1D7CD051" w14:textId="266D3E38" w:rsidR="00D81F8F" w:rsidRDefault="00D81F8F" w:rsidP="0098066A">
      <w:pPr>
        <w:pStyle w:val="Heading2"/>
        <w:numPr>
          <w:ilvl w:val="0"/>
          <w:numId w:val="7"/>
        </w:numPr>
        <w:tabs>
          <w:tab w:val="left" w:pos="540"/>
        </w:tabs>
        <w:spacing w:line="360" w:lineRule="auto"/>
        <w:ind w:left="810" w:hanging="450"/>
        <w:rPr>
          <w:rFonts w:ascii="Calibri" w:hAnsi="Calibri" w:cs="Segoe UI Light"/>
          <w:color w:val="0078D4"/>
          <w:sz w:val="28"/>
        </w:rPr>
      </w:pPr>
      <w:bookmarkStart w:id="8" w:name="_Toc42195170"/>
      <w:r w:rsidRPr="0098066A">
        <w:rPr>
          <w:rFonts w:ascii="Calibri" w:hAnsi="Calibri" w:cs="Segoe UI Light"/>
          <w:color w:val="0078D4"/>
          <w:sz w:val="28"/>
        </w:rPr>
        <w:t xml:space="preserve">DDoS </w:t>
      </w:r>
      <w:r w:rsidR="00DF3F18">
        <w:rPr>
          <w:rFonts w:ascii="Calibri" w:hAnsi="Calibri" w:cs="Segoe UI Light"/>
          <w:color w:val="0078D4"/>
          <w:sz w:val="28"/>
        </w:rPr>
        <w:t>P</w:t>
      </w:r>
      <w:r w:rsidRPr="0098066A">
        <w:rPr>
          <w:rFonts w:ascii="Calibri" w:hAnsi="Calibri" w:cs="Segoe UI Light"/>
          <w:color w:val="0078D4"/>
          <w:sz w:val="28"/>
        </w:rPr>
        <w:t>rotection</w:t>
      </w:r>
      <w:bookmarkEnd w:id="8"/>
    </w:p>
    <w:p w14:paraId="2BB8F1EA" w14:textId="710A8E2A" w:rsidR="0074225A" w:rsidRPr="0074225A" w:rsidRDefault="0074225A" w:rsidP="00F80ED6">
      <w:pPr>
        <w:spacing w:after="0" w:line="360" w:lineRule="auto"/>
        <w:ind w:left="720"/>
      </w:pPr>
      <w:r w:rsidRPr="0074225A">
        <w:t>Distributed denial of service (DDoS) attacks are some of the largest availability and security concerns facing customers that are moving their applications to the cloud. A DDoS attack attempts to exhaust an application's resources, making the application unavailable to legitimate users. DDoS attacks can be targeted at any endpoint that is publicly reachable through the internet.</w:t>
      </w:r>
    </w:p>
    <w:p w14:paraId="58507D01" w14:textId="769B37C4" w:rsidR="00D81F8F" w:rsidRDefault="00D81F8F" w:rsidP="00F80ED6">
      <w:pPr>
        <w:pStyle w:val="ListParagraph"/>
        <w:numPr>
          <w:ilvl w:val="0"/>
          <w:numId w:val="15"/>
        </w:numPr>
        <w:spacing w:line="360" w:lineRule="auto"/>
        <w:ind w:left="1166"/>
        <w:jc w:val="both"/>
      </w:pPr>
      <w:r w:rsidRPr="00E927C8">
        <w:rPr>
          <w:b/>
          <w:bCs/>
        </w:rPr>
        <w:t>Use Azure DDoS Protection Standard to minimize disruptions caused by DDoS attacks.</w:t>
      </w:r>
      <w:r w:rsidR="008A2BE3">
        <w:t xml:space="preserve"> </w:t>
      </w:r>
      <w:hyperlink r:id="rId17" w:history="1">
        <w:r w:rsidR="008A2BE3" w:rsidRPr="00766782">
          <w:rPr>
            <w:rStyle w:val="Hyperlink"/>
          </w:rPr>
          <w:t>Click here</w:t>
        </w:r>
      </w:hyperlink>
    </w:p>
    <w:p w14:paraId="22D87771" w14:textId="77777777" w:rsidR="00D81F8F" w:rsidRDefault="00D81F8F" w:rsidP="0098066A">
      <w:pPr>
        <w:pStyle w:val="Heading2"/>
        <w:numPr>
          <w:ilvl w:val="0"/>
          <w:numId w:val="7"/>
        </w:numPr>
        <w:tabs>
          <w:tab w:val="left" w:pos="540"/>
        </w:tabs>
        <w:spacing w:line="360" w:lineRule="auto"/>
        <w:ind w:left="810" w:hanging="450"/>
        <w:rPr>
          <w:rFonts w:ascii="Calibri" w:hAnsi="Calibri" w:cs="Segoe UI Light"/>
          <w:color w:val="0078D4"/>
          <w:sz w:val="28"/>
        </w:rPr>
      </w:pPr>
      <w:bookmarkStart w:id="9" w:name="_Toc42195171"/>
      <w:r w:rsidRPr="0098066A">
        <w:rPr>
          <w:rFonts w:ascii="Calibri" w:hAnsi="Calibri" w:cs="Segoe UI Light"/>
          <w:color w:val="0078D4"/>
          <w:sz w:val="28"/>
        </w:rPr>
        <w:t>Deployment Acceleration</w:t>
      </w:r>
      <w:bookmarkEnd w:id="9"/>
    </w:p>
    <w:p w14:paraId="24128B7D" w14:textId="567AF512" w:rsidR="00C24D60" w:rsidRPr="00C24D60" w:rsidRDefault="007613D9" w:rsidP="00F80ED6">
      <w:pPr>
        <w:spacing w:after="0" w:line="360" w:lineRule="auto"/>
        <w:ind w:left="720"/>
      </w:pPr>
      <w:r w:rsidRPr="007613D9">
        <w:t>Deploying Azure Information Protection from a technical standpoint is a fairly simple task.  Where it becomes challenging is when you begin looking at the business requirements that must be in place prior to deployment of AIP.</w:t>
      </w:r>
    </w:p>
    <w:p w14:paraId="656AE8FD" w14:textId="622348C0" w:rsidR="00D81F8F" w:rsidRDefault="0051603F" w:rsidP="004638D8">
      <w:pPr>
        <w:pStyle w:val="ListParagraph"/>
        <w:numPr>
          <w:ilvl w:val="0"/>
          <w:numId w:val="15"/>
        </w:numPr>
        <w:spacing w:after="0" w:line="360" w:lineRule="auto"/>
        <w:jc w:val="both"/>
      </w:pPr>
      <w:r>
        <w:t>A</w:t>
      </w:r>
      <w:r w:rsidR="00D81F8F">
        <w:t xml:space="preserve">ll assets deployed to the cloud should be deployed using templates or automation </w:t>
      </w:r>
      <w:r>
        <w:t>S</w:t>
      </w:r>
      <w:r w:rsidR="00D81F8F">
        <w:t>cripts, where possible</w:t>
      </w:r>
    </w:p>
    <w:p w14:paraId="517921ED" w14:textId="77777777" w:rsidR="00D81F8F" w:rsidRDefault="00D81F8F" w:rsidP="004638D8">
      <w:pPr>
        <w:pStyle w:val="ListParagraph"/>
        <w:numPr>
          <w:ilvl w:val="0"/>
          <w:numId w:val="15"/>
        </w:numPr>
        <w:spacing w:after="0" w:line="360" w:lineRule="auto"/>
        <w:jc w:val="both"/>
      </w:pPr>
      <w:r>
        <w:t>Azure Blueprints</w:t>
      </w:r>
    </w:p>
    <w:p w14:paraId="2F177025" w14:textId="77777777" w:rsidR="00D81F8F" w:rsidRDefault="00D81F8F" w:rsidP="00266520">
      <w:pPr>
        <w:pStyle w:val="ListParagraph"/>
        <w:numPr>
          <w:ilvl w:val="0"/>
          <w:numId w:val="15"/>
        </w:numPr>
        <w:spacing w:line="360" w:lineRule="auto"/>
        <w:ind w:left="1166"/>
        <w:jc w:val="both"/>
      </w:pPr>
      <w:r>
        <w:t>Azure DevOps Pipelines</w:t>
      </w:r>
    </w:p>
    <w:p w14:paraId="3135F643" w14:textId="0C970A83" w:rsidR="00D81F8F" w:rsidRPr="0098066A" w:rsidRDefault="00D81F8F" w:rsidP="0098066A">
      <w:pPr>
        <w:pStyle w:val="Heading2"/>
        <w:numPr>
          <w:ilvl w:val="0"/>
          <w:numId w:val="7"/>
        </w:numPr>
        <w:tabs>
          <w:tab w:val="left" w:pos="540"/>
        </w:tabs>
        <w:spacing w:line="360" w:lineRule="auto"/>
        <w:ind w:left="810" w:hanging="450"/>
        <w:rPr>
          <w:rFonts w:ascii="Calibri" w:hAnsi="Calibri" w:cs="Segoe UI Light"/>
          <w:color w:val="0078D4"/>
          <w:sz w:val="28"/>
        </w:rPr>
      </w:pPr>
      <w:bookmarkStart w:id="10" w:name="_Toc42195172"/>
      <w:r w:rsidRPr="0098066A">
        <w:rPr>
          <w:rFonts w:ascii="Calibri" w:hAnsi="Calibri" w:cs="Segoe UI Light"/>
          <w:color w:val="0078D4"/>
          <w:sz w:val="28"/>
        </w:rPr>
        <w:t xml:space="preserve">Hybrid Network </w:t>
      </w:r>
      <w:r w:rsidR="00DF3F18">
        <w:rPr>
          <w:rFonts w:ascii="Calibri" w:hAnsi="Calibri" w:cs="Segoe UI Light"/>
          <w:color w:val="0078D4"/>
          <w:sz w:val="28"/>
        </w:rPr>
        <w:t>S</w:t>
      </w:r>
      <w:r w:rsidRPr="0098066A">
        <w:rPr>
          <w:rFonts w:ascii="Calibri" w:hAnsi="Calibri" w:cs="Segoe UI Light"/>
          <w:color w:val="0078D4"/>
          <w:sz w:val="28"/>
        </w:rPr>
        <w:t>ecurity/Identity</w:t>
      </w:r>
      <w:bookmarkEnd w:id="10"/>
    </w:p>
    <w:p w14:paraId="7E35325E" w14:textId="77777777" w:rsidR="00D81F8F" w:rsidRDefault="00D81F8F" w:rsidP="00266520">
      <w:pPr>
        <w:spacing w:line="360" w:lineRule="auto"/>
        <w:ind w:left="720"/>
        <w:jc w:val="both"/>
      </w:pPr>
      <w:r>
        <w:t xml:space="preserve">Redirect cloud authentication through on-premise firewall (if Azure AD connect environment is in place) i.e. Route and NSG configurations </w:t>
      </w:r>
    </w:p>
    <w:p w14:paraId="59DA2BAB" w14:textId="77777777" w:rsidR="00D81F8F" w:rsidRPr="0098066A" w:rsidRDefault="00D81F8F" w:rsidP="0098066A">
      <w:pPr>
        <w:pStyle w:val="Heading2"/>
        <w:numPr>
          <w:ilvl w:val="0"/>
          <w:numId w:val="7"/>
        </w:numPr>
        <w:tabs>
          <w:tab w:val="left" w:pos="540"/>
        </w:tabs>
        <w:spacing w:line="360" w:lineRule="auto"/>
        <w:ind w:left="810" w:hanging="450"/>
        <w:rPr>
          <w:rFonts w:ascii="Calibri" w:hAnsi="Calibri" w:cs="Segoe UI Light"/>
          <w:color w:val="0078D4"/>
          <w:sz w:val="28"/>
        </w:rPr>
      </w:pPr>
      <w:bookmarkStart w:id="11" w:name="_Toc42195173"/>
      <w:r w:rsidRPr="0098066A">
        <w:rPr>
          <w:rFonts w:ascii="Calibri" w:hAnsi="Calibri" w:cs="Segoe UI Light"/>
          <w:color w:val="0078D4"/>
          <w:sz w:val="28"/>
        </w:rPr>
        <w:lastRenderedPageBreak/>
        <w:t>Infrastructure Security</w:t>
      </w:r>
      <w:bookmarkEnd w:id="11"/>
    </w:p>
    <w:p w14:paraId="21CA3223" w14:textId="47034F7B" w:rsidR="00D81F8F" w:rsidRDefault="00D81F8F" w:rsidP="00A814E4">
      <w:pPr>
        <w:pStyle w:val="ListParagraph"/>
        <w:numPr>
          <w:ilvl w:val="2"/>
          <w:numId w:val="21"/>
        </w:numPr>
        <w:spacing w:after="120" w:line="360" w:lineRule="auto"/>
        <w:ind w:left="1267"/>
        <w:contextualSpacing w:val="0"/>
        <w:jc w:val="both"/>
      </w:pPr>
      <w:r w:rsidRPr="00186F80">
        <w:rPr>
          <w:b/>
          <w:bCs/>
        </w:rPr>
        <w:t>Develop an Azure Blueprint</w:t>
      </w:r>
      <w:r w:rsidR="00A92CBA">
        <w:t xml:space="preserve">: </w:t>
      </w:r>
      <w:r w:rsidR="00D11483">
        <w:t>C</w:t>
      </w:r>
      <w:r w:rsidR="00A92CBA" w:rsidRPr="00A92CBA">
        <w:t>reate and assign blueprints, you can define common patterns to develop reusable and rapidly deployable configurations based on Azure Resource Manager templates, policy, security, and more. In this tutorial, you learn to use Azure Blueprints to do some of the common tasks related to creating, publishing, and assigning a blueprint within your organization.</w:t>
      </w:r>
      <w:r w:rsidR="00D11483">
        <w:t xml:space="preserve"> To develop an azure blueprint </w:t>
      </w:r>
      <w:hyperlink r:id="rId18" w:history="1">
        <w:r w:rsidR="00D11483" w:rsidRPr="00D11483">
          <w:rPr>
            <w:rStyle w:val="Hyperlink"/>
          </w:rPr>
          <w:t>click here</w:t>
        </w:r>
      </w:hyperlink>
    </w:p>
    <w:p w14:paraId="64F23B95" w14:textId="73163E9D" w:rsidR="00D81F8F" w:rsidRDefault="00D81F8F" w:rsidP="00A814E4">
      <w:pPr>
        <w:pStyle w:val="ListParagraph"/>
        <w:numPr>
          <w:ilvl w:val="2"/>
          <w:numId w:val="21"/>
        </w:numPr>
        <w:spacing w:after="120" w:line="360" w:lineRule="auto"/>
        <w:ind w:left="1267"/>
        <w:contextualSpacing w:val="0"/>
        <w:jc w:val="both"/>
      </w:pPr>
      <w:r w:rsidRPr="00186F80">
        <w:rPr>
          <w:b/>
          <w:bCs/>
        </w:rPr>
        <w:t>Naming conventions and tags</w:t>
      </w:r>
      <w:r w:rsidR="00BD0C46">
        <w:t xml:space="preserve">: </w:t>
      </w:r>
      <w:r w:rsidR="0072665C" w:rsidRPr="0072665C">
        <w:t>Organize your cloud assets to support operational management and accounting requirements. Well-defined naming and metadata tagging conventions help to quickly locate and manage resources.</w:t>
      </w:r>
      <w:r w:rsidR="00D92A7C">
        <w:t xml:space="preserve"> </w:t>
      </w:r>
      <w:hyperlink r:id="rId19" w:history="1">
        <w:r w:rsidR="00D92A7C" w:rsidRPr="00D92A7C">
          <w:rPr>
            <w:rStyle w:val="Hyperlink"/>
          </w:rPr>
          <w:t>Click here</w:t>
        </w:r>
      </w:hyperlink>
    </w:p>
    <w:p w14:paraId="3BE4BF49" w14:textId="7A267D00" w:rsidR="00D81F8F" w:rsidRDefault="00D81F8F" w:rsidP="00A814E4">
      <w:pPr>
        <w:pStyle w:val="ListParagraph"/>
        <w:numPr>
          <w:ilvl w:val="2"/>
          <w:numId w:val="21"/>
        </w:numPr>
        <w:spacing w:after="120" w:line="360" w:lineRule="auto"/>
        <w:ind w:left="1267"/>
        <w:contextualSpacing w:val="0"/>
        <w:jc w:val="both"/>
      </w:pPr>
      <w:r w:rsidRPr="00186F80">
        <w:rPr>
          <w:b/>
          <w:bCs/>
        </w:rPr>
        <w:t>Role-based access control model</w:t>
      </w:r>
      <w:r w:rsidR="00D92A7C">
        <w:t>:</w:t>
      </w:r>
      <w:r w:rsidR="00515EBA" w:rsidRPr="00515EBA">
        <w:t xml:space="preserve"> Access management for cloud resources is a critical function for any organization that is using the cloud. Azure role-based access control (Azure RBAC) helps you manage who has access to Azure resources, what they can do with those resources, and what areas they have access to.</w:t>
      </w:r>
      <w:hyperlink r:id="rId20" w:history="1">
        <w:r w:rsidR="004F5E70" w:rsidRPr="004F5E70">
          <w:rPr>
            <w:rStyle w:val="Hyperlink"/>
          </w:rPr>
          <w:t xml:space="preserve"> Click here</w:t>
        </w:r>
      </w:hyperlink>
    </w:p>
    <w:p w14:paraId="518B2C89" w14:textId="7B6C6F16" w:rsidR="00D81F8F" w:rsidRDefault="00D81F8F" w:rsidP="00266520">
      <w:pPr>
        <w:pStyle w:val="ListParagraph"/>
        <w:numPr>
          <w:ilvl w:val="2"/>
          <w:numId w:val="21"/>
        </w:numPr>
        <w:spacing w:line="360" w:lineRule="auto"/>
        <w:ind w:left="1267"/>
        <w:jc w:val="both"/>
      </w:pPr>
      <w:r w:rsidRPr="00186F80">
        <w:rPr>
          <w:b/>
          <w:bCs/>
        </w:rPr>
        <w:t>Set up security and monitoring</w:t>
      </w:r>
      <w:r w:rsidR="00867AFE">
        <w:t>:</w:t>
      </w:r>
      <w:r w:rsidR="00E508D9">
        <w:t xml:space="preserve"> Azure </w:t>
      </w:r>
      <w:r w:rsidR="00E508D9" w:rsidRPr="00E508D9">
        <w:t>security features and services that Azure provides to aid in the management and monitoring of Azure cloud services and virtual machines.</w:t>
      </w:r>
      <w:r w:rsidR="00E508D9">
        <w:t xml:space="preserve"> </w:t>
      </w:r>
      <w:hyperlink r:id="rId21" w:history="1">
        <w:r w:rsidR="00E508D9" w:rsidRPr="00B22D7A">
          <w:rPr>
            <w:rStyle w:val="Hyperlink"/>
          </w:rPr>
          <w:t>Click here</w:t>
        </w:r>
      </w:hyperlink>
    </w:p>
    <w:p w14:paraId="63385584" w14:textId="60872F5B" w:rsidR="00D81F8F" w:rsidRPr="0098066A" w:rsidRDefault="00D81F8F" w:rsidP="0098066A">
      <w:pPr>
        <w:pStyle w:val="Heading2"/>
        <w:numPr>
          <w:ilvl w:val="0"/>
          <w:numId w:val="7"/>
        </w:numPr>
        <w:tabs>
          <w:tab w:val="left" w:pos="540"/>
        </w:tabs>
        <w:spacing w:line="360" w:lineRule="auto"/>
        <w:ind w:left="810" w:hanging="450"/>
        <w:rPr>
          <w:rFonts w:ascii="Calibri" w:hAnsi="Calibri" w:cs="Segoe UI Light"/>
          <w:color w:val="0078D4"/>
          <w:sz w:val="28"/>
        </w:rPr>
      </w:pPr>
      <w:bookmarkStart w:id="12" w:name="_Toc42195174"/>
      <w:r w:rsidRPr="0098066A">
        <w:rPr>
          <w:rFonts w:ascii="Calibri" w:hAnsi="Calibri" w:cs="Segoe UI Light"/>
          <w:color w:val="0078D4"/>
          <w:sz w:val="28"/>
        </w:rPr>
        <w:t xml:space="preserve">Monitoring </w:t>
      </w:r>
      <w:r w:rsidR="00DF3F18">
        <w:rPr>
          <w:rFonts w:ascii="Calibri" w:hAnsi="Calibri" w:cs="Segoe UI Light"/>
          <w:color w:val="0078D4"/>
          <w:sz w:val="28"/>
        </w:rPr>
        <w:t>A</w:t>
      </w:r>
      <w:r w:rsidRPr="0098066A">
        <w:rPr>
          <w:rFonts w:ascii="Calibri" w:hAnsi="Calibri" w:cs="Segoe UI Light"/>
          <w:color w:val="0078D4"/>
          <w:sz w:val="28"/>
        </w:rPr>
        <w:t>lert, Audit/</w:t>
      </w:r>
      <w:r w:rsidR="00DF3F18">
        <w:rPr>
          <w:rFonts w:ascii="Calibri" w:hAnsi="Calibri" w:cs="Segoe UI Light"/>
          <w:color w:val="0078D4"/>
          <w:sz w:val="28"/>
        </w:rPr>
        <w:t>D</w:t>
      </w:r>
      <w:r w:rsidRPr="0098066A">
        <w:rPr>
          <w:rFonts w:ascii="Calibri" w:hAnsi="Calibri" w:cs="Segoe UI Light"/>
          <w:color w:val="0078D4"/>
          <w:sz w:val="28"/>
        </w:rPr>
        <w:t>iagnostic Logs and alerting</w:t>
      </w:r>
      <w:bookmarkEnd w:id="12"/>
    </w:p>
    <w:p w14:paraId="03358951" w14:textId="018D7A59" w:rsidR="00D81F8F" w:rsidRDefault="00D81F8F" w:rsidP="00266520">
      <w:pPr>
        <w:pStyle w:val="ListParagraph"/>
        <w:numPr>
          <w:ilvl w:val="0"/>
          <w:numId w:val="15"/>
        </w:numPr>
        <w:spacing w:line="360" w:lineRule="auto"/>
        <w:ind w:left="1166"/>
        <w:jc w:val="both"/>
      </w:pPr>
      <w:r w:rsidRPr="00A9043C">
        <w:rPr>
          <w:b/>
          <w:bCs/>
        </w:rPr>
        <w:t>Azure Security Centre - Security Policy configuration</w:t>
      </w:r>
      <w:r w:rsidR="00C54519">
        <w:t xml:space="preserve">: </w:t>
      </w:r>
      <w:r w:rsidR="00C54519" w:rsidRPr="00C54519">
        <w:t xml:space="preserve">A security policy defines the desired configuration of your workloads and helps ensure </w:t>
      </w:r>
      <w:r w:rsidR="00A9043C" w:rsidRPr="00C54519">
        <w:t>you are</w:t>
      </w:r>
      <w:r w:rsidR="00C54519" w:rsidRPr="00C54519">
        <w:t xml:space="preserve"> complying with the security requirements of your company or regulators.</w:t>
      </w:r>
      <w:r w:rsidR="00A9043C">
        <w:t xml:space="preserve"> </w:t>
      </w:r>
      <w:hyperlink r:id="rId22" w:history="1">
        <w:r w:rsidR="00A9043C" w:rsidRPr="00A9043C">
          <w:rPr>
            <w:rStyle w:val="Hyperlink"/>
          </w:rPr>
          <w:t>Click here</w:t>
        </w:r>
      </w:hyperlink>
    </w:p>
    <w:p w14:paraId="37E18C2B" w14:textId="77777777" w:rsidR="00D81F8F" w:rsidRPr="0098066A" w:rsidRDefault="00D81F8F" w:rsidP="0098066A">
      <w:pPr>
        <w:pStyle w:val="Heading2"/>
        <w:numPr>
          <w:ilvl w:val="0"/>
          <w:numId w:val="7"/>
        </w:numPr>
        <w:tabs>
          <w:tab w:val="left" w:pos="540"/>
        </w:tabs>
        <w:spacing w:line="360" w:lineRule="auto"/>
        <w:ind w:left="810" w:hanging="450"/>
        <w:rPr>
          <w:rFonts w:ascii="Calibri" w:hAnsi="Calibri" w:cs="Segoe UI Light"/>
          <w:color w:val="0078D4"/>
          <w:sz w:val="28"/>
        </w:rPr>
      </w:pPr>
      <w:bookmarkStart w:id="13" w:name="_Toc42195175"/>
      <w:r w:rsidRPr="0098066A">
        <w:rPr>
          <w:rFonts w:ascii="Calibri" w:hAnsi="Calibri" w:cs="Segoe UI Light"/>
          <w:color w:val="0078D4"/>
          <w:sz w:val="28"/>
        </w:rPr>
        <w:t>Network Security</w:t>
      </w:r>
      <w:bookmarkEnd w:id="13"/>
      <w:r w:rsidRPr="0098066A">
        <w:rPr>
          <w:rFonts w:ascii="Calibri" w:hAnsi="Calibri" w:cs="Segoe UI Light"/>
          <w:color w:val="0078D4"/>
          <w:sz w:val="28"/>
        </w:rPr>
        <w:t xml:space="preserve"> </w:t>
      </w:r>
    </w:p>
    <w:p w14:paraId="62CB19C0" w14:textId="6CD6B88A" w:rsidR="00D81F8F" w:rsidRDefault="00D81F8F" w:rsidP="00A814E4">
      <w:pPr>
        <w:pStyle w:val="ListParagraph"/>
        <w:numPr>
          <w:ilvl w:val="0"/>
          <w:numId w:val="15"/>
        </w:numPr>
        <w:spacing w:after="120" w:line="360" w:lineRule="auto"/>
        <w:ind w:left="1166"/>
        <w:contextualSpacing w:val="0"/>
        <w:jc w:val="both"/>
      </w:pPr>
      <w:r w:rsidRPr="00FD3103">
        <w:rPr>
          <w:b/>
          <w:bCs/>
        </w:rPr>
        <w:t>Application Gateway</w:t>
      </w:r>
      <w:r w:rsidR="00D87B97">
        <w:t xml:space="preserve">: </w:t>
      </w:r>
      <w:r w:rsidR="00D87B97" w:rsidRPr="00D87B97">
        <w:t>Azure Application Gateway is a web traffic load balancer that enables you to manage traffic to your web applications.</w:t>
      </w:r>
      <w:r w:rsidR="00D6512C">
        <w:t xml:space="preserve"> </w:t>
      </w:r>
      <w:hyperlink r:id="rId23" w:history="1">
        <w:r w:rsidR="00D6512C" w:rsidRPr="00D6512C">
          <w:rPr>
            <w:rStyle w:val="Hyperlink"/>
          </w:rPr>
          <w:t>Click here</w:t>
        </w:r>
      </w:hyperlink>
    </w:p>
    <w:p w14:paraId="24A7BA36" w14:textId="37EA1560" w:rsidR="00D81F8F" w:rsidRDefault="00D81F8F" w:rsidP="00A814E4">
      <w:pPr>
        <w:pStyle w:val="ListParagraph"/>
        <w:numPr>
          <w:ilvl w:val="0"/>
          <w:numId w:val="15"/>
        </w:numPr>
        <w:spacing w:after="120" w:line="360" w:lineRule="auto"/>
        <w:ind w:left="1166"/>
        <w:contextualSpacing w:val="0"/>
        <w:jc w:val="both"/>
      </w:pPr>
      <w:r w:rsidRPr="00FD3103">
        <w:rPr>
          <w:b/>
          <w:bCs/>
        </w:rPr>
        <w:t>Creating user defined routes (UDR)</w:t>
      </w:r>
      <w:r w:rsidR="00215F0A" w:rsidRPr="00FD3103">
        <w:rPr>
          <w:b/>
          <w:bCs/>
        </w:rPr>
        <w:t>:</w:t>
      </w:r>
      <w:r w:rsidR="00215F0A">
        <w:t xml:space="preserve"> </w:t>
      </w:r>
      <w:r w:rsidR="00215F0A" w:rsidRPr="00215F0A">
        <w:t>You can create custom, or user-defined(static), routes in Azure to override Azure's default system routes, or to add additional routes to a subnet's route table. In Azure, you create a route table, then associate the route table to zero or more virtual network subnets. Each subnet can have zero or one route table associated to it.</w:t>
      </w:r>
      <w:r w:rsidR="00215F0A">
        <w:t xml:space="preserve"> </w:t>
      </w:r>
      <w:hyperlink r:id="rId24" w:anchor="user-defined" w:history="1">
        <w:r w:rsidR="00215F0A" w:rsidRPr="00215F0A">
          <w:rPr>
            <w:rStyle w:val="Hyperlink"/>
          </w:rPr>
          <w:t>Click here</w:t>
        </w:r>
      </w:hyperlink>
    </w:p>
    <w:p w14:paraId="519F6CD4" w14:textId="4999CC2A" w:rsidR="00D81F8F" w:rsidRDefault="00D81F8F" w:rsidP="00A814E4">
      <w:pPr>
        <w:pStyle w:val="ListParagraph"/>
        <w:numPr>
          <w:ilvl w:val="0"/>
          <w:numId w:val="15"/>
        </w:numPr>
        <w:spacing w:after="120" w:line="360" w:lineRule="auto"/>
        <w:ind w:left="1166"/>
        <w:contextualSpacing w:val="0"/>
        <w:jc w:val="both"/>
      </w:pPr>
      <w:r w:rsidRPr="00FD3103">
        <w:rPr>
          <w:b/>
          <w:bCs/>
        </w:rPr>
        <w:t>DDoS configuration for internet endpoints</w:t>
      </w:r>
      <w:r w:rsidR="0010717E">
        <w:t xml:space="preserve">: </w:t>
      </w:r>
      <w:r w:rsidR="0010717E" w:rsidRPr="0010717E">
        <w:t xml:space="preserve">DDoS is a type of attack that tries to exhaust application resources. The goal is to affect the application’s availability and its ability to </w:t>
      </w:r>
      <w:r w:rsidR="0010717E" w:rsidRPr="0010717E">
        <w:lastRenderedPageBreak/>
        <w:t>handle legitimate requests. Attacks are becoming more sophisticated and larger in size and impact. DDoS attacks can be targeted at any endpoint that is publicly reachable through the internet.</w:t>
      </w:r>
      <w:r w:rsidR="005D507D">
        <w:t xml:space="preserve"> </w:t>
      </w:r>
      <w:hyperlink r:id="rId25" w:anchor="azure-offerings-for-ddos-protection" w:history="1">
        <w:r w:rsidR="005D507D" w:rsidRPr="008070F3">
          <w:rPr>
            <w:rStyle w:val="Hyperlink"/>
          </w:rPr>
          <w:t>Click here</w:t>
        </w:r>
      </w:hyperlink>
    </w:p>
    <w:p w14:paraId="6C1ED83B" w14:textId="67EC9EAC" w:rsidR="00D81F8F" w:rsidRDefault="00D81F8F" w:rsidP="00A814E4">
      <w:pPr>
        <w:pStyle w:val="ListParagraph"/>
        <w:numPr>
          <w:ilvl w:val="0"/>
          <w:numId w:val="15"/>
        </w:numPr>
        <w:spacing w:after="120" w:line="360" w:lineRule="auto"/>
        <w:ind w:left="1166"/>
        <w:contextualSpacing w:val="0"/>
        <w:jc w:val="both"/>
      </w:pPr>
      <w:r w:rsidRPr="004C7186">
        <w:rPr>
          <w:b/>
          <w:bCs/>
        </w:rPr>
        <w:t>Network access controls with NSGs and Azure Firewall</w:t>
      </w:r>
      <w:r w:rsidR="00B30F53">
        <w:t xml:space="preserve">: </w:t>
      </w:r>
      <w:r w:rsidR="00B30F53" w:rsidRPr="00B30F53">
        <w:t xml:space="preserve">NSGs and Azure Firewall work very well together and are not mutually exclusive or redundant.  You typically want to use NSGs when you are protecting network traffic in or out of a subnet.  An example would be a subnet that contains VMs that require RDP access (TCP over 3389) from a </w:t>
      </w:r>
      <w:proofErr w:type="spellStart"/>
      <w:r w:rsidR="00B30F53" w:rsidRPr="00B30F53">
        <w:t>Jumpbox</w:t>
      </w:r>
      <w:proofErr w:type="spellEnd"/>
      <w:r w:rsidR="00B30F53" w:rsidRPr="00B30F53">
        <w:t xml:space="preserve">. Azure Firewall is the solution for filtering traffic to a </w:t>
      </w:r>
      <w:proofErr w:type="spellStart"/>
      <w:r w:rsidR="00B30F53" w:rsidRPr="00B30F53">
        <w:t>VNet</w:t>
      </w:r>
      <w:proofErr w:type="spellEnd"/>
      <w:r w:rsidR="00B30F53" w:rsidRPr="00B30F53">
        <w:t xml:space="preserve"> from the outside.  For this reason, it should be deployed in </w:t>
      </w:r>
      <w:proofErr w:type="spellStart"/>
      <w:proofErr w:type="gramStart"/>
      <w:r w:rsidR="00B30F53" w:rsidRPr="00B30F53">
        <w:t>it’s</w:t>
      </w:r>
      <w:proofErr w:type="spellEnd"/>
      <w:proofErr w:type="gramEnd"/>
      <w:r w:rsidR="00B30F53" w:rsidRPr="00B30F53">
        <w:t xml:space="preserve"> own </w:t>
      </w:r>
      <w:proofErr w:type="spellStart"/>
      <w:r w:rsidR="00B30F53" w:rsidRPr="00B30F53">
        <w:t>VNet</w:t>
      </w:r>
      <w:proofErr w:type="spellEnd"/>
      <w:r w:rsidR="00B30F53" w:rsidRPr="00B30F53">
        <w:t xml:space="preserve"> and isolated from other resources.  Azure Firewall is a highly available solution that automatically scales based on its workload.</w:t>
      </w:r>
    </w:p>
    <w:p w14:paraId="765A39C1" w14:textId="6ECB55BC" w:rsidR="00D81F8F" w:rsidRPr="00356C69" w:rsidRDefault="00D81F8F" w:rsidP="00A814E4">
      <w:pPr>
        <w:pStyle w:val="ListParagraph"/>
        <w:numPr>
          <w:ilvl w:val="0"/>
          <w:numId w:val="15"/>
        </w:numPr>
        <w:spacing w:after="120" w:line="360" w:lineRule="auto"/>
        <w:ind w:left="1166"/>
        <w:contextualSpacing w:val="0"/>
        <w:jc w:val="both"/>
      </w:pPr>
      <w:r w:rsidRPr="00D86300">
        <w:rPr>
          <w:b/>
          <w:bCs/>
        </w:rPr>
        <w:t>Network monitoring and threat detection</w:t>
      </w:r>
      <w:r w:rsidR="00D86300">
        <w:rPr>
          <w:b/>
          <w:bCs/>
        </w:rPr>
        <w:t>:</w:t>
      </w:r>
      <w:r w:rsidR="00356C69">
        <w:rPr>
          <w:b/>
          <w:bCs/>
        </w:rPr>
        <w:t xml:space="preserve"> </w:t>
      </w:r>
      <w:r w:rsidR="00356C69" w:rsidRPr="00356C69">
        <w:t>Azure offers built in advanced threat detection functionality through services such as Azure Active Directory (Azure AD), Azure Monitor logs, and Azure Security Center. This collection of security services and capabilities provides a simple and fast way to understand what is happening within your Azure deployments.</w:t>
      </w:r>
      <w:hyperlink r:id="rId26" w:history="1">
        <w:r w:rsidR="00E4776B" w:rsidRPr="00E4776B">
          <w:rPr>
            <w:rStyle w:val="Hyperlink"/>
          </w:rPr>
          <w:t xml:space="preserve"> Click here</w:t>
        </w:r>
      </w:hyperlink>
    </w:p>
    <w:p w14:paraId="7E6697B9" w14:textId="62DC7C90" w:rsidR="00D81F8F" w:rsidRDefault="00D81F8F" w:rsidP="00A814E4">
      <w:pPr>
        <w:pStyle w:val="ListParagraph"/>
        <w:numPr>
          <w:ilvl w:val="0"/>
          <w:numId w:val="15"/>
        </w:numPr>
        <w:spacing w:after="120" w:line="360" w:lineRule="auto"/>
        <w:ind w:left="1166"/>
        <w:contextualSpacing w:val="0"/>
        <w:jc w:val="both"/>
      </w:pPr>
      <w:r w:rsidRPr="001467C1">
        <w:rPr>
          <w:b/>
          <w:bCs/>
        </w:rPr>
        <w:t>Policy templates for networking</w:t>
      </w:r>
      <w:r w:rsidR="009650DB">
        <w:t xml:space="preserve">: Policy templates for networking </w:t>
      </w:r>
      <w:hyperlink r:id="rId27" w:anchor="azure-virtual-network" w:history="1">
        <w:r w:rsidR="00E948F7" w:rsidRPr="00E948F7">
          <w:rPr>
            <w:rStyle w:val="Hyperlink"/>
          </w:rPr>
          <w:t>click here</w:t>
        </w:r>
      </w:hyperlink>
    </w:p>
    <w:p w14:paraId="40D782BA" w14:textId="50F34323" w:rsidR="00D81F8F" w:rsidRDefault="00D81F8F" w:rsidP="00266520">
      <w:pPr>
        <w:pStyle w:val="ListParagraph"/>
        <w:numPr>
          <w:ilvl w:val="0"/>
          <w:numId w:val="15"/>
        </w:numPr>
        <w:spacing w:line="360" w:lineRule="auto"/>
        <w:ind w:left="1166"/>
        <w:jc w:val="both"/>
      </w:pPr>
      <w:r w:rsidRPr="00810FC5">
        <w:rPr>
          <w:b/>
          <w:bCs/>
        </w:rPr>
        <w:t>The hub spoke model</w:t>
      </w:r>
      <w:r w:rsidR="00E948F7">
        <w:t xml:space="preserve">: </w:t>
      </w:r>
      <w:r w:rsidR="00597624" w:rsidRPr="00597624">
        <w:t>The hub is a virtual network in Azure that acts as a central point of connectivity to your on-premises network. The spokes are virtual networks that peer with the hub</w:t>
      </w:r>
      <w:r w:rsidR="00597624">
        <w:t xml:space="preserve"> </w:t>
      </w:r>
      <w:r w:rsidR="00597624" w:rsidRPr="00597624">
        <w:t>and can be used to isolate workloads. Traffic flows between the on-premises datacenter and the hub through an ExpressRoute or VPN gateway connection.</w:t>
      </w:r>
      <w:r w:rsidR="00597624">
        <w:t xml:space="preserve"> To know about </w:t>
      </w:r>
      <w:r w:rsidR="006870E6">
        <w:t>the hub</w:t>
      </w:r>
      <w:r w:rsidR="00F17B0D">
        <w:t xml:space="preserve"> and </w:t>
      </w:r>
      <w:r w:rsidR="008661F4">
        <w:t xml:space="preserve">spoke model </w:t>
      </w:r>
      <w:hyperlink r:id="rId28" w:history="1">
        <w:r w:rsidR="008661F4" w:rsidRPr="008661F4">
          <w:rPr>
            <w:rStyle w:val="Hyperlink"/>
          </w:rPr>
          <w:t>click here</w:t>
        </w:r>
      </w:hyperlink>
    </w:p>
    <w:p w14:paraId="26BEF06A" w14:textId="1EF4A6E0" w:rsidR="00D81F8F" w:rsidRPr="00DF3F18" w:rsidRDefault="00D81F8F" w:rsidP="00DF3F18">
      <w:pPr>
        <w:pStyle w:val="Heading2"/>
        <w:numPr>
          <w:ilvl w:val="0"/>
          <w:numId w:val="7"/>
        </w:numPr>
        <w:tabs>
          <w:tab w:val="left" w:pos="540"/>
          <w:tab w:val="left" w:pos="1080"/>
        </w:tabs>
        <w:spacing w:line="360" w:lineRule="auto"/>
        <w:ind w:left="810" w:hanging="450"/>
        <w:rPr>
          <w:rFonts w:ascii="Calibri" w:hAnsi="Calibri" w:cs="Segoe UI Light"/>
          <w:color w:val="0078D4"/>
          <w:sz w:val="28"/>
        </w:rPr>
      </w:pPr>
      <w:bookmarkStart w:id="14" w:name="_Toc42195176"/>
      <w:r w:rsidRPr="00DF3F18">
        <w:rPr>
          <w:rFonts w:ascii="Calibri" w:hAnsi="Calibri" w:cs="Segoe UI Light"/>
          <w:color w:val="0078D4"/>
          <w:sz w:val="28"/>
        </w:rPr>
        <w:t xml:space="preserve">Network </w:t>
      </w:r>
      <w:r w:rsidR="00DF3F18">
        <w:rPr>
          <w:rFonts w:ascii="Calibri" w:hAnsi="Calibri" w:cs="Segoe UI Light"/>
          <w:color w:val="0078D4"/>
          <w:sz w:val="28"/>
        </w:rPr>
        <w:t>S</w:t>
      </w:r>
      <w:r w:rsidRPr="00DF3F18">
        <w:rPr>
          <w:rFonts w:ascii="Calibri" w:hAnsi="Calibri" w:cs="Segoe UI Light"/>
          <w:color w:val="0078D4"/>
          <w:sz w:val="28"/>
        </w:rPr>
        <w:t>ecurity - Internet connectivity Paths</w:t>
      </w:r>
      <w:bookmarkEnd w:id="14"/>
    </w:p>
    <w:p w14:paraId="25C29D24" w14:textId="18BA4D4E" w:rsidR="009B7A0F" w:rsidRDefault="00D81F8F" w:rsidP="00A814E4">
      <w:pPr>
        <w:pStyle w:val="ListParagraph"/>
        <w:numPr>
          <w:ilvl w:val="2"/>
          <w:numId w:val="22"/>
        </w:numPr>
        <w:spacing w:after="120" w:line="360" w:lineRule="auto"/>
        <w:ind w:left="1166"/>
        <w:contextualSpacing w:val="0"/>
        <w:jc w:val="both"/>
      </w:pPr>
      <w:r w:rsidRPr="006E750F">
        <w:rPr>
          <w:b/>
          <w:bCs/>
        </w:rPr>
        <w:t>Static virtual IP address</w:t>
      </w:r>
      <w:r w:rsidR="009B7A0F">
        <w:t>: T</w:t>
      </w:r>
      <w:r w:rsidR="009B7A0F" w:rsidRPr="009B7A0F">
        <w:t>o define and configure a specific internal IP address that can be statically assigned to an IaaS Virtual Machine deployed in a Virtual Network</w:t>
      </w:r>
      <w:r w:rsidR="009B7A0F">
        <w:t>.</w:t>
      </w:r>
      <w:r w:rsidR="00DD70EC">
        <w:t xml:space="preserve"> To know about static virtual IP address </w:t>
      </w:r>
      <w:hyperlink r:id="rId29" w:history="1">
        <w:r w:rsidR="00DD70EC" w:rsidRPr="00DD70EC">
          <w:rPr>
            <w:rStyle w:val="Hyperlink"/>
          </w:rPr>
          <w:t>click here</w:t>
        </w:r>
      </w:hyperlink>
    </w:p>
    <w:p w14:paraId="008D1753" w14:textId="0D91B684" w:rsidR="00D81F8F" w:rsidRDefault="00D81F8F" w:rsidP="00A814E4">
      <w:pPr>
        <w:pStyle w:val="ListParagraph"/>
        <w:numPr>
          <w:ilvl w:val="2"/>
          <w:numId w:val="22"/>
        </w:numPr>
        <w:spacing w:after="120" w:line="360" w:lineRule="auto"/>
        <w:ind w:left="1166"/>
        <w:contextualSpacing w:val="0"/>
        <w:jc w:val="both"/>
      </w:pPr>
      <w:r w:rsidRPr="006E750F">
        <w:rPr>
          <w:b/>
          <w:bCs/>
        </w:rPr>
        <w:t>Web Application Firewall</w:t>
      </w:r>
      <w:r w:rsidR="003F5766">
        <w:t xml:space="preserve">: </w:t>
      </w:r>
      <w:r w:rsidR="003F5766" w:rsidRPr="003F5766">
        <w:t>Azure Web Application Firewall (WAF) on Azure Application Gateway provides centralized protection of your web applications from common exploits and vulnerabilities. Web applications are increasingly targeted by malicious attacks that exploit commonly known vulnerabilities</w:t>
      </w:r>
      <w:r w:rsidR="007D1709">
        <w:t xml:space="preserve">. To know about Web Application Firewall </w:t>
      </w:r>
      <w:hyperlink r:id="rId30" w:history="1">
        <w:r w:rsidR="007D1709" w:rsidRPr="007D1709">
          <w:rPr>
            <w:rStyle w:val="Hyperlink"/>
          </w:rPr>
          <w:t>click here</w:t>
        </w:r>
      </w:hyperlink>
    </w:p>
    <w:p w14:paraId="3FC48718" w14:textId="03317BA2" w:rsidR="00D81F8F" w:rsidRDefault="00D81F8F" w:rsidP="00266520">
      <w:pPr>
        <w:pStyle w:val="ListParagraph"/>
        <w:numPr>
          <w:ilvl w:val="2"/>
          <w:numId w:val="22"/>
        </w:numPr>
        <w:spacing w:line="360" w:lineRule="auto"/>
        <w:ind w:left="1166"/>
        <w:jc w:val="both"/>
      </w:pPr>
      <w:r w:rsidRPr="006E750F">
        <w:rPr>
          <w:b/>
          <w:bCs/>
        </w:rPr>
        <w:t>Web traffic load balancer</w:t>
      </w:r>
      <w:r w:rsidR="00887482">
        <w:t xml:space="preserve">: </w:t>
      </w:r>
      <w:r w:rsidR="00887482" w:rsidRPr="00887482">
        <w:t xml:space="preserve">Load balancing provides a higher level of availability and scale by spreading incoming requests across multiple virtual machines. In this tutorial, you learn </w:t>
      </w:r>
      <w:r w:rsidR="00887482" w:rsidRPr="00887482">
        <w:lastRenderedPageBreak/>
        <w:t>about the different components of the Azure Standard Load Balancer that distribute internet traffic to VMs and provide high availability.</w:t>
      </w:r>
      <w:r w:rsidR="00887482">
        <w:t xml:space="preserve"> To know about Web traffic  load balancer</w:t>
      </w:r>
      <w:r w:rsidR="00CF52BA">
        <w:t xml:space="preserve"> </w:t>
      </w:r>
      <w:hyperlink r:id="rId31" w:history="1">
        <w:r w:rsidR="00CF52BA" w:rsidRPr="00CF52BA">
          <w:rPr>
            <w:rStyle w:val="Hyperlink"/>
          </w:rPr>
          <w:t>click here</w:t>
        </w:r>
      </w:hyperlink>
    </w:p>
    <w:p w14:paraId="717F898B" w14:textId="77777777" w:rsidR="00D81F8F" w:rsidRPr="00DF3F18" w:rsidRDefault="00D81F8F" w:rsidP="00DF3F18">
      <w:pPr>
        <w:pStyle w:val="Heading2"/>
        <w:numPr>
          <w:ilvl w:val="0"/>
          <w:numId w:val="7"/>
        </w:numPr>
        <w:tabs>
          <w:tab w:val="left" w:pos="540"/>
          <w:tab w:val="left" w:pos="1080"/>
        </w:tabs>
        <w:spacing w:line="360" w:lineRule="auto"/>
        <w:ind w:left="810" w:hanging="450"/>
        <w:rPr>
          <w:rFonts w:ascii="Calibri" w:hAnsi="Calibri" w:cs="Segoe UI Light"/>
          <w:color w:val="0078D4"/>
          <w:sz w:val="28"/>
        </w:rPr>
      </w:pPr>
      <w:bookmarkStart w:id="15" w:name="_Toc42195177"/>
      <w:r w:rsidRPr="00DF3F18">
        <w:rPr>
          <w:rFonts w:ascii="Calibri" w:hAnsi="Calibri" w:cs="Segoe UI Light"/>
          <w:color w:val="0078D4"/>
          <w:sz w:val="28"/>
        </w:rPr>
        <w:t>Network Security - Software defined networking models</w:t>
      </w:r>
      <w:bookmarkEnd w:id="15"/>
    </w:p>
    <w:p w14:paraId="01B74D8D" w14:textId="55B7E9E7" w:rsidR="00D81F8F" w:rsidRDefault="00D81F8F" w:rsidP="00A814E4">
      <w:pPr>
        <w:pStyle w:val="ListParagraph"/>
        <w:numPr>
          <w:ilvl w:val="2"/>
          <w:numId w:val="23"/>
        </w:numPr>
        <w:spacing w:after="120" w:line="360" w:lineRule="auto"/>
        <w:ind w:left="1166"/>
        <w:contextualSpacing w:val="0"/>
        <w:jc w:val="both"/>
      </w:pPr>
      <w:r w:rsidRPr="00810FC5">
        <w:rPr>
          <w:b/>
          <w:bCs/>
        </w:rPr>
        <w:t>Hybrid - Access to services from cloud to on-prem - Application Proxy</w:t>
      </w:r>
      <w:r w:rsidR="00B3761D">
        <w:t xml:space="preserve">: </w:t>
      </w:r>
      <w:r w:rsidR="00B3761D" w:rsidRPr="00B3761D">
        <w:t>Azure Active Directory's Application Proxy provides secure remote access to on-premises web applications. After a single sign-on to Azure AD, users can access both cloud and on-premises applications through an external URL or an internal application portal.</w:t>
      </w:r>
      <w:r w:rsidR="00B3761D">
        <w:t xml:space="preserve"> </w:t>
      </w:r>
      <w:hyperlink r:id="rId32" w:history="1">
        <w:r w:rsidR="00B3761D" w:rsidRPr="00B3761D">
          <w:rPr>
            <w:rStyle w:val="Hyperlink"/>
          </w:rPr>
          <w:t>Click here</w:t>
        </w:r>
      </w:hyperlink>
    </w:p>
    <w:p w14:paraId="7026CED2" w14:textId="2808225A" w:rsidR="00D81F8F" w:rsidRDefault="00D81F8F" w:rsidP="00A814E4">
      <w:pPr>
        <w:pStyle w:val="ListParagraph"/>
        <w:numPr>
          <w:ilvl w:val="2"/>
          <w:numId w:val="23"/>
        </w:numPr>
        <w:spacing w:after="120" w:line="360" w:lineRule="auto"/>
        <w:ind w:left="1166"/>
        <w:contextualSpacing w:val="0"/>
        <w:jc w:val="both"/>
      </w:pPr>
      <w:r w:rsidRPr="00810FC5">
        <w:rPr>
          <w:b/>
          <w:bCs/>
        </w:rPr>
        <w:t>Hybrid - Access to services in cloud from on-prem</w:t>
      </w:r>
      <w:r w:rsidR="003215A7">
        <w:t xml:space="preserve">: </w:t>
      </w:r>
      <w:r w:rsidR="00AC34DE" w:rsidRPr="00AC34DE">
        <w:t>You can now protect your on-premises and cloud legacy authentication applications by connecting them to Azure AD with your existing application delivery controller or network.</w:t>
      </w:r>
      <w:r w:rsidR="00C93E7A">
        <w:t xml:space="preserve"> </w:t>
      </w:r>
      <w:hyperlink r:id="rId33" w:history="1">
        <w:r w:rsidR="00C93E7A" w:rsidRPr="00C56990">
          <w:rPr>
            <w:rStyle w:val="Hyperlink"/>
          </w:rPr>
          <w:t>Click here</w:t>
        </w:r>
      </w:hyperlink>
    </w:p>
    <w:p w14:paraId="1BD93BC4" w14:textId="77777777" w:rsidR="00D81F8F" w:rsidRDefault="00D81F8F" w:rsidP="008141D2">
      <w:pPr>
        <w:pStyle w:val="ListParagraph"/>
        <w:numPr>
          <w:ilvl w:val="2"/>
          <w:numId w:val="23"/>
        </w:numPr>
        <w:spacing w:line="360" w:lineRule="auto"/>
        <w:ind w:left="1166"/>
        <w:jc w:val="both"/>
      </w:pPr>
      <w:r>
        <w:t xml:space="preserve">Infrastructure as a Service resources - NSGs, Monitoring agent, encryption configuration </w:t>
      </w:r>
    </w:p>
    <w:p w14:paraId="77D680C7" w14:textId="5AF7872E" w:rsidR="00D81F8F" w:rsidRDefault="00D81F8F" w:rsidP="00DF3F18">
      <w:pPr>
        <w:pStyle w:val="Heading2"/>
        <w:numPr>
          <w:ilvl w:val="0"/>
          <w:numId w:val="7"/>
        </w:numPr>
        <w:tabs>
          <w:tab w:val="left" w:pos="540"/>
          <w:tab w:val="left" w:pos="1080"/>
        </w:tabs>
        <w:spacing w:line="360" w:lineRule="auto"/>
        <w:ind w:left="810" w:hanging="450"/>
        <w:rPr>
          <w:rFonts w:ascii="Calibri" w:hAnsi="Calibri" w:cs="Segoe UI Light"/>
          <w:color w:val="0078D4"/>
          <w:sz w:val="28"/>
        </w:rPr>
      </w:pPr>
      <w:bookmarkStart w:id="16" w:name="_Toc42195178"/>
      <w:r w:rsidRPr="00DF3F18">
        <w:rPr>
          <w:rFonts w:ascii="Calibri" w:hAnsi="Calibri" w:cs="Segoe UI Light"/>
          <w:color w:val="0078D4"/>
          <w:sz w:val="28"/>
        </w:rPr>
        <w:t>Resource Consistency</w:t>
      </w:r>
      <w:bookmarkEnd w:id="16"/>
    </w:p>
    <w:p w14:paraId="6509D11E" w14:textId="1DBDAC31" w:rsidR="00613C2F" w:rsidRPr="00613C2F" w:rsidRDefault="00613C2F" w:rsidP="002437C8">
      <w:pPr>
        <w:spacing w:after="0" w:line="360" w:lineRule="auto"/>
        <w:ind w:left="806"/>
      </w:pPr>
      <w:r w:rsidRPr="00613C2F">
        <w:t>Cloud Adoption Framework outlines how to develop a Resource Consistency discipline as part of your cloud governance strategy. The primary audience for this guidance is your organization's cloud architects and other members of your cloud governance team.</w:t>
      </w:r>
    </w:p>
    <w:p w14:paraId="7B17436E" w14:textId="77777777" w:rsidR="00D81F8F" w:rsidRDefault="00D81F8F" w:rsidP="002437C8">
      <w:pPr>
        <w:pStyle w:val="ListParagraph"/>
        <w:numPr>
          <w:ilvl w:val="2"/>
          <w:numId w:val="24"/>
        </w:numPr>
        <w:spacing w:after="0" w:line="360" w:lineRule="auto"/>
        <w:ind w:left="1620"/>
        <w:jc w:val="both"/>
      </w:pPr>
      <w:r>
        <w:t>Develop resource template - ARM</w:t>
      </w:r>
    </w:p>
    <w:p w14:paraId="4682DDF4" w14:textId="77777777" w:rsidR="00D81F8F" w:rsidRDefault="00D81F8F" w:rsidP="002437C8">
      <w:pPr>
        <w:pStyle w:val="ListParagraph"/>
        <w:numPr>
          <w:ilvl w:val="2"/>
          <w:numId w:val="24"/>
        </w:numPr>
        <w:spacing w:after="0" w:line="360" w:lineRule="auto"/>
        <w:ind w:left="1620"/>
        <w:jc w:val="both"/>
      </w:pPr>
      <w:r>
        <w:t xml:space="preserve">Discoverable to IT operations - Tag, alerts based on tags for non-compliant resource </w:t>
      </w:r>
    </w:p>
    <w:p w14:paraId="2589B162" w14:textId="77777777" w:rsidR="00D81F8F" w:rsidRDefault="00D81F8F" w:rsidP="002437C8">
      <w:pPr>
        <w:pStyle w:val="ListParagraph"/>
        <w:numPr>
          <w:ilvl w:val="2"/>
          <w:numId w:val="24"/>
        </w:numPr>
        <w:spacing w:after="0" w:line="360" w:lineRule="auto"/>
        <w:ind w:left="1620"/>
        <w:jc w:val="both"/>
      </w:pPr>
      <w:r>
        <w:t>Included in recovery planning</w:t>
      </w:r>
    </w:p>
    <w:p w14:paraId="2E66CAFA" w14:textId="77777777" w:rsidR="00D81F8F" w:rsidRDefault="00D81F8F" w:rsidP="002437C8">
      <w:pPr>
        <w:pStyle w:val="ListParagraph"/>
        <w:numPr>
          <w:ilvl w:val="2"/>
          <w:numId w:val="24"/>
        </w:numPr>
        <w:spacing w:line="360" w:lineRule="auto"/>
        <w:ind w:left="1627"/>
        <w:jc w:val="both"/>
      </w:pPr>
      <w:r>
        <w:t>Part of repeatable operations processes</w:t>
      </w:r>
    </w:p>
    <w:p w14:paraId="3885B283" w14:textId="73E3B9D4" w:rsidR="00D81F8F" w:rsidRPr="00DF3F18" w:rsidRDefault="00D81F8F" w:rsidP="00DF3F18">
      <w:pPr>
        <w:pStyle w:val="Heading1"/>
        <w:numPr>
          <w:ilvl w:val="0"/>
          <w:numId w:val="4"/>
        </w:numPr>
        <w:spacing w:after="120"/>
        <w:ind w:left="360"/>
        <w:rPr>
          <w:b/>
          <w:sz w:val="40"/>
        </w:rPr>
      </w:pPr>
      <w:bookmarkStart w:id="17" w:name="_Toc42195179"/>
      <w:r w:rsidRPr="00DF3F18">
        <w:rPr>
          <w:b/>
          <w:sz w:val="40"/>
        </w:rPr>
        <w:t>Govern - Security Baseline</w:t>
      </w:r>
      <w:bookmarkEnd w:id="17"/>
    </w:p>
    <w:p w14:paraId="7C1E0F52" w14:textId="575BAB73" w:rsidR="00D81F8F" w:rsidRDefault="00D81F8F" w:rsidP="00DF3F18">
      <w:pPr>
        <w:pStyle w:val="Heading2"/>
        <w:numPr>
          <w:ilvl w:val="0"/>
          <w:numId w:val="8"/>
        </w:numPr>
        <w:tabs>
          <w:tab w:val="left" w:pos="540"/>
        </w:tabs>
        <w:spacing w:line="360" w:lineRule="auto"/>
        <w:ind w:left="810" w:hanging="450"/>
        <w:rPr>
          <w:rFonts w:ascii="Calibri" w:hAnsi="Calibri" w:cs="Segoe UI Light"/>
          <w:color w:val="0078D4"/>
          <w:sz w:val="28"/>
        </w:rPr>
      </w:pPr>
      <w:bookmarkStart w:id="18" w:name="_Toc42195180"/>
      <w:r w:rsidRPr="00DF3F18">
        <w:rPr>
          <w:rFonts w:ascii="Calibri" w:hAnsi="Calibri" w:cs="Segoe UI Light"/>
          <w:color w:val="0078D4"/>
          <w:sz w:val="28"/>
        </w:rPr>
        <w:t>Identity</w:t>
      </w:r>
      <w:bookmarkEnd w:id="18"/>
    </w:p>
    <w:p w14:paraId="7BD93EFC" w14:textId="541A5C03" w:rsidR="00687D22" w:rsidRPr="00687D22" w:rsidRDefault="0088285B" w:rsidP="002437C8">
      <w:pPr>
        <w:spacing w:after="0" w:line="360" w:lineRule="auto"/>
        <w:ind w:left="720"/>
      </w:pPr>
      <w:r w:rsidRPr="0088285B">
        <w:t>Identity is increasingly considered the primary security perimeter in the cloud, which is a shift from the traditional focus on network security. Identity services provide the core mechanisms supporting access control and organization within IT environments, and the Identity Baseline discipline complements the Security Baseline discipline by consistently applying authentication and authorization requirements across cloud adoption efforts.</w:t>
      </w:r>
      <w:r>
        <w:t xml:space="preserve"> </w:t>
      </w:r>
      <w:r w:rsidR="00867B22">
        <w:t>To know about identity security base</w:t>
      </w:r>
      <w:r w:rsidR="0004604F">
        <w:t xml:space="preserve">line </w:t>
      </w:r>
      <w:hyperlink r:id="rId34" w:history="1">
        <w:r w:rsidR="0004604F" w:rsidRPr="0004604F">
          <w:rPr>
            <w:rStyle w:val="Hyperlink"/>
          </w:rPr>
          <w:t>click here</w:t>
        </w:r>
      </w:hyperlink>
      <w:r w:rsidR="0004604F">
        <w:t xml:space="preserve">. </w:t>
      </w:r>
      <w:r w:rsidR="007D7D5E">
        <w:t>Please follow below identities and configure the policies</w:t>
      </w:r>
      <w:r w:rsidR="00687D22">
        <w:t>.</w:t>
      </w:r>
    </w:p>
    <w:p w14:paraId="283EC4C9" w14:textId="6474F01D" w:rsidR="00D81F8F" w:rsidRDefault="00D81F8F" w:rsidP="002437C8">
      <w:pPr>
        <w:pStyle w:val="ListParagraph"/>
        <w:numPr>
          <w:ilvl w:val="0"/>
          <w:numId w:val="15"/>
        </w:numPr>
        <w:spacing w:after="0" w:line="360" w:lineRule="auto"/>
        <w:ind w:left="1620"/>
        <w:jc w:val="both"/>
      </w:pPr>
      <w:r>
        <w:t>Ensure admin accounts are not licensed</w:t>
      </w:r>
    </w:p>
    <w:p w14:paraId="0B102093" w14:textId="77777777" w:rsidR="00D81F8F" w:rsidRDefault="00D81F8F" w:rsidP="002437C8">
      <w:pPr>
        <w:pStyle w:val="ListParagraph"/>
        <w:numPr>
          <w:ilvl w:val="0"/>
          <w:numId w:val="15"/>
        </w:numPr>
        <w:spacing w:after="0" w:line="360" w:lineRule="auto"/>
        <w:ind w:left="1620"/>
        <w:jc w:val="both"/>
      </w:pPr>
      <w:r>
        <w:t>Ensure all admin accounts are enabled for multi-factor authentication (MFA)</w:t>
      </w:r>
    </w:p>
    <w:p w14:paraId="04BE5ACF" w14:textId="77777777" w:rsidR="00D81F8F" w:rsidRDefault="00D81F8F" w:rsidP="002437C8">
      <w:pPr>
        <w:pStyle w:val="ListParagraph"/>
        <w:numPr>
          <w:ilvl w:val="0"/>
          <w:numId w:val="15"/>
        </w:numPr>
        <w:spacing w:after="0" w:line="360" w:lineRule="auto"/>
        <w:ind w:left="1620"/>
        <w:jc w:val="both"/>
      </w:pPr>
      <w:r>
        <w:lastRenderedPageBreak/>
        <w:t>Ensure no service accounts are assigned admin role in the tenant</w:t>
      </w:r>
    </w:p>
    <w:p w14:paraId="15AE5B8B" w14:textId="77777777" w:rsidR="00D81F8F" w:rsidRDefault="00D81F8F" w:rsidP="002437C8">
      <w:pPr>
        <w:pStyle w:val="ListParagraph"/>
        <w:numPr>
          <w:ilvl w:val="0"/>
          <w:numId w:val="15"/>
        </w:numPr>
        <w:spacing w:after="0" w:line="360" w:lineRule="auto"/>
        <w:ind w:left="1620"/>
        <w:jc w:val="both"/>
      </w:pPr>
      <w:r>
        <w:t>Ensure on-premise synchronized accounts are not assigned admin roles in the Tenant</w:t>
      </w:r>
    </w:p>
    <w:p w14:paraId="5CFA9AA4" w14:textId="77777777" w:rsidR="00D81F8F" w:rsidRDefault="00D81F8F" w:rsidP="002437C8">
      <w:pPr>
        <w:pStyle w:val="ListParagraph"/>
        <w:numPr>
          <w:ilvl w:val="0"/>
          <w:numId w:val="15"/>
        </w:numPr>
        <w:spacing w:after="0" w:line="360" w:lineRule="auto"/>
        <w:ind w:left="1620"/>
        <w:jc w:val="both"/>
      </w:pPr>
      <w:r>
        <w:t>Implement a process for disabling and deleting accounts that are no longer used</w:t>
      </w:r>
    </w:p>
    <w:p w14:paraId="150B79CB" w14:textId="77777777" w:rsidR="00D81F8F" w:rsidRDefault="00D81F8F" w:rsidP="002437C8">
      <w:pPr>
        <w:pStyle w:val="ListParagraph"/>
        <w:numPr>
          <w:ilvl w:val="0"/>
          <w:numId w:val="15"/>
        </w:numPr>
        <w:spacing w:after="0" w:line="360" w:lineRule="auto"/>
        <w:ind w:left="1620"/>
        <w:jc w:val="both"/>
      </w:pPr>
      <w:r>
        <w:t xml:space="preserve">Implement Azure Active Directory (Azure AD) Privileged Identity Management </w:t>
      </w:r>
    </w:p>
    <w:p w14:paraId="744C3004" w14:textId="77777777" w:rsidR="00D81F8F" w:rsidRDefault="00D81F8F" w:rsidP="002437C8">
      <w:pPr>
        <w:pStyle w:val="ListParagraph"/>
        <w:numPr>
          <w:ilvl w:val="0"/>
          <w:numId w:val="15"/>
        </w:numPr>
        <w:spacing w:after="0" w:line="360" w:lineRule="auto"/>
        <w:ind w:left="1620"/>
        <w:jc w:val="both"/>
      </w:pPr>
      <w:r>
        <w:t>Implement privileged access management in Office 365</w:t>
      </w:r>
    </w:p>
    <w:p w14:paraId="29DB1067" w14:textId="77777777" w:rsidR="00D81F8F" w:rsidRDefault="00D81F8F" w:rsidP="002437C8">
      <w:pPr>
        <w:pStyle w:val="ListParagraph"/>
        <w:numPr>
          <w:ilvl w:val="0"/>
          <w:numId w:val="15"/>
        </w:numPr>
        <w:spacing w:after="0" w:line="360" w:lineRule="auto"/>
        <w:ind w:left="1620"/>
        <w:jc w:val="both"/>
      </w:pPr>
      <w:r>
        <w:t>Reduce the number of global administrator accounts to less than five</w:t>
      </w:r>
    </w:p>
    <w:p w14:paraId="5410F823" w14:textId="77777777" w:rsidR="00D81F8F" w:rsidRDefault="00D81F8F" w:rsidP="002437C8">
      <w:pPr>
        <w:pStyle w:val="ListParagraph"/>
        <w:numPr>
          <w:ilvl w:val="0"/>
          <w:numId w:val="15"/>
        </w:numPr>
        <w:spacing w:after="0" w:line="360" w:lineRule="auto"/>
        <w:ind w:left="1620"/>
        <w:jc w:val="both"/>
      </w:pPr>
      <w:r>
        <w:t>Require multi-factor authentication for all users</w:t>
      </w:r>
    </w:p>
    <w:p w14:paraId="2A0C43D0" w14:textId="77777777" w:rsidR="00D81F8F" w:rsidRDefault="00D81F8F" w:rsidP="002437C8">
      <w:pPr>
        <w:pStyle w:val="ListParagraph"/>
        <w:numPr>
          <w:ilvl w:val="0"/>
          <w:numId w:val="15"/>
        </w:numPr>
        <w:spacing w:after="0" w:line="360" w:lineRule="auto"/>
        <w:ind w:left="1620"/>
        <w:jc w:val="both"/>
      </w:pPr>
      <w:r>
        <w:t xml:space="preserve">Review and optimize your conditional access and related policies to align with your objectives for a zero-trust network. </w:t>
      </w:r>
    </w:p>
    <w:p w14:paraId="0DE1D045" w14:textId="42C01B5E" w:rsidR="00D81F8F" w:rsidRPr="00DB29AB" w:rsidRDefault="00D81F8F" w:rsidP="002437C8">
      <w:pPr>
        <w:pStyle w:val="ListParagraph"/>
        <w:numPr>
          <w:ilvl w:val="0"/>
          <w:numId w:val="15"/>
        </w:numPr>
        <w:spacing w:after="0" w:line="360" w:lineRule="auto"/>
        <w:ind w:left="1620"/>
        <w:jc w:val="both"/>
      </w:pPr>
      <w:r>
        <w:t>Setup multi-factor authentication and use recommended conditional access policies, including sign-in risk policies</w:t>
      </w:r>
    </w:p>
    <w:p w14:paraId="2AFFA27C" w14:textId="77777777" w:rsidR="00D81F8F" w:rsidRDefault="00D81F8F" w:rsidP="002437C8">
      <w:pPr>
        <w:pStyle w:val="ListParagraph"/>
        <w:numPr>
          <w:ilvl w:val="0"/>
          <w:numId w:val="15"/>
        </w:numPr>
        <w:spacing w:line="360" w:lineRule="auto"/>
        <w:ind w:left="1627"/>
        <w:jc w:val="both"/>
      </w:pPr>
      <w:r>
        <w:t>Implement Privileged Access Workstations (PAW)</w:t>
      </w:r>
    </w:p>
    <w:p w14:paraId="2C094A76" w14:textId="79910DC2" w:rsidR="00D81F8F" w:rsidRDefault="00D81F8F" w:rsidP="00DF3F18">
      <w:pPr>
        <w:pStyle w:val="Heading2"/>
        <w:numPr>
          <w:ilvl w:val="0"/>
          <w:numId w:val="8"/>
        </w:numPr>
        <w:tabs>
          <w:tab w:val="left" w:pos="540"/>
        </w:tabs>
        <w:spacing w:line="360" w:lineRule="auto"/>
        <w:ind w:left="810" w:hanging="450"/>
        <w:rPr>
          <w:rFonts w:ascii="Calibri" w:hAnsi="Calibri" w:cs="Segoe UI Light"/>
          <w:color w:val="0078D4"/>
          <w:sz w:val="28"/>
        </w:rPr>
      </w:pPr>
      <w:bookmarkStart w:id="19" w:name="_Toc42195181"/>
      <w:r w:rsidRPr="00DF3F18">
        <w:rPr>
          <w:rFonts w:ascii="Calibri" w:hAnsi="Calibri" w:cs="Segoe UI Light"/>
          <w:color w:val="0078D4"/>
          <w:sz w:val="28"/>
        </w:rPr>
        <w:t xml:space="preserve">Information </w:t>
      </w:r>
      <w:r w:rsidR="00DF3F18">
        <w:rPr>
          <w:rFonts w:ascii="Calibri" w:hAnsi="Calibri" w:cs="Segoe UI Light"/>
          <w:color w:val="0078D4"/>
          <w:sz w:val="28"/>
        </w:rPr>
        <w:t>P</w:t>
      </w:r>
      <w:r w:rsidRPr="00DF3F18">
        <w:rPr>
          <w:rFonts w:ascii="Calibri" w:hAnsi="Calibri" w:cs="Segoe UI Light"/>
          <w:color w:val="0078D4"/>
          <w:sz w:val="28"/>
        </w:rPr>
        <w:t>rotection</w:t>
      </w:r>
      <w:bookmarkEnd w:id="19"/>
    </w:p>
    <w:p w14:paraId="4CC9CCF4" w14:textId="440A12F7" w:rsidR="002A3D6A" w:rsidRPr="002A3D6A" w:rsidRDefault="00BE42AF" w:rsidP="002437C8">
      <w:pPr>
        <w:spacing w:after="0" w:line="360" w:lineRule="auto"/>
        <w:ind w:left="720"/>
      </w:pPr>
      <w:r w:rsidRPr="00BE42AF">
        <w:t>Azure Information Protection (sometimes referred to as AIP) is a cloud-based solution that helps an organization to classify and optionally, protect its documents and emails by applying labels. Labels can be applied automatically by administrators who define rules and conditions, manually by users, or a combination where users are given recommendations.</w:t>
      </w:r>
      <w:r w:rsidR="007D7D5E">
        <w:t xml:space="preserve"> To know about information protection, </w:t>
      </w:r>
      <w:hyperlink r:id="rId35" w:history="1">
        <w:r w:rsidR="007D7D5E" w:rsidRPr="007D7D5E">
          <w:rPr>
            <w:rStyle w:val="Hyperlink"/>
          </w:rPr>
          <w:t>click here</w:t>
        </w:r>
      </w:hyperlink>
      <w:r w:rsidR="007D7D5E">
        <w:t>. Please follow below identities and configure the policies.</w:t>
      </w:r>
    </w:p>
    <w:p w14:paraId="7B7A5B6B" w14:textId="77777777" w:rsidR="00D81F8F" w:rsidRDefault="00D81F8F" w:rsidP="002437C8">
      <w:pPr>
        <w:pStyle w:val="ListParagraph"/>
        <w:numPr>
          <w:ilvl w:val="0"/>
          <w:numId w:val="15"/>
        </w:numPr>
        <w:spacing w:after="0" w:line="360" w:lineRule="auto"/>
        <w:ind w:left="1620"/>
        <w:jc w:val="both"/>
      </w:pPr>
      <w:r>
        <w:t>Configure data loss prevention policies for sensitive data</w:t>
      </w:r>
    </w:p>
    <w:p w14:paraId="20120DCF" w14:textId="77777777" w:rsidR="00D81F8F" w:rsidRDefault="00D81F8F" w:rsidP="002437C8">
      <w:pPr>
        <w:pStyle w:val="ListParagraph"/>
        <w:numPr>
          <w:ilvl w:val="0"/>
          <w:numId w:val="15"/>
        </w:numPr>
        <w:spacing w:after="0" w:line="360" w:lineRule="auto"/>
        <w:ind w:left="1620"/>
        <w:jc w:val="both"/>
      </w:pPr>
      <w:r>
        <w:t>Disable Anonymous external calendar sharing policy</w:t>
      </w:r>
    </w:p>
    <w:p w14:paraId="6FA89470" w14:textId="77777777" w:rsidR="00D81F8F" w:rsidRDefault="00D81F8F" w:rsidP="002437C8">
      <w:pPr>
        <w:pStyle w:val="ListParagraph"/>
        <w:numPr>
          <w:ilvl w:val="0"/>
          <w:numId w:val="15"/>
        </w:numPr>
        <w:spacing w:after="0" w:line="360" w:lineRule="auto"/>
        <w:ind w:left="1620"/>
        <w:jc w:val="both"/>
      </w:pPr>
      <w:r>
        <w:t>Disable external email forwarding</w:t>
      </w:r>
    </w:p>
    <w:p w14:paraId="31538F83" w14:textId="77777777" w:rsidR="00D81F8F" w:rsidRDefault="00D81F8F" w:rsidP="002437C8">
      <w:pPr>
        <w:pStyle w:val="ListParagraph"/>
        <w:numPr>
          <w:ilvl w:val="0"/>
          <w:numId w:val="15"/>
        </w:numPr>
        <w:spacing w:after="0" w:line="360" w:lineRule="auto"/>
        <w:ind w:left="1620"/>
        <w:jc w:val="both"/>
      </w:pPr>
      <w:r>
        <w:t>Implement data classification and information protection policies</w:t>
      </w:r>
    </w:p>
    <w:p w14:paraId="6DB5741F" w14:textId="77777777" w:rsidR="00D81F8F" w:rsidRDefault="00D81F8F" w:rsidP="002437C8">
      <w:pPr>
        <w:pStyle w:val="ListParagraph"/>
        <w:numPr>
          <w:ilvl w:val="0"/>
          <w:numId w:val="15"/>
        </w:numPr>
        <w:spacing w:after="0" w:line="360" w:lineRule="auto"/>
        <w:ind w:left="1620"/>
        <w:jc w:val="both"/>
      </w:pPr>
      <w:r>
        <w:t>Protect data in third-party apps and services by using Cloud App Security</w:t>
      </w:r>
    </w:p>
    <w:p w14:paraId="6534B9CD" w14:textId="77777777" w:rsidR="00D81F8F" w:rsidRDefault="00D81F8F" w:rsidP="002437C8">
      <w:pPr>
        <w:pStyle w:val="ListParagraph"/>
        <w:numPr>
          <w:ilvl w:val="0"/>
          <w:numId w:val="15"/>
        </w:numPr>
        <w:spacing w:after="0" w:line="360" w:lineRule="auto"/>
        <w:ind w:left="1620"/>
        <w:jc w:val="both"/>
      </w:pPr>
      <w:r>
        <w:t>Use AIP Scanner to identify and classify information across servers and file shares</w:t>
      </w:r>
    </w:p>
    <w:p w14:paraId="32C8E715" w14:textId="77777777" w:rsidR="00D81F8F" w:rsidRDefault="00D81F8F" w:rsidP="002437C8">
      <w:pPr>
        <w:pStyle w:val="ListParagraph"/>
        <w:numPr>
          <w:ilvl w:val="0"/>
          <w:numId w:val="15"/>
        </w:numPr>
        <w:spacing w:line="360" w:lineRule="auto"/>
        <w:ind w:left="1627"/>
        <w:jc w:val="both"/>
      </w:pPr>
      <w:r>
        <w:t>Use Microsoft Defender ATP to identify if users store sensitive information on their desktops</w:t>
      </w:r>
    </w:p>
    <w:p w14:paraId="6055E2E6" w14:textId="2A5ADC16" w:rsidR="00D81F8F" w:rsidRDefault="00D81F8F" w:rsidP="00DF3F18">
      <w:pPr>
        <w:pStyle w:val="Heading2"/>
        <w:numPr>
          <w:ilvl w:val="0"/>
          <w:numId w:val="8"/>
        </w:numPr>
        <w:tabs>
          <w:tab w:val="left" w:pos="540"/>
        </w:tabs>
        <w:spacing w:line="360" w:lineRule="auto"/>
        <w:ind w:left="810" w:hanging="450"/>
        <w:rPr>
          <w:rFonts w:ascii="Calibri" w:hAnsi="Calibri" w:cs="Segoe UI Light"/>
          <w:color w:val="0078D4"/>
          <w:sz w:val="28"/>
        </w:rPr>
      </w:pPr>
      <w:bookmarkStart w:id="20" w:name="_Toc42195182"/>
      <w:r w:rsidRPr="00DF3F18">
        <w:rPr>
          <w:rFonts w:ascii="Calibri" w:hAnsi="Calibri" w:cs="Segoe UI Light"/>
          <w:color w:val="0078D4"/>
          <w:sz w:val="28"/>
        </w:rPr>
        <w:t>Monitoring</w:t>
      </w:r>
      <w:bookmarkEnd w:id="20"/>
    </w:p>
    <w:p w14:paraId="7AB9F714" w14:textId="5C518772" w:rsidR="00B00B6F" w:rsidRDefault="00B00B6F" w:rsidP="002437C8">
      <w:pPr>
        <w:spacing w:after="0" w:line="360" w:lineRule="auto"/>
        <w:ind w:left="720"/>
      </w:pPr>
      <w:r>
        <w:t>T</w:t>
      </w:r>
      <w:r w:rsidRPr="00B00B6F">
        <w:t>o enable Azure Monitor for VMs on your virtual machines to monitor health and performance. Discover application dependencies that run on Azure virtual machines (VMs) and virtual machine scale sets, on-premises VMs, or VMs hosted in another cloud environment.</w:t>
      </w:r>
      <w:r>
        <w:t xml:space="preserve"> To know about information protection, </w:t>
      </w:r>
      <w:hyperlink r:id="rId36" w:history="1">
        <w:r w:rsidRPr="007D7D5E">
          <w:rPr>
            <w:rStyle w:val="Hyperlink"/>
          </w:rPr>
          <w:t>click here</w:t>
        </w:r>
      </w:hyperlink>
      <w:r>
        <w:t>. Please follow below identities and configure the policies.</w:t>
      </w:r>
    </w:p>
    <w:p w14:paraId="180EE24D" w14:textId="77777777" w:rsidR="00F958F8" w:rsidRDefault="00F958F8" w:rsidP="002437C8">
      <w:pPr>
        <w:pStyle w:val="ListParagraph"/>
        <w:numPr>
          <w:ilvl w:val="0"/>
          <w:numId w:val="15"/>
        </w:numPr>
        <w:spacing w:after="0" w:line="360" w:lineRule="auto"/>
        <w:ind w:left="1620"/>
        <w:jc w:val="both"/>
      </w:pPr>
      <w:r>
        <w:lastRenderedPageBreak/>
        <w:t>Ensure the Office 365 audit log is turned on</w:t>
      </w:r>
    </w:p>
    <w:p w14:paraId="0E0C72CD" w14:textId="77777777" w:rsidR="00F958F8" w:rsidRDefault="00F958F8" w:rsidP="002437C8">
      <w:pPr>
        <w:pStyle w:val="ListParagraph"/>
        <w:numPr>
          <w:ilvl w:val="0"/>
          <w:numId w:val="15"/>
        </w:numPr>
        <w:spacing w:after="0" w:line="360" w:lineRule="auto"/>
        <w:ind w:left="1620"/>
        <w:jc w:val="both"/>
      </w:pPr>
      <w:r>
        <w:t>Review risky logins weekly</w:t>
      </w:r>
    </w:p>
    <w:p w14:paraId="0E9CD940" w14:textId="77777777" w:rsidR="00F958F8" w:rsidRDefault="00F958F8" w:rsidP="002437C8">
      <w:pPr>
        <w:pStyle w:val="ListParagraph"/>
        <w:numPr>
          <w:ilvl w:val="0"/>
          <w:numId w:val="15"/>
        </w:numPr>
        <w:spacing w:after="0" w:line="360" w:lineRule="auto"/>
        <w:ind w:left="1620"/>
        <w:jc w:val="both"/>
      </w:pPr>
      <w:r>
        <w:t>Review Secure Score weekly</w:t>
      </w:r>
    </w:p>
    <w:p w14:paraId="32471743" w14:textId="77777777" w:rsidR="00F958F8" w:rsidRDefault="00F958F8" w:rsidP="002437C8">
      <w:pPr>
        <w:pStyle w:val="ListParagraph"/>
        <w:numPr>
          <w:ilvl w:val="0"/>
          <w:numId w:val="15"/>
        </w:numPr>
        <w:spacing w:after="0" w:line="360" w:lineRule="auto"/>
        <w:ind w:left="1620"/>
        <w:jc w:val="both"/>
      </w:pPr>
      <w:r>
        <w:t>Review Top malware, spam users weekly</w:t>
      </w:r>
    </w:p>
    <w:p w14:paraId="6C5422DB" w14:textId="77777777" w:rsidR="00F958F8" w:rsidRDefault="00F958F8" w:rsidP="002437C8">
      <w:pPr>
        <w:pStyle w:val="ListParagraph"/>
        <w:numPr>
          <w:ilvl w:val="0"/>
          <w:numId w:val="15"/>
        </w:numPr>
        <w:spacing w:after="0" w:line="360" w:lineRule="auto"/>
        <w:ind w:left="1620"/>
        <w:jc w:val="both"/>
      </w:pPr>
      <w:r>
        <w:t xml:space="preserve">Use Microsoft Azure Sentinel or your current SIEM tool to monitor for threats across your environment. </w:t>
      </w:r>
    </w:p>
    <w:p w14:paraId="72CA0A44" w14:textId="77777777" w:rsidR="00F958F8" w:rsidRDefault="00F958F8" w:rsidP="002437C8">
      <w:pPr>
        <w:pStyle w:val="ListParagraph"/>
        <w:numPr>
          <w:ilvl w:val="0"/>
          <w:numId w:val="15"/>
        </w:numPr>
        <w:spacing w:after="0" w:line="360" w:lineRule="auto"/>
        <w:ind w:left="1620"/>
        <w:jc w:val="both"/>
      </w:pPr>
      <w:r>
        <w:t xml:space="preserve">Use Microsoft Cloud App Security to detect unusual behavior across cloud apps </w:t>
      </w:r>
    </w:p>
    <w:p w14:paraId="4BF8C352" w14:textId="77777777" w:rsidR="00F958F8" w:rsidRDefault="00F958F8" w:rsidP="002437C8">
      <w:pPr>
        <w:pStyle w:val="ListParagraph"/>
        <w:numPr>
          <w:ilvl w:val="0"/>
          <w:numId w:val="15"/>
        </w:numPr>
        <w:spacing w:after="0" w:line="360" w:lineRule="auto"/>
        <w:ind w:left="1620"/>
        <w:jc w:val="both"/>
      </w:pPr>
      <w:r>
        <w:t xml:space="preserve">Use Microsoft Defender ATP </w:t>
      </w:r>
    </w:p>
    <w:p w14:paraId="2169FAEE" w14:textId="77777777" w:rsidR="00F958F8" w:rsidRDefault="00F958F8" w:rsidP="002437C8">
      <w:pPr>
        <w:pStyle w:val="ListParagraph"/>
        <w:numPr>
          <w:ilvl w:val="0"/>
          <w:numId w:val="15"/>
        </w:numPr>
        <w:spacing w:after="0" w:line="360" w:lineRule="auto"/>
        <w:ind w:left="1620"/>
        <w:jc w:val="both"/>
      </w:pPr>
      <w:r>
        <w:t>Use Office 365 ATP tools</w:t>
      </w:r>
    </w:p>
    <w:p w14:paraId="3EC60232" w14:textId="371B13B6" w:rsidR="00B00B6F" w:rsidRDefault="00F958F8" w:rsidP="002437C8">
      <w:pPr>
        <w:pStyle w:val="ListParagraph"/>
        <w:numPr>
          <w:ilvl w:val="0"/>
          <w:numId w:val="15"/>
        </w:numPr>
        <w:spacing w:after="0" w:line="360" w:lineRule="auto"/>
        <w:ind w:left="1620"/>
        <w:jc w:val="both"/>
      </w:pPr>
      <w:r>
        <w:t>Use the Azure Security Center to monitor for threats across hybrid and cloud workloads.</w:t>
      </w:r>
    </w:p>
    <w:p w14:paraId="24CFF7E6" w14:textId="77777777" w:rsidR="00F958F8" w:rsidRPr="00B00B6F" w:rsidRDefault="00F958F8" w:rsidP="00F958F8">
      <w:pPr>
        <w:pStyle w:val="NoSpacing"/>
        <w:ind w:left="1080"/>
      </w:pPr>
    </w:p>
    <w:p w14:paraId="063AC654" w14:textId="30A49338" w:rsidR="00D81F8F" w:rsidRDefault="00D81F8F" w:rsidP="00DF3F18">
      <w:pPr>
        <w:pStyle w:val="Heading2"/>
        <w:numPr>
          <w:ilvl w:val="0"/>
          <w:numId w:val="8"/>
        </w:numPr>
        <w:tabs>
          <w:tab w:val="left" w:pos="540"/>
        </w:tabs>
        <w:spacing w:line="360" w:lineRule="auto"/>
        <w:ind w:left="810" w:hanging="450"/>
        <w:rPr>
          <w:rFonts w:ascii="Calibri" w:hAnsi="Calibri" w:cs="Segoe UI Light"/>
          <w:color w:val="0078D4"/>
          <w:sz w:val="28"/>
        </w:rPr>
      </w:pPr>
      <w:bookmarkStart w:id="21" w:name="_Toc42195183"/>
      <w:r w:rsidRPr="00DF3F18">
        <w:rPr>
          <w:rFonts w:ascii="Calibri" w:hAnsi="Calibri" w:cs="Segoe UI Light"/>
          <w:color w:val="0078D4"/>
          <w:sz w:val="28"/>
        </w:rPr>
        <w:t xml:space="preserve">Threat </w:t>
      </w:r>
      <w:r w:rsidR="00DF3F18">
        <w:rPr>
          <w:rFonts w:ascii="Calibri" w:hAnsi="Calibri" w:cs="Segoe UI Light"/>
          <w:color w:val="0078D4"/>
          <w:sz w:val="28"/>
        </w:rPr>
        <w:t>P</w:t>
      </w:r>
      <w:r w:rsidRPr="00DF3F18">
        <w:rPr>
          <w:rFonts w:ascii="Calibri" w:hAnsi="Calibri" w:cs="Segoe UI Light"/>
          <w:color w:val="0078D4"/>
          <w:sz w:val="28"/>
        </w:rPr>
        <w:t>rotection</w:t>
      </w:r>
      <w:bookmarkEnd w:id="21"/>
    </w:p>
    <w:p w14:paraId="34B0A99B" w14:textId="2A7E8886" w:rsidR="003307A3" w:rsidRPr="003307A3" w:rsidRDefault="003307A3" w:rsidP="009F6855">
      <w:pPr>
        <w:spacing w:line="360" w:lineRule="auto"/>
        <w:ind w:left="810"/>
      </w:pPr>
      <w:r w:rsidRPr="003307A3">
        <w:t>When Security Center detects a threat in any area of your environment, it generates an alert. These alerts describe details of the affected resources, suggested remediation steps, and in some cases an option to trigger a logic app in response.</w:t>
      </w:r>
      <w:r w:rsidR="00307B5F">
        <w:t xml:space="preserve"> To know about threat protection </w:t>
      </w:r>
      <w:hyperlink r:id="rId37" w:history="1">
        <w:r w:rsidR="00307B5F" w:rsidRPr="00307B5F">
          <w:rPr>
            <w:rStyle w:val="Hyperlink"/>
          </w:rPr>
          <w:t>click here</w:t>
        </w:r>
      </w:hyperlink>
    </w:p>
    <w:p w14:paraId="17D729D5" w14:textId="0BA7866B" w:rsidR="00D81F8F" w:rsidRDefault="00D81F8F" w:rsidP="009F6855">
      <w:pPr>
        <w:pStyle w:val="ListParagraph"/>
        <w:numPr>
          <w:ilvl w:val="0"/>
          <w:numId w:val="15"/>
        </w:numPr>
        <w:spacing w:after="0" w:line="360" w:lineRule="auto"/>
        <w:ind w:left="1620"/>
        <w:jc w:val="both"/>
      </w:pPr>
      <w:r>
        <w:t xml:space="preserve">Block connections from countries that you </w:t>
      </w:r>
      <w:r w:rsidR="001A7BB4">
        <w:t>do not</w:t>
      </w:r>
      <w:r>
        <w:t xml:space="preserve"> do business with</w:t>
      </w:r>
    </w:p>
    <w:p w14:paraId="346C9564" w14:textId="77777777" w:rsidR="00D81F8F" w:rsidRDefault="00D81F8F" w:rsidP="009F6855">
      <w:pPr>
        <w:pStyle w:val="ListParagraph"/>
        <w:numPr>
          <w:ilvl w:val="0"/>
          <w:numId w:val="15"/>
        </w:numPr>
        <w:spacing w:after="0" w:line="360" w:lineRule="auto"/>
        <w:ind w:left="1620"/>
        <w:jc w:val="both"/>
      </w:pPr>
      <w:r>
        <w:t>Disable POP, IMAP, and SMTP protocols</w:t>
      </w:r>
    </w:p>
    <w:p w14:paraId="44ABDBF8" w14:textId="77777777" w:rsidR="00D81F8F" w:rsidRDefault="00D81F8F" w:rsidP="009F6855">
      <w:pPr>
        <w:pStyle w:val="ListParagraph"/>
        <w:numPr>
          <w:ilvl w:val="0"/>
          <w:numId w:val="15"/>
        </w:numPr>
        <w:spacing w:after="0" w:line="360" w:lineRule="auto"/>
        <w:ind w:left="1620"/>
        <w:jc w:val="both"/>
      </w:pPr>
      <w:r>
        <w:t>Protect against ransomware</w:t>
      </w:r>
    </w:p>
    <w:p w14:paraId="10228D3E" w14:textId="77777777" w:rsidR="00D81F8F" w:rsidRDefault="00D81F8F" w:rsidP="009F6855">
      <w:pPr>
        <w:pStyle w:val="ListParagraph"/>
        <w:numPr>
          <w:ilvl w:val="0"/>
          <w:numId w:val="15"/>
        </w:numPr>
        <w:spacing w:after="0" w:line="360" w:lineRule="auto"/>
        <w:ind w:left="1620"/>
        <w:jc w:val="both"/>
      </w:pPr>
      <w:r>
        <w:t>Protect your email from targeted phishing attacks</w:t>
      </w:r>
    </w:p>
    <w:p w14:paraId="18913654" w14:textId="77777777" w:rsidR="00D81F8F" w:rsidRDefault="00D81F8F" w:rsidP="009F6855">
      <w:pPr>
        <w:pStyle w:val="ListParagraph"/>
        <w:numPr>
          <w:ilvl w:val="0"/>
          <w:numId w:val="15"/>
        </w:numPr>
        <w:spacing w:after="0" w:line="360" w:lineRule="auto"/>
        <w:ind w:left="1620"/>
        <w:jc w:val="both"/>
      </w:pPr>
      <w:r>
        <w:t>Raise the level of protection against malware in mail</w:t>
      </w:r>
    </w:p>
    <w:p w14:paraId="15DDEDD7" w14:textId="77777777" w:rsidR="00D81F8F" w:rsidRDefault="00D81F8F" w:rsidP="009F6855">
      <w:pPr>
        <w:pStyle w:val="ListParagraph"/>
        <w:numPr>
          <w:ilvl w:val="0"/>
          <w:numId w:val="15"/>
        </w:numPr>
        <w:spacing w:after="0" w:line="360" w:lineRule="auto"/>
        <w:ind w:left="1620"/>
        <w:jc w:val="both"/>
      </w:pPr>
      <w:r>
        <w:t>Retire servers and applications that are no longer used in your environment</w:t>
      </w:r>
    </w:p>
    <w:p w14:paraId="7B4C7CC6" w14:textId="77777777" w:rsidR="00D81F8F" w:rsidRDefault="00D81F8F" w:rsidP="009F6855">
      <w:pPr>
        <w:pStyle w:val="ListParagraph"/>
        <w:numPr>
          <w:ilvl w:val="0"/>
          <w:numId w:val="15"/>
        </w:numPr>
        <w:spacing w:after="0" w:line="360" w:lineRule="auto"/>
        <w:ind w:left="1620"/>
        <w:jc w:val="both"/>
      </w:pPr>
      <w:r>
        <w:t>Block access to the Microsoft Azure Management portal to all non-administrators</w:t>
      </w:r>
    </w:p>
    <w:p w14:paraId="405BA374" w14:textId="77777777" w:rsidR="00D81F8F" w:rsidRDefault="00D81F8F" w:rsidP="009F6855">
      <w:pPr>
        <w:pStyle w:val="ListParagraph"/>
        <w:numPr>
          <w:ilvl w:val="0"/>
          <w:numId w:val="15"/>
        </w:numPr>
        <w:spacing w:after="0" w:line="360" w:lineRule="auto"/>
        <w:ind w:left="1620"/>
        <w:jc w:val="both"/>
      </w:pPr>
      <w:r>
        <w:t>Configure Defender Advanced Threat Protection capabilities</w:t>
      </w:r>
    </w:p>
    <w:p w14:paraId="169A65CC" w14:textId="77777777" w:rsidR="00D81F8F" w:rsidRDefault="00D81F8F" w:rsidP="009F6855">
      <w:pPr>
        <w:pStyle w:val="ListParagraph"/>
        <w:numPr>
          <w:ilvl w:val="0"/>
          <w:numId w:val="15"/>
        </w:numPr>
        <w:spacing w:after="0" w:line="360" w:lineRule="auto"/>
        <w:ind w:left="1620"/>
        <w:jc w:val="both"/>
      </w:pPr>
      <w:r>
        <w:t>Configure Office 365 Advanced Threat Protection (Office ATP)</w:t>
      </w:r>
    </w:p>
    <w:p w14:paraId="3C3FEF9E" w14:textId="77777777" w:rsidR="00D81F8F" w:rsidRDefault="00D81F8F" w:rsidP="009F6855">
      <w:pPr>
        <w:pStyle w:val="ListParagraph"/>
        <w:numPr>
          <w:ilvl w:val="0"/>
          <w:numId w:val="15"/>
        </w:numPr>
        <w:spacing w:after="0" w:line="360" w:lineRule="auto"/>
        <w:ind w:left="1620"/>
        <w:jc w:val="both"/>
      </w:pPr>
      <w:r>
        <w:t xml:space="preserve">Deploy Azure ATP to monitor and protect against threats targeted to your on-premises Active Directory environment. </w:t>
      </w:r>
    </w:p>
    <w:p w14:paraId="7BD85630" w14:textId="77777777" w:rsidR="00D81F8F" w:rsidRDefault="00D81F8F" w:rsidP="009F6855">
      <w:pPr>
        <w:pStyle w:val="ListParagraph"/>
        <w:numPr>
          <w:ilvl w:val="0"/>
          <w:numId w:val="15"/>
        </w:numPr>
        <w:spacing w:after="0" w:line="360" w:lineRule="auto"/>
        <w:ind w:left="1620"/>
        <w:jc w:val="both"/>
      </w:pPr>
      <w:r>
        <w:t>Disable Remote PowerShell for all users</w:t>
      </w:r>
    </w:p>
    <w:p w14:paraId="356F6ED1" w14:textId="77777777" w:rsidR="00D81F8F" w:rsidRDefault="00D81F8F" w:rsidP="009F6855">
      <w:pPr>
        <w:pStyle w:val="ListParagraph"/>
        <w:numPr>
          <w:ilvl w:val="0"/>
          <w:numId w:val="15"/>
        </w:numPr>
        <w:spacing w:after="0" w:line="360" w:lineRule="auto"/>
        <w:ind w:left="1620"/>
        <w:jc w:val="both"/>
      </w:pPr>
      <w:r>
        <w:t>Do not whitelist sender domains, individual senders, or source IPs as this allows these to bypass spam and malware checks</w:t>
      </w:r>
    </w:p>
    <w:p w14:paraId="0EFB19AD" w14:textId="77777777" w:rsidR="00D81F8F" w:rsidRDefault="00D81F8F" w:rsidP="009F6855">
      <w:pPr>
        <w:pStyle w:val="ListParagraph"/>
        <w:numPr>
          <w:ilvl w:val="0"/>
          <w:numId w:val="15"/>
        </w:numPr>
        <w:spacing w:after="0" w:line="360" w:lineRule="auto"/>
        <w:ind w:left="1620"/>
        <w:jc w:val="both"/>
      </w:pPr>
      <w:r>
        <w:t>Enable Outbound spam notifications</w:t>
      </w:r>
    </w:p>
    <w:p w14:paraId="5214BBD7" w14:textId="77777777" w:rsidR="00D81F8F" w:rsidRDefault="00D81F8F" w:rsidP="009F6855">
      <w:pPr>
        <w:pStyle w:val="ListParagraph"/>
        <w:numPr>
          <w:ilvl w:val="0"/>
          <w:numId w:val="15"/>
        </w:numPr>
        <w:spacing w:after="0" w:line="360" w:lineRule="auto"/>
        <w:ind w:left="1620"/>
        <w:jc w:val="both"/>
      </w:pPr>
      <w:r>
        <w:t>Open Teams Federation only to Partners you communicate with</w:t>
      </w:r>
    </w:p>
    <w:p w14:paraId="00771794" w14:textId="77777777" w:rsidR="00D81F8F" w:rsidRDefault="00D81F8F" w:rsidP="009F6855">
      <w:pPr>
        <w:pStyle w:val="ListParagraph"/>
        <w:numPr>
          <w:ilvl w:val="0"/>
          <w:numId w:val="15"/>
        </w:numPr>
        <w:spacing w:after="0" w:line="360" w:lineRule="auto"/>
        <w:ind w:left="1620"/>
        <w:jc w:val="both"/>
      </w:pPr>
      <w:r>
        <w:lastRenderedPageBreak/>
        <w:t>Secure partner channel communications like emails using TLS</w:t>
      </w:r>
    </w:p>
    <w:p w14:paraId="73D02E87" w14:textId="77777777" w:rsidR="00D81F8F" w:rsidRDefault="00D81F8F" w:rsidP="009F6855">
      <w:pPr>
        <w:pStyle w:val="ListParagraph"/>
        <w:numPr>
          <w:ilvl w:val="0"/>
          <w:numId w:val="15"/>
        </w:numPr>
        <w:spacing w:after="0" w:line="360" w:lineRule="auto"/>
        <w:ind w:left="1620"/>
        <w:jc w:val="both"/>
      </w:pPr>
      <w:r>
        <w:t>Use Microsoft Cloud App Security to discover and monitor SaaS apps</w:t>
      </w:r>
    </w:p>
    <w:p w14:paraId="1495DFDE" w14:textId="77777777" w:rsidR="00D81F8F" w:rsidRPr="00DF3F18" w:rsidRDefault="00D81F8F" w:rsidP="00DF3F18">
      <w:pPr>
        <w:pStyle w:val="Heading1"/>
        <w:numPr>
          <w:ilvl w:val="0"/>
          <w:numId w:val="4"/>
        </w:numPr>
        <w:spacing w:after="120"/>
        <w:ind w:left="360"/>
        <w:rPr>
          <w:b/>
          <w:sz w:val="40"/>
        </w:rPr>
      </w:pPr>
      <w:bookmarkStart w:id="22" w:name="_Toc42195184"/>
      <w:r w:rsidRPr="00DF3F18">
        <w:rPr>
          <w:b/>
          <w:sz w:val="40"/>
        </w:rPr>
        <w:t>Governance – Resource Consistency</w:t>
      </w:r>
      <w:bookmarkEnd w:id="22"/>
    </w:p>
    <w:p w14:paraId="54B9F92D" w14:textId="692C881A" w:rsidR="00D81F8F" w:rsidRPr="00DF3F18" w:rsidRDefault="00D81F8F" w:rsidP="00DF3F18">
      <w:pPr>
        <w:pStyle w:val="Heading2"/>
        <w:numPr>
          <w:ilvl w:val="0"/>
          <w:numId w:val="9"/>
        </w:numPr>
        <w:tabs>
          <w:tab w:val="left" w:pos="540"/>
        </w:tabs>
        <w:spacing w:line="360" w:lineRule="auto"/>
        <w:ind w:left="810" w:hanging="450"/>
        <w:rPr>
          <w:rFonts w:ascii="Calibri" w:hAnsi="Calibri" w:cs="Segoe UI Light"/>
          <w:color w:val="0078D4"/>
          <w:sz w:val="28"/>
        </w:rPr>
      </w:pPr>
      <w:bookmarkStart w:id="23" w:name="_Toc42195185"/>
      <w:r w:rsidRPr="00DF3F18">
        <w:rPr>
          <w:rFonts w:ascii="Calibri" w:hAnsi="Calibri" w:cs="Segoe UI Light"/>
          <w:color w:val="0078D4"/>
          <w:sz w:val="28"/>
        </w:rPr>
        <w:t xml:space="preserve">Asset </w:t>
      </w:r>
      <w:r w:rsidR="00DF3F18">
        <w:rPr>
          <w:rFonts w:ascii="Calibri" w:hAnsi="Calibri" w:cs="Segoe UI Light"/>
          <w:color w:val="0078D4"/>
          <w:sz w:val="28"/>
        </w:rPr>
        <w:t>C</w:t>
      </w:r>
      <w:r w:rsidRPr="00DF3F18">
        <w:rPr>
          <w:rFonts w:ascii="Calibri" w:hAnsi="Calibri" w:cs="Segoe UI Light"/>
          <w:color w:val="0078D4"/>
          <w:sz w:val="28"/>
        </w:rPr>
        <w:t>lassification</w:t>
      </w:r>
      <w:bookmarkEnd w:id="23"/>
    </w:p>
    <w:p w14:paraId="7D990FA8" w14:textId="5CF59118" w:rsidR="00D81F8F" w:rsidRDefault="00D81F8F" w:rsidP="00270C7E">
      <w:pPr>
        <w:spacing w:line="360" w:lineRule="auto"/>
        <w:ind w:left="806"/>
        <w:jc w:val="both"/>
      </w:pPr>
      <w:r w:rsidRPr="00F122D9">
        <w:rPr>
          <w:b/>
          <w:bCs/>
        </w:rPr>
        <w:t>Establish resource tagging standards and ensure IT staff apply them consistently to any deployed resources using Azure resource tags</w:t>
      </w:r>
      <w:r w:rsidR="00F122D9">
        <w:t xml:space="preserve">: </w:t>
      </w:r>
      <w:r w:rsidR="00F122D9" w:rsidRPr="00F122D9">
        <w:t>You apply tags to your Azure resources, resource groups, and subscriptions to logically organize them into a taxonomy. Each tag consists of a name and a value pair. For example, you can apply the name "Environment" and the value "Production" to all the resources in production.</w:t>
      </w:r>
    </w:p>
    <w:p w14:paraId="73FA97D7" w14:textId="05F3A936" w:rsidR="00D81F8F" w:rsidRDefault="00D81F8F" w:rsidP="00DF3F18">
      <w:pPr>
        <w:pStyle w:val="Heading2"/>
        <w:numPr>
          <w:ilvl w:val="0"/>
          <w:numId w:val="9"/>
        </w:numPr>
        <w:tabs>
          <w:tab w:val="left" w:pos="540"/>
        </w:tabs>
        <w:spacing w:line="360" w:lineRule="auto"/>
        <w:ind w:left="810" w:hanging="450"/>
        <w:rPr>
          <w:rFonts w:ascii="Calibri" w:hAnsi="Calibri" w:cs="Segoe UI Light"/>
          <w:color w:val="0078D4"/>
          <w:sz w:val="28"/>
        </w:rPr>
      </w:pPr>
      <w:bookmarkStart w:id="24" w:name="_Toc42195186"/>
      <w:r w:rsidRPr="00DF3F18">
        <w:rPr>
          <w:rFonts w:ascii="Calibri" w:hAnsi="Calibri" w:cs="Segoe UI Light"/>
          <w:color w:val="0078D4"/>
          <w:sz w:val="28"/>
        </w:rPr>
        <w:t xml:space="preserve">Service </w:t>
      </w:r>
      <w:r w:rsidR="00DF3F18">
        <w:rPr>
          <w:rFonts w:ascii="Calibri" w:hAnsi="Calibri" w:cs="Segoe UI Light"/>
          <w:color w:val="0078D4"/>
          <w:sz w:val="28"/>
        </w:rPr>
        <w:t>D</w:t>
      </w:r>
      <w:r w:rsidRPr="00DF3F18">
        <w:rPr>
          <w:rFonts w:ascii="Calibri" w:hAnsi="Calibri" w:cs="Segoe UI Light"/>
          <w:color w:val="0078D4"/>
          <w:sz w:val="28"/>
        </w:rPr>
        <w:t xml:space="preserve">iscoverability and </w:t>
      </w:r>
      <w:r w:rsidR="00DF3F18">
        <w:rPr>
          <w:rFonts w:ascii="Calibri" w:hAnsi="Calibri" w:cs="Segoe UI Light"/>
          <w:color w:val="0078D4"/>
          <w:sz w:val="28"/>
        </w:rPr>
        <w:t>S</w:t>
      </w:r>
      <w:r w:rsidRPr="00DF3F18">
        <w:rPr>
          <w:rFonts w:ascii="Calibri" w:hAnsi="Calibri" w:cs="Segoe UI Light"/>
          <w:color w:val="0078D4"/>
          <w:sz w:val="28"/>
        </w:rPr>
        <w:t>hadow IT</w:t>
      </w:r>
      <w:bookmarkEnd w:id="24"/>
    </w:p>
    <w:p w14:paraId="6FAF4299" w14:textId="0C41249B" w:rsidR="00CC2CC8" w:rsidRPr="00CC2CC8" w:rsidRDefault="00CC2CC8" w:rsidP="00A814E4">
      <w:pPr>
        <w:spacing w:after="0" w:line="360" w:lineRule="auto"/>
        <w:ind w:left="720"/>
      </w:pPr>
      <w:r w:rsidRPr="00CC2CC8">
        <w:t>Shadow IT helps you know and identify which apps are being used and what your risk level is. 80% of employees use non-sanctioned apps that no one has reviewed and may not be compliant with your security and compliance policies. And because your employees can access your resources and apps from outside your corporate network, it's no longer enough to have rules and policies on your firewalls.</w:t>
      </w:r>
      <w:r w:rsidR="00405057" w:rsidRPr="00405057">
        <w:t xml:space="preserve"> Please follow below identities and configure the policies.</w:t>
      </w:r>
    </w:p>
    <w:p w14:paraId="6F9FFE07" w14:textId="77777777" w:rsidR="00D81F8F" w:rsidRDefault="00D81F8F" w:rsidP="00A814E4">
      <w:pPr>
        <w:pStyle w:val="ListParagraph"/>
        <w:numPr>
          <w:ilvl w:val="0"/>
          <w:numId w:val="27"/>
        </w:numPr>
        <w:spacing w:line="360" w:lineRule="auto"/>
        <w:contextualSpacing w:val="0"/>
        <w:jc w:val="both"/>
      </w:pPr>
      <w:r>
        <w:t xml:space="preserve">Configure policy for resource tagging </w:t>
      </w:r>
    </w:p>
    <w:p w14:paraId="67E1342C" w14:textId="1A4C02C2" w:rsidR="00D81F8F" w:rsidRPr="00DF3F18" w:rsidRDefault="00D81F8F" w:rsidP="00DF3F18">
      <w:pPr>
        <w:pStyle w:val="Heading2"/>
        <w:numPr>
          <w:ilvl w:val="0"/>
          <w:numId w:val="9"/>
        </w:numPr>
        <w:tabs>
          <w:tab w:val="left" w:pos="540"/>
        </w:tabs>
        <w:spacing w:line="360" w:lineRule="auto"/>
        <w:ind w:left="810" w:hanging="450"/>
        <w:rPr>
          <w:rFonts w:ascii="Calibri" w:hAnsi="Calibri" w:cs="Segoe UI Light"/>
          <w:color w:val="0078D4"/>
          <w:sz w:val="28"/>
        </w:rPr>
      </w:pPr>
      <w:bookmarkStart w:id="25" w:name="_Toc42195187"/>
      <w:r w:rsidRPr="00DF3F18">
        <w:rPr>
          <w:rFonts w:ascii="Calibri" w:hAnsi="Calibri" w:cs="Segoe UI Light"/>
          <w:color w:val="0078D4"/>
          <w:sz w:val="28"/>
        </w:rPr>
        <w:t xml:space="preserve">Service </w:t>
      </w:r>
      <w:r w:rsidR="00DF3F18">
        <w:rPr>
          <w:rFonts w:ascii="Calibri" w:hAnsi="Calibri" w:cs="Segoe UI Light"/>
          <w:color w:val="0078D4"/>
          <w:sz w:val="28"/>
        </w:rPr>
        <w:t>D</w:t>
      </w:r>
      <w:r w:rsidRPr="00DF3F18">
        <w:rPr>
          <w:rFonts w:ascii="Calibri" w:hAnsi="Calibri" w:cs="Segoe UI Light"/>
          <w:color w:val="0078D4"/>
          <w:sz w:val="28"/>
        </w:rPr>
        <w:t>isturbance</w:t>
      </w:r>
      <w:bookmarkEnd w:id="25"/>
      <w:r w:rsidRPr="00DF3F18">
        <w:rPr>
          <w:rFonts w:ascii="Calibri" w:hAnsi="Calibri" w:cs="Segoe UI Light"/>
          <w:color w:val="0078D4"/>
          <w:sz w:val="28"/>
        </w:rPr>
        <w:t xml:space="preserve"> </w:t>
      </w:r>
    </w:p>
    <w:p w14:paraId="459B6FE6" w14:textId="0B876DF4" w:rsidR="00D81F8F" w:rsidRDefault="00D81F8F" w:rsidP="00A814E4">
      <w:pPr>
        <w:pStyle w:val="ListParagraph"/>
        <w:numPr>
          <w:ilvl w:val="0"/>
          <w:numId w:val="27"/>
        </w:numPr>
        <w:spacing w:line="360" w:lineRule="auto"/>
        <w:jc w:val="both"/>
      </w:pPr>
      <w:r w:rsidRPr="00F14158">
        <w:rPr>
          <w:b/>
          <w:bCs/>
        </w:rPr>
        <w:t>Microsoft Cloud services audit report and service alert configuration</w:t>
      </w:r>
      <w:r w:rsidR="00F14158">
        <w:t xml:space="preserve">: </w:t>
      </w:r>
      <w:r w:rsidR="00F14158" w:rsidRPr="00F14158">
        <w:t>Microsoft cloud services include several auditing and reporting features you can use to track user and administrative activity within their tenant</w:t>
      </w:r>
    </w:p>
    <w:p w14:paraId="7720A451" w14:textId="77777777" w:rsidR="000462F6" w:rsidRDefault="000462F6"/>
    <w:sectPr w:rsidR="000462F6" w:rsidSect="00DF3F18">
      <w:headerReference w:type="default" r:id="rId38"/>
      <w:footerReference w:type="default" r:id="rId39"/>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B60F6" w14:textId="77777777" w:rsidR="000C1AB3" w:rsidRDefault="000C1AB3" w:rsidP="00DF3F18">
      <w:pPr>
        <w:spacing w:after="0"/>
      </w:pPr>
      <w:r>
        <w:separator/>
      </w:r>
    </w:p>
  </w:endnote>
  <w:endnote w:type="continuationSeparator" w:id="0">
    <w:p w14:paraId="29CE6E69" w14:textId="77777777" w:rsidR="000C1AB3" w:rsidRDefault="000C1AB3" w:rsidP="00DF3F18">
      <w:pPr>
        <w:spacing w:after="0"/>
      </w:pPr>
      <w:r>
        <w:continuationSeparator/>
      </w:r>
    </w:p>
  </w:endnote>
  <w:endnote w:type="continuationNotice" w:id="1">
    <w:p w14:paraId="7CE94C24" w14:textId="77777777" w:rsidR="000C1AB3" w:rsidRDefault="000C1AB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579F4" w14:textId="46205BCC" w:rsidR="00DF3F18" w:rsidRDefault="00DF3F18" w:rsidP="00DF3F18">
    <w:pPr>
      <w:pStyle w:val="Footer"/>
      <w:tabs>
        <w:tab w:val="clear" w:pos="4680"/>
        <w:tab w:val="clear" w:pos="9360"/>
        <w:tab w:val="center" w:pos="8100"/>
        <w:tab w:val="left" w:pos="8190"/>
      </w:tabs>
    </w:pPr>
    <w:r>
      <w:t>WVD CAF Governance Security Policy Guidelines</w:t>
    </w:r>
    <w:r>
      <w:tab/>
    </w:r>
    <w:sdt>
      <w:sdtPr>
        <w:id w:val="-1223372017"/>
        <w:docPartObj>
          <w:docPartGallery w:val="Page Numbers (Bottom of Page)"/>
          <w:docPartUnique/>
        </w:docPartObj>
      </w:sdtPr>
      <w:sdtEndPr>
        <w:rPr>
          <w:color w:val="7F7F7F" w:themeColor="background1" w:themeShade="7F"/>
          <w:spacing w:val="60"/>
        </w:rPr>
      </w:sdtEndPr>
      <w:sdtContent>
        <w:r>
          <w:t xml:space="preserve">               </w:t>
        </w:r>
        <w:r>
          <w:fldChar w:fldCharType="begin"/>
        </w:r>
        <w:r>
          <w:instrText xml:space="preserve"> PAGE   \* MERGEFORMAT </w:instrText>
        </w:r>
        <w:r>
          <w:fldChar w:fldCharType="separate"/>
        </w:r>
        <w:r>
          <w:t>4</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14D37" w14:textId="77777777" w:rsidR="000C1AB3" w:rsidRDefault="000C1AB3" w:rsidP="00DF3F18">
      <w:pPr>
        <w:spacing w:after="0"/>
      </w:pPr>
      <w:r>
        <w:separator/>
      </w:r>
    </w:p>
  </w:footnote>
  <w:footnote w:type="continuationSeparator" w:id="0">
    <w:p w14:paraId="25C2455C" w14:textId="77777777" w:rsidR="000C1AB3" w:rsidRDefault="000C1AB3" w:rsidP="00DF3F18">
      <w:pPr>
        <w:spacing w:after="0"/>
      </w:pPr>
      <w:r>
        <w:continuationSeparator/>
      </w:r>
    </w:p>
  </w:footnote>
  <w:footnote w:type="continuationNotice" w:id="1">
    <w:p w14:paraId="7338F97C" w14:textId="77777777" w:rsidR="000C1AB3" w:rsidRDefault="000C1AB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329FF" w14:textId="1C28AE5A" w:rsidR="00DF3F18" w:rsidRDefault="00DF3F18">
    <w:pPr>
      <w:pStyle w:val="Header"/>
    </w:pPr>
    <w:r w:rsidRPr="00B22145">
      <w:rPr>
        <w:noProof/>
      </w:rPr>
      <w:drawing>
        <wp:anchor distT="0" distB="0" distL="114300" distR="114300" simplePos="0" relativeHeight="251658240" behindDoc="0" locked="0" layoutInCell="1" allowOverlap="1" wp14:anchorId="5FB579A7" wp14:editId="3C4A813E">
          <wp:simplePos x="0" y="0"/>
          <wp:positionH relativeFrom="column">
            <wp:posOffset>0</wp:posOffset>
          </wp:positionH>
          <wp:positionV relativeFrom="paragraph">
            <wp:posOffset>-152400</wp:posOffset>
          </wp:positionV>
          <wp:extent cx="1262270" cy="269828"/>
          <wp:effectExtent l="0" t="0" r="0" b="0"/>
          <wp:wrapTopAndBottom/>
          <wp:docPr id="3" name="Picture 3"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458"/>
    <w:multiLevelType w:val="hybridMultilevel"/>
    <w:tmpl w:val="CB224F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7D7931"/>
    <w:multiLevelType w:val="hybridMultilevel"/>
    <w:tmpl w:val="E7D0C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A33BFC"/>
    <w:multiLevelType w:val="hybridMultilevel"/>
    <w:tmpl w:val="D5A0E1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AF7678"/>
    <w:multiLevelType w:val="hybridMultilevel"/>
    <w:tmpl w:val="564C20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4A65498"/>
    <w:multiLevelType w:val="hybridMultilevel"/>
    <w:tmpl w:val="073A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728E1"/>
    <w:multiLevelType w:val="hybridMultilevel"/>
    <w:tmpl w:val="5C407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97CEE"/>
    <w:multiLevelType w:val="hybridMultilevel"/>
    <w:tmpl w:val="5F22FA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5B40DB"/>
    <w:multiLevelType w:val="hybridMultilevel"/>
    <w:tmpl w:val="CC7C5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237768"/>
    <w:multiLevelType w:val="hybridMultilevel"/>
    <w:tmpl w:val="693818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304208"/>
    <w:multiLevelType w:val="hybridMultilevel"/>
    <w:tmpl w:val="C10ECE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A256296"/>
    <w:multiLevelType w:val="hybridMultilevel"/>
    <w:tmpl w:val="D3E2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84854"/>
    <w:multiLevelType w:val="hybridMultilevel"/>
    <w:tmpl w:val="2326F5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99351C7"/>
    <w:multiLevelType w:val="multilevel"/>
    <w:tmpl w:val="C6AC4598"/>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D3F1F00"/>
    <w:multiLevelType w:val="multilevel"/>
    <w:tmpl w:val="C6AC4598"/>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55017B4"/>
    <w:multiLevelType w:val="hybridMultilevel"/>
    <w:tmpl w:val="391E9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C0505F"/>
    <w:multiLevelType w:val="hybridMultilevel"/>
    <w:tmpl w:val="1E04F5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7355B7C"/>
    <w:multiLevelType w:val="hybridMultilevel"/>
    <w:tmpl w:val="D40C46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8E6399F"/>
    <w:multiLevelType w:val="hybridMultilevel"/>
    <w:tmpl w:val="76F8A2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D31A4B"/>
    <w:multiLevelType w:val="hybridMultilevel"/>
    <w:tmpl w:val="C8E44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691107"/>
    <w:multiLevelType w:val="hybridMultilevel"/>
    <w:tmpl w:val="AA58706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5FE40A52"/>
    <w:multiLevelType w:val="hybridMultilevel"/>
    <w:tmpl w:val="4B686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6F798A"/>
    <w:multiLevelType w:val="hybridMultilevel"/>
    <w:tmpl w:val="0264EF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3451FB6"/>
    <w:multiLevelType w:val="multilevel"/>
    <w:tmpl w:val="C352A0AA"/>
    <w:lvl w:ilvl="0">
      <w:start w:val="1"/>
      <w:numFmt w:val="decimal"/>
      <w:lvlText w:val="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6FF06D9"/>
    <w:multiLevelType w:val="hybridMultilevel"/>
    <w:tmpl w:val="E902AF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96D40EA"/>
    <w:multiLevelType w:val="hybridMultilevel"/>
    <w:tmpl w:val="3B4AD9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77070"/>
    <w:multiLevelType w:val="hybridMultilevel"/>
    <w:tmpl w:val="B4827434"/>
    <w:lvl w:ilvl="0" w:tplc="AB92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B805F7"/>
    <w:multiLevelType w:val="multilevel"/>
    <w:tmpl w:val="4BBE2ED8"/>
    <w:lvl w:ilvl="0">
      <w:start w:val="1"/>
      <w:numFmt w:val="decimal"/>
      <w:lvlText w:val="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1"/>
  </w:num>
  <w:num w:numId="3">
    <w:abstractNumId w:val="15"/>
  </w:num>
  <w:num w:numId="4">
    <w:abstractNumId w:val="5"/>
  </w:num>
  <w:num w:numId="5">
    <w:abstractNumId w:val="25"/>
  </w:num>
  <w:num w:numId="6">
    <w:abstractNumId w:val="12"/>
  </w:num>
  <w:num w:numId="7">
    <w:abstractNumId w:val="13"/>
  </w:num>
  <w:num w:numId="8">
    <w:abstractNumId w:val="22"/>
  </w:num>
  <w:num w:numId="9">
    <w:abstractNumId w:val="26"/>
  </w:num>
  <w:num w:numId="10">
    <w:abstractNumId w:val="7"/>
  </w:num>
  <w:num w:numId="11">
    <w:abstractNumId w:val="6"/>
  </w:num>
  <w:num w:numId="12">
    <w:abstractNumId w:val="14"/>
  </w:num>
  <w:num w:numId="13">
    <w:abstractNumId w:val="17"/>
  </w:num>
  <w:num w:numId="14">
    <w:abstractNumId w:val="4"/>
  </w:num>
  <w:num w:numId="15">
    <w:abstractNumId w:val="19"/>
  </w:num>
  <w:num w:numId="16">
    <w:abstractNumId w:val="18"/>
  </w:num>
  <w:num w:numId="17">
    <w:abstractNumId w:val="21"/>
  </w:num>
  <w:num w:numId="18">
    <w:abstractNumId w:val="2"/>
  </w:num>
  <w:num w:numId="19">
    <w:abstractNumId w:val="20"/>
  </w:num>
  <w:num w:numId="20">
    <w:abstractNumId w:val="3"/>
  </w:num>
  <w:num w:numId="21">
    <w:abstractNumId w:val="9"/>
  </w:num>
  <w:num w:numId="22">
    <w:abstractNumId w:val="23"/>
  </w:num>
  <w:num w:numId="23">
    <w:abstractNumId w:val="8"/>
  </w:num>
  <w:num w:numId="24">
    <w:abstractNumId w:val="16"/>
  </w:num>
  <w:num w:numId="25">
    <w:abstractNumId w:val="24"/>
  </w:num>
  <w:num w:numId="26">
    <w:abstractNumId w:val="1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8F"/>
    <w:rsid w:val="00005358"/>
    <w:rsid w:val="000228AA"/>
    <w:rsid w:val="000231E8"/>
    <w:rsid w:val="0004604F"/>
    <w:rsid w:val="000462F6"/>
    <w:rsid w:val="000507E9"/>
    <w:rsid w:val="00054A91"/>
    <w:rsid w:val="00074410"/>
    <w:rsid w:val="00093779"/>
    <w:rsid w:val="000A4248"/>
    <w:rsid w:val="000A70F0"/>
    <w:rsid w:val="000B1D8A"/>
    <w:rsid w:val="000B4ECB"/>
    <w:rsid w:val="000C1AB3"/>
    <w:rsid w:val="000C2599"/>
    <w:rsid w:val="000F41FB"/>
    <w:rsid w:val="001045F6"/>
    <w:rsid w:val="0010717E"/>
    <w:rsid w:val="00134F77"/>
    <w:rsid w:val="001467C1"/>
    <w:rsid w:val="0015745D"/>
    <w:rsid w:val="001600D0"/>
    <w:rsid w:val="00172789"/>
    <w:rsid w:val="00186F80"/>
    <w:rsid w:val="001A2785"/>
    <w:rsid w:val="001A7BB4"/>
    <w:rsid w:val="001C2F2F"/>
    <w:rsid w:val="001F1872"/>
    <w:rsid w:val="00214894"/>
    <w:rsid w:val="00215F0A"/>
    <w:rsid w:val="002176DF"/>
    <w:rsid w:val="00223A3F"/>
    <w:rsid w:val="00230DF6"/>
    <w:rsid w:val="002334AB"/>
    <w:rsid w:val="002437C8"/>
    <w:rsid w:val="0025509C"/>
    <w:rsid w:val="002575E4"/>
    <w:rsid w:val="00257612"/>
    <w:rsid w:val="00266520"/>
    <w:rsid w:val="00270C7E"/>
    <w:rsid w:val="00291BA8"/>
    <w:rsid w:val="002A3D6A"/>
    <w:rsid w:val="002C12F0"/>
    <w:rsid w:val="002D3C31"/>
    <w:rsid w:val="00307B5F"/>
    <w:rsid w:val="003215A7"/>
    <w:rsid w:val="003307A3"/>
    <w:rsid w:val="0033249C"/>
    <w:rsid w:val="00335CE5"/>
    <w:rsid w:val="003405DB"/>
    <w:rsid w:val="00356C69"/>
    <w:rsid w:val="003616B9"/>
    <w:rsid w:val="003A08A3"/>
    <w:rsid w:val="003F54EB"/>
    <w:rsid w:val="003F5766"/>
    <w:rsid w:val="00401EFA"/>
    <w:rsid w:val="004034ED"/>
    <w:rsid w:val="00405057"/>
    <w:rsid w:val="00424350"/>
    <w:rsid w:val="00430F95"/>
    <w:rsid w:val="00432A09"/>
    <w:rsid w:val="004638D8"/>
    <w:rsid w:val="00464141"/>
    <w:rsid w:val="004B38E5"/>
    <w:rsid w:val="004B7226"/>
    <w:rsid w:val="004C6F3B"/>
    <w:rsid w:val="004C7186"/>
    <w:rsid w:val="004E4E21"/>
    <w:rsid w:val="004F5E70"/>
    <w:rsid w:val="00515EBA"/>
    <w:rsid w:val="0051603F"/>
    <w:rsid w:val="0052447D"/>
    <w:rsid w:val="00527BBF"/>
    <w:rsid w:val="00530EE9"/>
    <w:rsid w:val="00531E1C"/>
    <w:rsid w:val="00565B9A"/>
    <w:rsid w:val="00572D4C"/>
    <w:rsid w:val="00594523"/>
    <w:rsid w:val="00597624"/>
    <w:rsid w:val="005A1748"/>
    <w:rsid w:val="005A7C86"/>
    <w:rsid w:val="005B4E32"/>
    <w:rsid w:val="005D507D"/>
    <w:rsid w:val="005E37F6"/>
    <w:rsid w:val="00600F4D"/>
    <w:rsid w:val="00605AFF"/>
    <w:rsid w:val="00613C2F"/>
    <w:rsid w:val="00627274"/>
    <w:rsid w:val="00627F54"/>
    <w:rsid w:val="00634C19"/>
    <w:rsid w:val="00667C74"/>
    <w:rsid w:val="00675442"/>
    <w:rsid w:val="006870E6"/>
    <w:rsid w:val="00687D22"/>
    <w:rsid w:val="006A479F"/>
    <w:rsid w:val="006A76A1"/>
    <w:rsid w:val="006B5F75"/>
    <w:rsid w:val="006B6789"/>
    <w:rsid w:val="006D3872"/>
    <w:rsid w:val="006D5665"/>
    <w:rsid w:val="006E3954"/>
    <w:rsid w:val="006E4A2E"/>
    <w:rsid w:val="006E750F"/>
    <w:rsid w:val="006F00D4"/>
    <w:rsid w:val="00712778"/>
    <w:rsid w:val="0072665C"/>
    <w:rsid w:val="007303A3"/>
    <w:rsid w:val="0074225A"/>
    <w:rsid w:val="007613D9"/>
    <w:rsid w:val="00766782"/>
    <w:rsid w:val="00767706"/>
    <w:rsid w:val="007C6253"/>
    <w:rsid w:val="007D1709"/>
    <w:rsid w:val="007D5B6F"/>
    <w:rsid w:val="007D7D5E"/>
    <w:rsid w:val="008070F3"/>
    <w:rsid w:val="00810FC5"/>
    <w:rsid w:val="008141D2"/>
    <w:rsid w:val="00823597"/>
    <w:rsid w:val="00825612"/>
    <w:rsid w:val="008661F4"/>
    <w:rsid w:val="00867AFE"/>
    <w:rsid w:val="00867B22"/>
    <w:rsid w:val="0088285B"/>
    <w:rsid w:val="00887482"/>
    <w:rsid w:val="00891C81"/>
    <w:rsid w:val="00894C71"/>
    <w:rsid w:val="008A2BE3"/>
    <w:rsid w:val="008C0951"/>
    <w:rsid w:val="008E044C"/>
    <w:rsid w:val="008F3459"/>
    <w:rsid w:val="00922094"/>
    <w:rsid w:val="0093703A"/>
    <w:rsid w:val="0094446C"/>
    <w:rsid w:val="00950A0E"/>
    <w:rsid w:val="009650DB"/>
    <w:rsid w:val="00977C78"/>
    <w:rsid w:val="0098066A"/>
    <w:rsid w:val="00981064"/>
    <w:rsid w:val="009908A5"/>
    <w:rsid w:val="009925C8"/>
    <w:rsid w:val="009A71ED"/>
    <w:rsid w:val="009B7A0F"/>
    <w:rsid w:val="009D7209"/>
    <w:rsid w:val="009F5CD0"/>
    <w:rsid w:val="009F6855"/>
    <w:rsid w:val="00A02286"/>
    <w:rsid w:val="00A12411"/>
    <w:rsid w:val="00A2303A"/>
    <w:rsid w:val="00A448ED"/>
    <w:rsid w:val="00A50BC0"/>
    <w:rsid w:val="00A64CCC"/>
    <w:rsid w:val="00A70E88"/>
    <w:rsid w:val="00A814E4"/>
    <w:rsid w:val="00A9043C"/>
    <w:rsid w:val="00A92CBA"/>
    <w:rsid w:val="00AC34DE"/>
    <w:rsid w:val="00AF2A64"/>
    <w:rsid w:val="00AF5DF6"/>
    <w:rsid w:val="00B00B6F"/>
    <w:rsid w:val="00B07500"/>
    <w:rsid w:val="00B22D7A"/>
    <w:rsid w:val="00B30F53"/>
    <w:rsid w:val="00B3761D"/>
    <w:rsid w:val="00B44555"/>
    <w:rsid w:val="00B62CFC"/>
    <w:rsid w:val="00B85D35"/>
    <w:rsid w:val="00B92A45"/>
    <w:rsid w:val="00BC0E1A"/>
    <w:rsid w:val="00BC1AB6"/>
    <w:rsid w:val="00BD0C46"/>
    <w:rsid w:val="00BE42AF"/>
    <w:rsid w:val="00BF7F7A"/>
    <w:rsid w:val="00C24D60"/>
    <w:rsid w:val="00C27A79"/>
    <w:rsid w:val="00C3164F"/>
    <w:rsid w:val="00C339AF"/>
    <w:rsid w:val="00C41390"/>
    <w:rsid w:val="00C53A27"/>
    <w:rsid w:val="00C54519"/>
    <w:rsid w:val="00C56990"/>
    <w:rsid w:val="00C93E7A"/>
    <w:rsid w:val="00CB5A21"/>
    <w:rsid w:val="00CB7B5E"/>
    <w:rsid w:val="00CC241F"/>
    <w:rsid w:val="00CC2CC8"/>
    <w:rsid w:val="00CE324D"/>
    <w:rsid w:val="00CF52BA"/>
    <w:rsid w:val="00D00F79"/>
    <w:rsid w:val="00D015D4"/>
    <w:rsid w:val="00D11483"/>
    <w:rsid w:val="00D41AF3"/>
    <w:rsid w:val="00D44216"/>
    <w:rsid w:val="00D6512C"/>
    <w:rsid w:val="00D66CA8"/>
    <w:rsid w:val="00D81F8F"/>
    <w:rsid w:val="00D86300"/>
    <w:rsid w:val="00D87B97"/>
    <w:rsid w:val="00D92A7C"/>
    <w:rsid w:val="00DB29AB"/>
    <w:rsid w:val="00DB2E02"/>
    <w:rsid w:val="00DC4EAE"/>
    <w:rsid w:val="00DC535C"/>
    <w:rsid w:val="00DD70EC"/>
    <w:rsid w:val="00DF3F18"/>
    <w:rsid w:val="00E236F4"/>
    <w:rsid w:val="00E269C8"/>
    <w:rsid w:val="00E4776B"/>
    <w:rsid w:val="00E508D9"/>
    <w:rsid w:val="00E61638"/>
    <w:rsid w:val="00E62666"/>
    <w:rsid w:val="00E814CB"/>
    <w:rsid w:val="00E927C8"/>
    <w:rsid w:val="00E948F7"/>
    <w:rsid w:val="00E96632"/>
    <w:rsid w:val="00EA39B3"/>
    <w:rsid w:val="00F122D9"/>
    <w:rsid w:val="00F14158"/>
    <w:rsid w:val="00F17B0D"/>
    <w:rsid w:val="00F26E16"/>
    <w:rsid w:val="00F271E7"/>
    <w:rsid w:val="00F478B2"/>
    <w:rsid w:val="00F53D20"/>
    <w:rsid w:val="00F552AF"/>
    <w:rsid w:val="00F80ED6"/>
    <w:rsid w:val="00F958F8"/>
    <w:rsid w:val="00F97D08"/>
    <w:rsid w:val="00FC4146"/>
    <w:rsid w:val="00FC736C"/>
    <w:rsid w:val="00FD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CDACC6"/>
  <w15:chartTrackingRefBased/>
  <w15:docId w15:val="{D8910E50-39F0-4D8D-8E3C-62267646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F8F"/>
    <w:pPr>
      <w:spacing w:after="240" w:line="240" w:lineRule="auto"/>
    </w:pPr>
    <w:rPr>
      <w:rFonts w:eastAsia="Times New Roman" w:cs="Times New Roman"/>
      <w:szCs w:val="24"/>
    </w:rPr>
  </w:style>
  <w:style w:type="paragraph" w:styleId="Heading1">
    <w:name w:val="heading 1"/>
    <w:basedOn w:val="Normal"/>
    <w:next w:val="Normal"/>
    <w:link w:val="Heading1Char"/>
    <w:uiPriority w:val="9"/>
    <w:qFormat/>
    <w:rsid w:val="00980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66A"/>
    <w:pPr>
      <w:keepNext/>
      <w:keepLines/>
      <w:spacing w:before="40" w:after="0" w:line="259" w:lineRule="auto"/>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F8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F8F"/>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9806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5D35"/>
    <w:pPr>
      <w:ind w:left="720"/>
      <w:contextualSpacing/>
    </w:pPr>
  </w:style>
  <w:style w:type="character" w:styleId="Hyperlink">
    <w:name w:val="Hyperlink"/>
    <w:basedOn w:val="DefaultParagraphFont"/>
    <w:uiPriority w:val="99"/>
    <w:unhideWhenUsed/>
    <w:rsid w:val="0098066A"/>
    <w:rPr>
      <w:color w:val="0000FF"/>
      <w:u w:val="single"/>
    </w:rPr>
  </w:style>
  <w:style w:type="paragraph" w:styleId="TOCHeading">
    <w:name w:val="TOC Heading"/>
    <w:basedOn w:val="Heading1"/>
    <w:next w:val="Normal"/>
    <w:uiPriority w:val="39"/>
    <w:unhideWhenUsed/>
    <w:qFormat/>
    <w:rsid w:val="0098066A"/>
    <w:pPr>
      <w:spacing w:before="400" w:after="40"/>
      <w:outlineLvl w:val="9"/>
    </w:pPr>
    <w:rPr>
      <w:color w:val="1F3864" w:themeColor="accent1" w:themeShade="80"/>
      <w:sz w:val="36"/>
      <w:szCs w:val="36"/>
      <w:lang w:val="en-IN"/>
    </w:rPr>
  </w:style>
  <w:style w:type="paragraph" w:styleId="TOC1">
    <w:name w:val="toc 1"/>
    <w:basedOn w:val="Normal"/>
    <w:next w:val="Normal"/>
    <w:autoRedefine/>
    <w:uiPriority w:val="39"/>
    <w:unhideWhenUsed/>
    <w:rsid w:val="0098066A"/>
    <w:pPr>
      <w:spacing w:after="100" w:line="259" w:lineRule="auto"/>
    </w:pPr>
    <w:rPr>
      <w:rFonts w:eastAsiaTheme="minorEastAsia" w:cstheme="minorBidi"/>
      <w:szCs w:val="22"/>
      <w:lang w:val="en-IN"/>
    </w:rPr>
  </w:style>
  <w:style w:type="paragraph" w:styleId="TOC2">
    <w:name w:val="toc 2"/>
    <w:basedOn w:val="Normal"/>
    <w:next w:val="Normal"/>
    <w:autoRedefine/>
    <w:uiPriority w:val="39"/>
    <w:unhideWhenUsed/>
    <w:rsid w:val="0098066A"/>
    <w:pPr>
      <w:spacing w:after="100" w:line="259" w:lineRule="auto"/>
      <w:ind w:left="220"/>
    </w:pPr>
    <w:rPr>
      <w:rFonts w:eastAsiaTheme="minorHAnsi" w:cstheme="minorBidi"/>
      <w:szCs w:val="22"/>
    </w:rPr>
  </w:style>
  <w:style w:type="paragraph" w:styleId="TOC3">
    <w:name w:val="toc 3"/>
    <w:basedOn w:val="Normal"/>
    <w:next w:val="Normal"/>
    <w:autoRedefine/>
    <w:uiPriority w:val="39"/>
    <w:unhideWhenUsed/>
    <w:rsid w:val="0098066A"/>
    <w:pPr>
      <w:spacing w:after="100" w:line="259" w:lineRule="auto"/>
      <w:ind w:left="440"/>
    </w:pPr>
    <w:rPr>
      <w:rFonts w:eastAsiaTheme="minorHAnsi" w:cstheme="minorBidi"/>
      <w:szCs w:val="22"/>
    </w:rPr>
  </w:style>
  <w:style w:type="character" w:customStyle="1" w:styleId="Heading2Char">
    <w:name w:val="Heading 2 Char"/>
    <w:basedOn w:val="DefaultParagraphFont"/>
    <w:link w:val="Heading2"/>
    <w:uiPriority w:val="9"/>
    <w:rsid w:val="0098066A"/>
    <w:rPr>
      <w:rFonts w:asciiTheme="majorHAnsi" w:eastAsiaTheme="majorEastAsia" w:hAnsiTheme="majorHAnsi" w:cstheme="majorBidi"/>
      <w:b/>
      <w:color w:val="2F5496" w:themeColor="accent1" w:themeShade="BF"/>
      <w:sz w:val="26"/>
      <w:szCs w:val="26"/>
    </w:rPr>
  </w:style>
  <w:style w:type="paragraph" w:styleId="Header">
    <w:name w:val="header"/>
    <w:basedOn w:val="Normal"/>
    <w:link w:val="HeaderChar"/>
    <w:uiPriority w:val="99"/>
    <w:unhideWhenUsed/>
    <w:rsid w:val="00DF3F18"/>
    <w:pPr>
      <w:tabs>
        <w:tab w:val="center" w:pos="4680"/>
        <w:tab w:val="right" w:pos="9360"/>
      </w:tabs>
      <w:spacing w:after="0"/>
    </w:pPr>
  </w:style>
  <w:style w:type="character" w:customStyle="1" w:styleId="HeaderChar">
    <w:name w:val="Header Char"/>
    <w:basedOn w:val="DefaultParagraphFont"/>
    <w:link w:val="Header"/>
    <w:uiPriority w:val="99"/>
    <w:rsid w:val="00DF3F18"/>
    <w:rPr>
      <w:rFonts w:eastAsia="Times New Roman" w:cs="Times New Roman"/>
      <w:szCs w:val="24"/>
    </w:rPr>
  </w:style>
  <w:style w:type="paragraph" w:styleId="Footer">
    <w:name w:val="footer"/>
    <w:basedOn w:val="Normal"/>
    <w:link w:val="FooterChar"/>
    <w:uiPriority w:val="99"/>
    <w:unhideWhenUsed/>
    <w:rsid w:val="00DF3F18"/>
    <w:pPr>
      <w:tabs>
        <w:tab w:val="center" w:pos="4680"/>
        <w:tab w:val="right" w:pos="9360"/>
      </w:tabs>
      <w:spacing w:after="0"/>
    </w:pPr>
  </w:style>
  <w:style w:type="character" w:customStyle="1" w:styleId="FooterChar">
    <w:name w:val="Footer Char"/>
    <w:basedOn w:val="DefaultParagraphFont"/>
    <w:link w:val="Footer"/>
    <w:uiPriority w:val="99"/>
    <w:rsid w:val="00DF3F18"/>
    <w:rPr>
      <w:rFonts w:eastAsia="Times New Roman" w:cs="Times New Roman"/>
      <w:szCs w:val="24"/>
    </w:rPr>
  </w:style>
  <w:style w:type="character" w:styleId="UnresolvedMention">
    <w:name w:val="Unresolved Mention"/>
    <w:basedOn w:val="DefaultParagraphFont"/>
    <w:uiPriority w:val="99"/>
    <w:semiHidden/>
    <w:unhideWhenUsed/>
    <w:rsid w:val="0093703A"/>
    <w:rPr>
      <w:color w:val="605E5C"/>
      <w:shd w:val="clear" w:color="auto" w:fill="E1DFDD"/>
    </w:rPr>
  </w:style>
  <w:style w:type="character" w:styleId="FollowedHyperlink">
    <w:name w:val="FollowedHyperlink"/>
    <w:basedOn w:val="DefaultParagraphFont"/>
    <w:uiPriority w:val="99"/>
    <w:semiHidden/>
    <w:unhideWhenUsed/>
    <w:rsid w:val="006F00D4"/>
    <w:rPr>
      <w:color w:val="954F72" w:themeColor="followedHyperlink"/>
      <w:u w:val="single"/>
    </w:rPr>
  </w:style>
  <w:style w:type="paragraph" w:styleId="NoSpacing">
    <w:name w:val="No Spacing"/>
    <w:uiPriority w:val="1"/>
    <w:qFormat/>
    <w:rsid w:val="00F958F8"/>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develop/authentication-vs-authorization" TargetMode="External"/><Relationship Id="rId18" Type="http://schemas.openxmlformats.org/officeDocument/2006/relationships/hyperlink" Target="https://docs.microsoft.com/en-in/azure/governance/blueprints/create-blueprint-portal" TargetMode="External"/><Relationship Id="rId26" Type="http://schemas.openxmlformats.org/officeDocument/2006/relationships/hyperlink" Target="https://docs.microsoft.com/en-us/azure/security/fundamentals/threat-detection" TargetMode="External"/><Relationship Id="rId39" Type="http://schemas.openxmlformats.org/officeDocument/2006/relationships/footer" Target="footer1.xml"/><Relationship Id="rId21" Type="http://schemas.openxmlformats.org/officeDocument/2006/relationships/hyperlink" Target="https://docs.microsoft.com/en-us/azure/security/fundamentals/management-monitoring-overview" TargetMode="External"/><Relationship Id="rId34" Type="http://schemas.openxmlformats.org/officeDocument/2006/relationships/hyperlink" Target="https://docs.microsoft.com/en-us/azure/cloud-adoption-framework/govern/identity-baselin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cs.microsoft.com/en-us/azure/security/fundamentals/encryption-atrest" TargetMode="External"/><Relationship Id="rId20" Type="http://schemas.openxmlformats.org/officeDocument/2006/relationships/hyperlink" Target="https://docs.microsoft.com/en-us/azure/role-based-access-control/overview" TargetMode="External"/><Relationship Id="rId29" Type="http://schemas.openxmlformats.org/officeDocument/2006/relationships/hyperlink" Target="https://azure.microsoft.com/en-us/blog/static-internal-ip-address-for-virtual-machin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ctive-directory/conditional-access/concept-conditional-access-conditions" TargetMode="External"/><Relationship Id="rId24" Type="http://schemas.openxmlformats.org/officeDocument/2006/relationships/hyperlink" Target="https://docs.microsoft.com/en-us/azure/virtual-network/virtual-networks-udr-overview" TargetMode="External"/><Relationship Id="rId32" Type="http://schemas.openxmlformats.org/officeDocument/2006/relationships/hyperlink" Target="https://docs.microsoft.com/en-us/azure/active-directory/manage-apps/application-proxy" TargetMode="External"/><Relationship Id="rId37" Type="http://schemas.openxmlformats.org/officeDocument/2006/relationships/hyperlink" Target="https://docs.microsoft.com/en-us/azure/security-center/threat-protection"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cs.microsoft.com/en-us/azure/security-center/secure-score-security-controls" TargetMode="External"/><Relationship Id="rId23" Type="http://schemas.openxmlformats.org/officeDocument/2006/relationships/hyperlink" Target="https://docs.microsoft.com/en-us/azure/application-gateway/overview" TargetMode="External"/><Relationship Id="rId28" Type="http://schemas.openxmlformats.org/officeDocument/2006/relationships/hyperlink" Target="https://docs.microsoft.com/en-us/azure/architecture/reference-architectures/hybrid-networking/hub-spoke" TargetMode="External"/><Relationship Id="rId36" Type="http://schemas.openxmlformats.org/officeDocument/2006/relationships/hyperlink" Target="https://docs.microsoft.com/en-us/azure/azure-monitor/insights/vminsights-enable-overview" TargetMode="External"/><Relationship Id="rId10" Type="http://schemas.openxmlformats.org/officeDocument/2006/relationships/image" Target="media/image1.png"/><Relationship Id="rId19" Type="http://schemas.openxmlformats.org/officeDocument/2006/relationships/hyperlink" Target="https://docs.microsoft.com/en-us/azure/cloud-adoption-framework/ready/azure-best-practices/naming-and-tagging" TargetMode="External"/><Relationship Id="rId31" Type="http://schemas.openxmlformats.org/officeDocument/2006/relationships/hyperlink" Target="https://docs.microsoft.com/en-us/azure/load-balancer/tutorial-load-balancer-standard-manage-port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security-center/update-regulatory-compliance-packages" TargetMode="External"/><Relationship Id="rId22" Type="http://schemas.openxmlformats.org/officeDocument/2006/relationships/hyperlink" Target="https://docs.microsoft.com/en-us/azure/security-center/tutorial-security-policy" TargetMode="External"/><Relationship Id="rId27" Type="http://schemas.openxmlformats.org/officeDocument/2006/relationships/hyperlink" Target="https://docs.microsoft.com/en-us/azure/virtual-network/policy-samples" TargetMode="External"/><Relationship Id="rId30" Type="http://schemas.openxmlformats.org/officeDocument/2006/relationships/hyperlink" Target="https://docs.microsoft.com/en-us/azure/web-application-firewall/ag/ag-overview" TargetMode="External"/><Relationship Id="rId35" Type="http://schemas.openxmlformats.org/officeDocument/2006/relationships/hyperlink" Target="https://docs.microsoft.com/en-us/azure/information-protection/what-is-information-protection"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docs.microsoft.com/en-us/azure/active-directory/authentication/howto-mfa-getstarted" TargetMode="External"/><Relationship Id="rId17" Type="http://schemas.openxmlformats.org/officeDocument/2006/relationships/hyperlink" Target="https://docs.microsoft.com/en-us/azure/virtual-network/ddos-protection-overview" TargetMode="External"/><Relationship Id="rId25" Type="http://schemas.openxmlformats.org/officeDocument/2006/relationships/hyperlink" Target="https://docs.microsoft.com/en-us/azure/security/fundamentals/ddos-best-practices" TargetMode="External"/><Relationship Id="rId33" Type="http://schemas.openxmlformats.org/officeDocument/2006/relationships/hyperlink" Target="https://docs.microsoft.com/en-in/azure/active-directory/manage-apps/secure-hybrid-access"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558CB3-BB48-492D-A356-328FC580B0B3}">
  <ds:schemaRefs>
    <ds:schemaRef ds:uri="http://schemas.microsoft.com/sharepoint/v3/contenttype/forms"/>
  </ds:schemaRefs>
</ds:datastoreItem>
</file>

<file path=customXml/itemProps2.xml><?xml version="1.0" encoding="utf-8"?>
<ds:datastoreItem xmlns:ds="http://schemas.openxmlformats.org/officeDocument/2006/customXml" ds:itemID="{121CF4A1-2534-4B1A-AF8A-61DE37271B56}">
  <ds:schemaRefs>
    <ds:schemaRef ds:uri="http://schemas.microsoft.com/office/2006/documentManagement/types"/>
    <ds:schemaRef ds:uri="http://purl.org/dc/elements/1.1/"/>
    <ds:schemaRef ds:uri="http://schemas.microsoft.com/office/infopath/2007/PartnerControls"/>
    <ds:schemaRef ds:uri="http://purl.org/dc/dcmitype/"/>
    <ds:schemaRef ds:uri="http://www.w3.org/XML/1998/namespace"/>
    <ds:schemaRef ds:uri="http://purl.org/dc/terms/"/>
    <ds:schemaRef ds:uri="http://schemas.openxmlformats.org/package/2006/metadata/core-properties"/>
    <ds:schemaRef ds:uri="24ce65f2-f4ee-4734-b023-07c740501d91"/>
    <ds:schemaRef ds:uri="http://schemas.microsoft.com/office/2006/metadata/properties"/>
  </ds:schemaRefs>
</ds:datastoreItem>
</file>

<file path=customXml/itemProps3.xml><?xml version="1.0" encoding="utf-8"?>
<ds:datastoreItem xmlns:ds="http://schemas.openxmlformats.org/officeDocument/2006/customXml" ds:itemID="{7AD3128E-21BB-4C89-A81B-AD005FE6B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12</Pages>
  <Words>3806</Words>
  <Characters>21698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25454</CharactersWithSpaces>
  <SharedDoc>false</SharedDoc>
  <HLinks>
    <vt:vector size="276" baseType="variant">
      <vt:variant>
        <vt:i4>8257575</vt:i4>
      </vt:variant>
      <vt:variant>
        <vt:i4>222</vt:i4>
      </vt:variant>
      <vt:variant>
        <vt:i4>0</vt:i4>
      </vt:variant>
      <vt:variant>
        <vt:i4>5</vt:i4>
      </vt:variant>
      <vt:variant>
        <vt:lpwstr>https://docs.microsoft.com/en-us/azure/architecture/reference-architectures/hybrid-networking/hub-spoke</vt:lpwstr>
      </vt:variant>
      <vt:variant>
        <vt:lpwstr/>
      </vt:variant>
      <vt:variant>
        <vt:i4>131088</vt:i4>
      </vt:variant>
      <vt:variant>
        <vt:i4>219</vt:i4>
      </vt:variant>
      <vt:variant>
        <vt:i4>0</vt:i4>
      </vt:variant>
      <vt:variant>
        <vt:i4>5</vt:i4>
      </vt:variant>
      <vt:variant>
        <vt:lpwstr>https://docs.microsoft.com/en-us/azure/virtual-network/policy-samples</vt:lpwstr>
      </vt:variant>
      <vt:variant>
        <vt:lpwstr>azure-virtual-network</vt:lpwstr>
      </vt:variant>
      <vt:variant>
        <vt:i4>5963842</vt:i4>
      </vt:variant>
      <vt:variant>
        <vt:i4>216</vt:i4>
      </vt:variant>
      <vt:variant>
        <vt:i4>0</vt:i4>
      </vt:variant>
      <vt:variant>
        <vt:i4>5</vt:i4>
      </vt:variant>
      <vt:variant>
        <vt:lpwstr>https://docs.microsoft.com/en-us/azure/security/fundamentals/threat-detection</vt:lpwstr>
      </vt:variant>
      <vt:variant>
        <vt:lpwstr/>
      </vt:variant>
      <vt:variant>
        <vt:i4>7929918</vt:i4>
      </vt:variant>
      <vt:variant>
        <vt:i4>213</vt:i4>
      </vt:variant>
      <vt:variant>
        <vt:i4>0</vt:i4>
      </vt:variant>
      <vt:variant>
        <vt:i4>5</vt:i4>
      </vt:variant>
      <vt:variant>
        <vt:lpwstr>https://docs.microsoft.com/en-us/azure/security/fundamentals/ddos-best-practices</vt:lpwstr>
      </vt:variant>
      <vt:variant>
        <vt:lpwstr>azure-offerings-for-ddos-protection</vt:lpwstr>
      </vt:variant>
      <vt:variant>
        <vt:i4>4456460</vt:i4>
      </vt:variant>
      <vt:variant>
        <vt:i4>210</vt:i4>
      </vt:variant>
      <vt:variant>
        <vt:i4>0</vt:i4>
      </vt:variant>
      <vt:variant>
        <vt:i4>5</vt:i4>
      </vt:variant>
      <vt:variant>
        <vt:lpwstr>https://docs.microsoft.com/en-us/azure/virtual-network/virtual-networks-udr-overview</vt:lpwstr>
      </vt:variant>
      <vt:variant>
        <vt:lpwstr>user-defined</vt:lpwstr>
      </vt:variant>
      <vt:variant>
        <vt:i4>2687092</vt:i4>
      </vt:variant>
      <vt:variant>
        <vt:i4>207</vt:i4>
      </vt:variant>
      <vt:variant>
        <vt:i4>0</vt:i4>
      </vt:variant>
      <vt:variant>
        <vt:i4>5</vt:i4>
      </vt:variant>
      <vt:variant>
        <vt:lpwstr>https://docs.microsoft.com/en-us/azure/application-gateway/overview</vt:lpwstr>
      </vt:variant>
      <vt:variant>
        <vt:lpwstr/>
      </vt:variant>
      <vt:variant>
        <vt:i4>2752639</vt:i4>
      </vt:variant>
      <vt:variant>
        <vt:i4>204</vt:i4>
      </vt:variant>
      <vt:variant>
        <vt:i4>0</vt:i4>
      </vt:variant>
      <vt:variant>
        <vt:i4>5</vt:i4>
      </vt:variant>
      <vt:variant>
        <vt:lpwstr>https://docs.microsoft.com/en-us/azure/security-center/tutorial-security-policy</vt:lpwstr>
      </vt:variant>
      <vt:variant>
        <vt:lpwstr/>
      </vt:variant>
      <vt:variant>
        <vt:i4>4063358</vt:i4>
      </vt:variant>
      <vt:variant>
        <vt:i4>201</vt:i4>
      </vt:variant>
      <vt:variant>
        <vt:i4>0</vt:i4>
      </vt:variant>
      <vt:variant>
        <vt:i4>5</vt:i4>
      </vt:variant>
      <vt:variant>
        <vt:lpwstr>https://docs.microsoft.com/en-us/azure/security/fundamentals/management-monitoring-overview</vt:lpwstr>
      </vt:variant>
      <vt:variant>
        <vt:lpwstr/>
      </vt:variant>
      <vt:variant>
        <vt:i4>5636111</vt:i4>
      </vt:variant>
      <vt:variant>
        <vt:i4>198</vt:i4>
      </vt:variant>
      <vt:variant>
        <vt:i4>0</vt:i4>
      </vt:variant>
      <vt:variant>
        <vt:i4>5</vt:i4>
      </vt:variant>
      <vt:variant>
        <vt:lpwstr>https://docs.microsoft.com/en-us/azure/role-based-access-control/overview</vt:lpwstr>
      </vt:variant>
      <vt:variant>
        <vt:lpwstr/>
      </vt:variant>
      <vt:variant>
        <vt:i4>5374046</vt:i4>
      </vt:variant>
      <vt:variant>
        <vt:i4>195</vt:i4>
      </vt:variant>
      <vt:variant>
        <vt:i4>0</vt:i4>
      </vt:variant>
      <vt:variant>
        <vt:i4>5</vt:i4>
      </vt:variant>
      <vt:variant>
        <vt:lpwstr>https://docs.microsoft.com/en-us/azure/cloud-adoption-framework/ready/azure-best-practices/naming-and-tagging</vt:lpwstr>
      </vt:variant>
      <vt:variant>
        <vt:lpwstr/>
      </vt:variant>
      <vt:variant>
        <vt:i4>1441875</vt:i4>
      </vt:variant>
      <vt:variant>
        <vt:i4>192</vt:i4>
      </vt:variant>
      <vt:variant>
        <vt:i4>0</vt:i4>
      </vt:variant>
      <vt:variant>
        <vt:i4>5</vt:i4>
      </vt:variant>
      <vt:variant>
        <vt:lpwstr>https://docs.microsoft.com/en-in/azure/governance/blueprints/create-blueprint-portal</vt:lpwstr>
      </vt:variant>
      <vt:variant>
        <vt:lpwstr/>
      </vt:variant>
      <vt:variant>
        <vt:i4>7143474</vt:i4>
      </vt:variant>
      <vt:variant>
        <vt:i4>189</vt:i4>
      </vt:variant>
      <vt:variant>
        <vt:i4>0</vt:i4>
      </vt:variant>
      <vt:variant>
        <vt:i4>5</vt:i4>
      </vt:variant>
      <vt:variant>
        <vt:lpwstr>https://docs.microsoft.com/en-us/azure/virtual-network/ddos-protection-overview</vt:lpwstr>
      </vt:variant>
      <vt:variant>
        <vt:lpwstr/>
      </vt:variant>
      <vt:variant>
        <vt:i4>2490410</vt:i4>
      </vt:variant>
      <vt:variant>
        <vt:i4>186</vt:i4>
      </vt:variant>
      <vt:variant>
        <vt:i4>0</vt:i4>
      </vt:variant>
      <vt:variant>
        <vt:i4>5</vt:i4>
      </vt:variant>
      <vt:variant>
        <vt:lpwstr>https://docs.microsoft.com/en-us/azure/security/fundamentals/encryption-atrest</vt:lpwstr>
      </vt:variant>
      <vt:variant>
        <vt:lpwstr/>
      </vt:variant>
      <vt:variant>
        <vt:i4>720926</vt:i4>
      </vt:variant>
      <vt:variant>
        <vt:i4>183</vt:i4>
      </vt:variant>
      <vt:variant>
        <vt:i4>0</vt:i4>
      </vt:variant>
      <vt:variant>
        <vt:i4>5</vt:i4>
      </vt:variant>
      <vt:variant>
        <vt:lpwstr>https://docs.microsoft.com/en-us/azure/security-center/secure-score-security-controls</vt:lpwstr>
      </vt:variant>
      <vt:variant>
        <vt:lpwstr/>
      </vt:variant>
      <vt:variant>
        <vt:i4>1507345</vt:i4>
      </vt:variant>
      <vt:variant>
        <vt:i4>180</vt:i4>
      </vt:variant>
      <vt:variant>
        <vt:i4>0</vt:i4>
      </vt:variant>
      <vt:variant>
        <vt:i4>5</vt:i4>
      </vt:variant>
      <vt:variant>
        <vt:lpwstr>https://docs.microsoft.com/en-us/azure/security-center/update-regulatory-compliance-packages</vt:lpwstr>
      </vt:variant>
      <vt:variant>
        <vt:lpwstr/>
      </vt:variant>
      <vt:variant>
        <vt:i4>3211297</vt:i4>
      </vt:variant>
      <vt:variant>
        <vt:i4>177</vt:i4>
      </vt:variant>
      <vt:variant>
        <vt:i4>0</vt:i4>
      </vt:variant>
      <vt:variant>
        <vt:i4>5</vt:i4>
      </vt:variant>
      <vt:variant>
        <vt:lpwstr>https://docs.microsoft.com/en-us/azure/active-directory/develop/authentication-vs-authorization</vt:lpwstr>
      </vt:variant>
      <vt:variant>
        <vt:lpwstr/>
      </vt:variant>
      <vt:variant>
        <vt:i4>2621499</vt:i4>
      </vt:variant>
      <vt:variant>
        <vt:i4>174</vt:i4>
      </vt:variant>
      <vt:variant>
        <vt:i4>0</vt:i4>
      </vt:variant>
      <vt:variant>
        <vt:i4>5</vt:i4>
      </vt:variant>
      <vt:variant>
        <vt:lpwstr>https://docs.microsoft.com/en-us/azure/active-directory/authentication/howto-mfa-getstarted</vt:lpwstr>
      </vt:variant>
      <vt:variant>
        <vt:lpwstr/>
      </vt:variant>
      <vt:variant>
        <vt:i4>6094940</vt:i4>
      </vt:variant>
      <vt:variant>
        <vt:i4>171</vt:i4>
      </vt:variant>
      <vt:variant>
        <vt:i4>0</vt:i4>
      </vt:variant>
      <vt:variant>
        <vt:i4>5</vt:i4>
      </vt:variant>
      <vt:variant>
        <vt:lpwstr>https://docs.microsoft.com/en-us/azure/active-directory/conditional-access/concept-conditional-access-conditions</vt:lpwstr>
      </vt:variant>
      <vt:variant>
        <vt:lpwstr/>
      </vt:variant>
      <vt:variant>
        <vt:i4>1179705</vt:i4>
      </vt:variant>
      <vt:variant>
        <vt:i4>164</vt:i4>
      </vt:variant>
      <vt:variant>
        <vt:i4>0</vt:i4>
      </vt:variant>
      <vt:variant>
        <vt:i4>5</vt:i4>
      </vt:variant>
      <vt:variant>
        <vt:lpwstr/>
      </vt:variant>
      <vt:variant>
        <vt:lpwstr>_Toc41944303</vt:lpwstr>
      </vt:variant>
      <vt:variant>
        <vt:i4>1245241</vt:i4>
      </vt:variant>
      <vt:variant>
        <vt:i4>158</vt:i4>
      </vt:variant>
      <vt:variant>
        <vt:i4>0</vt:i4>
      </vt:variant>
      <vt:variant>
        <vt:i4>5</vt:i4>
      </vt:variant>
      <vt:variant>
        <vt:lpwstr/>
      </vt:variant>
      <vt:variant>
        <vt:lpwstr>_Toc41944302</vt:lpwstr>
      </vt:variant>
      <vt:variant>
        <vt:i4>1048633</vt:i4>
      </vt:variant>
      <vt:variant>
        <vt:i4>152</vt:i4>
      </vt:variant>
      <vt:variant>
        <vt:i4>0</vt:i4>
      </vt:variant>
      <vt:variant>
        <vt:i4>5</vt:i4>
      </vt:variant>
      <vt:variant>
        <vt:lpwstr/>
      </vt:variant>
      <vt:variant>
        <vt:lpwstr>_Toc41944301</vt:lpwstr>
      </vt:variant>
      <vt:variant>
        <vt:i4>1114169</vt:i4>
      </vt:variant>
      <vt:variant>
        <vt:i4>146</vt:i4>
      </vt:variant>
      <vt:variant>
        <vt:i4>0</vt:i4>
      </vt:variant>
      <vt:variant>
        <vt:i4>5</vt:i4>
      </vt:variant>
      <vt:variant>
        <vt:lpwstr/>
      </vt:variant>
      <vt:variant>
        <vt:lpwstr>_Toc41944300</vt:lpwstr>
      </vt:variant>
      <vt:variant>
        <vt:i4>1638448</vt:i4>
      </vt:variant>
      <vt:variant>
        <vt:i4>140</vt:i4>
      </vt:variant>
      <vt:variant>
        <vt:i4>0</vt:i4>
      </vt:variant>
      <vt:variant>
        <vt:i4>5</vt:i4>
      </vt:variant>
      <vt:variant>
        <vt:lpwstr/>
      </vt:variant>
      <vt:variant>
        <vt:lpwstr>_Toc41944299</vt:lpwstr>
      </vt:variant>
      <vt:variant>
        <vt:i4>1572912</vt:i4>
      </vt:variant>
      <vt:variant>
        <vt:i4>134</vt:i4>
      </vt:variant>
      <vt:variant>
        <vt:i4>0</vt:i4>
      </vt:variant>
      <vt:variant>
        <vt:i4>5</vt:i4>
      </vt:variant>
      <vt:variant>
        <vt:lpwstr/>
      </vt:variant>
      <vt:variant>
        <vt:lpwstr>_Toc41944298</vt:lpwstr>
      </vt:variant>
      <vt:variant>
        <vt:i4>1507376</vt:i4>
      </vt:variant>
      <vt:variant>
        <vt:i4>128</vt:i4>
      </vt:variant>
      <vt:variant>
        <vt:i4>0</vt:i4>
      </vt:variant>
      <vt:variant>
        <vt:i4>5</vt:i4>
      </vt:variant>
      <vt:variant>
        <vt:lpwstr/>
      </vt:variant>
      <vt:variant>
        <vt:lpwstr>_Toc41944297</vt:lpwstr>
      </vt:variant>
      <vt:variant>
        <vt:i4>1441840</vt:i4>
      </vt:variant>
      <vt:variant>
        <vt:i4>122</vt:i4>
      </vt:variant>
      <vt:variant>
        <vt:i4>0</vt:i4>
      </vt:variant>
      <vt:variant>
        <vt:i4>5</vt:i4>
      </vt:variant>
      <vt:variant>
        <vt:lpwstr/>
      </vt:variant>
      <vt:variant>
        <vt:lpwstr>_Toc41944296</vt:lpwstr>
      </vt:variant>
      <vt:variant>
        <vt:i4>1376304</vt:i4>
      </vt:variant>
      <vt:variant>
        <vt:i4>116</vt:i4>
      </vt:variant>
      <vt:variant>
        <vt:i4>0</vt:i4>
      </vt:variant>
      <vt:variant>
        <vt:i4>5</vt:i4>
      </vt:variant>
      <vt:variant>
        <vt:lpwstr/>
      </vt:variant>
      <vt:variant>
        <vt:lpwstr>_Toc41944295</vt:lpwstr>
      </vt:variant>
      <vt:variant>
        <vt:i4>1310768</vt:i4>
      </vt:variant>
      <vt:variant>
        <vt:i4>110</vt:i4>
      </vt:variant>
      <vt:variant>
        <vt:i4>0</vt:i4>
      </vt:variant>
      <vt:variant>
        <vt:i4>5</vt:i4>
      </vt:variant>
      <vt:variant>
        <vt:lpwstr/>
      </vt:variant>
      <vt:variant>
        <vt:lpwstr>_Toc41944294</vt:lpwstr>
      </vt:variant>
      <vt:variant>
        <vt:i4>1245232</vt:i4>
      </vt:variant>
      <vt:variant>
        <vt:i4>104</vt:i4>
      </vt:variant>
      <vt:variant>
        <vt:i4>0</vt:i4>
      </vt:variant>
      <vt:variant>
        <vt:i4>5</vt:i4>
      </vt:variant>
      <vt:variant>
        <vt:lpwstr/>
      </vt:variant>
      <vt:variant>
        <vt:lpwstr>_Toc41944293</vt:lpwstr>
      </vt:variant>
      <vt:variant>
        <vt:i4>1179696</vt:i4>
      </vt:variant>
      <vt:variant>
        <vt:i4>98</vt:i4>
      </vt:variant>
      <vt:variant>
        <vt:i4>0</vt:i4>
      </vt:variant>
      <vt:variant>
        <vt:i4>5</vt:i4>
      </vt:variant>
      <vt:variant>
        <vt:lpwstr/>
      </vt:variant>
      <vt:variant>
        <vt:lpwstr>_Toc41944292</vt:lpwstr>
      </vt:variant>
      <vt:variant>
        <vt:i4>1114160</vt:i4>
      </vt:variant>
      <vt:variant>
        <vt:i4>92</vt:i4>
      </vt:variant>
      <vt:variant>
        <vt:i4>0</vt:i4>
      </vt:variant>
      <vt:variant>
        <vt:i4>5</vt:i4>
      </vt:variant>
      <vt:variant>
        <vt:lpwstr/>
      </vt:variant>
      <vt:variant>
        <vt:lpwstr>_Toc41944291</vt:lpwstr>
      </vt:variant>
      <vt:variant>
        <vt:i4>1048624</vt:i4>
      </vt:variant>
      <vt:variant>
        <vt:i4>86</vt:i4>
      </vt:variant>
      <vt:variant>
        <vt:i4>0</vt:i4>
      </vt:variant>
      <vt:variant>
        <vt:i4>5</vt:i4>
      </vt:variant>
      <vt:variant>
        <vt:lpwstr/>
      </vt:variant>
      <vt:variant>
        <vt:lpwstr>_Toc41944290</vt:lpwstr>
      </vt:variant>
      <vt:variant>
        <vt:i4>1638449</vt:i4>
      </vt:variant>
      <vt:variant>
        <vt:i4>80</vt:i4>
      </vt:variant>
      <vt:variant>
        <vt:i4>0</vt:i4>
      </vt:variant>
      <vt:variant>
        <vt:i4>5</vt:i4>
      </vt:variant>
      <vt:variant>
        <vt:lpwstr/>
      </vt:variant>
      <vt:variant>
        <vt:lpwstr>_Toc41944289</vt:lpwstr>
      </vt:variant>
      <vt:variant>
        <vt:i4>1572913</vt:i4>
      </vt:variant>
      <vt:variant>
        <vt:i4>74</vt:i4>
      </vt:variant>
      <vt:variant>
        <vt:i4>0</vt:i4>
      </vt:variant>
      <vt:variant>
        <vt:i4>5</vt:i4>
      </vt:variant>
      <vt:variant>
        <vt:lpwstr/>
      </vt:variant>
      <vt:variant>
        <vt:lpwstr>_Toc41944288</vt:lpwstr>
      </vt:variant>
      <vt:variant>
        <vt:i4>1507377</vt:i4>
      </vt:variant>
      <vt:variant>
        <vt:i4>68</vt:i4>
      </vt:variant>
      <vt:variant>
        <vt:i4>0</vt:i4>
      </vt:variant>
      <vt:variant>
        <vt:i4>5</vt:i4>
      </vt:variant>
      <vt:variant>
        <vt:lpwstr/>
      </vt:variant>
      <vt:variant>
        <vt:lpwstr>_Toc41944287</vt:lpwstr>
      </vt:variant>
      <vt:variant>
        <vt:i4>1441841</vt:i4>
      </vt:variant>
      <vt:variant>
        <vt:i4>62</vt:i4>
      </vt:variant>
      <vt:variant>
        <vt:i4>0</vt:i4>
      </vt:variant>
      <vt:variant>
        <vt:i4>5</vt:i4>
      </vt:variant>
      <vt:variant>
        <vt:lpwstr/>
      </vt:variant>
      <vt:variant>
        <vt:lpwstr>_Toc41944286</vt:lpwstr>
      </vt:variant>
      <vt:variant>
        <vt:i4>1376305</vt:i4>
      </vt:variant>
      <vt:variant>
        <vt:i4>56</vt:i4>
      </vt:variant>
      <vt:variant>
        <vt:i4>0</vt:i4>
      </vt:variant>
      <vt:variant>
        <vt:i4>5</vt:i4>
      </vt:variant>
      <vt:variant>
        <vt:lpwstr/>
      </vt:variant>
      <vt:variant>
        <vt:lpwstr>_Toc41944285</vt:lpwstr>
      </vt:variant>
      <vt:variant>
        <vt:i4>1310769</vt:i4>
      </vt:variant>
      <vt:variant>
        <vt:i4>50</vt:i4>
      </vt:variant>
      <vt:variant>
        <vt:i4>0</vt:i4>
      </vt:variant>
      <vt:variant>
        <vt:i4>5</vt:i4>
      </vt:variant>
      <vt:variant>
        <vt:lpwstr/>
      </vt:variant>
      <vt:variant>
        <vt:lpwstr>_Toc41944284</vt:lpwstr>
      </vt:variant>
      <vt:variant>
        <vt:i4>1245233</vt:i4>
      </vt:variant>
      <vt:variant>
        <vt:i4>44</vt:i4>
      </vt:variant>
      <vt:variant>
        <vt:i4>0</vt:i4>
      </vt:variant>
      <vt:variant>
        <vt:i4>5</vt:i4>
      </vt:variant>
      <vt:variant>
        <vt:lpwstr/>
      </vt:variant>
      <vt:variant>
        <vt:lpwstr>_Toc41944283</vt:lpwstr>
      </vt:variant>
      <vt:variant>
        <vt:i4>1179697</vt:i4>
      </vt:variant>
      <vt:variant>
        <vt:i4>38</vt:i4>
      </vt:variant>
      <vt:variant>
        <vt:i4>0</vt:i4>
      </vt:variant>
      <vt:variant>
        <vt:i4>5</vt:i4>
      </vt:variant>
      <vt:variant>
        <vt:lpwstr/>
      </vt:variant>
      <vt:variant>
        <vt:lpwstr>_Toc41944282</vt:lpwstr>
      </vt:variant>
      <vt:variant>
        <vt:i4>1114161</vt:i4>
      </vt:variant>
      <vt:variant>
        <vt:i4>32</vt:i4>
      </vt:variant>
      <vt:variant>
        <vt:i4>0</vt:i4>
      </vt:variant>
      <vt:variant>
        <vt:i4>5</vt:i4>
      </vt:variant>
      <vt:variant>
        <vt:lpwstr/>
      </vt:variant>
      <vt:variant>
        <vt:lpwstr>_Toc41944281</vt:lpwstr>
      </vt:variant>
      <vt:variant>
        <vt:i4>1048625</vt:i4>
      </vt:variant>
      <vt:variant>
        <vt:i4>26</vt:i4>
      </vt:variant>
      <vt:variant>
        <vt:i4>0</vt:i4>
      </vt:variant>
      <vt:variant>
        <vt:i4>5</vt:i4>
      </vt:variant>
      <vt:variant>
        <vt:lpwstr/>
      </vt:variant>
      <vt:variant>
        <vt:lpwstr>_Toc41944280</vt:lpwstr>
      </vt:variant>
      <vt:variant>
        <vt:i4>1638462</vt:i4>
      </vt:variant>
      <vt:variant>
        <vt:i4>20</vt:i4>
      </vt:variant>
      <vt:variant>
        <vt:i4>0</vt:i4>
      </vt:variant>
      <vt:variant>
        <vt:i4>5</vt:i4>
      </vt:variant>
      <vt:variant>
        <vt:lpwstr/>
      </vt:variant>
      <vt:variant>
        <vt:lpwstr>_Toc41944279</vt:lpwstr>
      </vt:variant>
      <vt:variant>
        <vt:i4>1572926</vt:i4>
      </vt:variant>
      <vt:variant>
        <vt:i4>14</vt:i4>
      </vt:variant>
      <vt:variant>
        <vt:i4>0</vt:i4>
      </vt:variant>
      <vt:variant>
        <vt:i4>5</vt:i4>
      </vt:variant>
      <vt:variant>
        <vt:lpwstr/>
      </vt:variant>
      <vt:variant>
        <vt:lpwstr>_Toc41944278</vt:lpwstr>
      </vt:variant>
      <vt:variant>
        <vt:i4>1507390</vt:i4>
      </vt:variant>
      <vt:variant>
        <vt:i4>8</vt:i4>
      </vt:variant>
      <vt:variant>
        <vt:i4>0</vt:i4>
      </vt:variant>
      <vt:variant>
        <vt:i4>5</vt:i4>
      </vt:variant>
      <vt:variant>
        <vt:lpwstr/>
      </vt:variant>
      <vt:variant>
        <vt:lpwstr>_Toc41944277</vt:lpwstr>
      </vt:variant>
      <vt:variant>
        <vt:i4>1441854</vt:i4>
      </vt:variant>
      <vt:variant>
        <vt:i4>2</vt:i4>
      </vt:variant>
      <vt:variant>
        <vt:i4>0</vt:i4>
      </vt:variant>
      <vt:variant>
        <vt:i4>5</vt:i4>
      </vt:variant>
      <vt:variant>
        <vt:lpwstr/>
      </vt:variant>
      <vt:variant>
        <vt:lpwstr>_Toc41944276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Viswanadham kudapu</dc:creator>
  <cp:keywords/>
  <dc:description/>
  <cp:lastModifiedBy>Ashish Sachdev</cp:lastModifiedBy>
  <cp:revision>185</cp:revision>
  <dcterms:created xsi:type="dcterms:W3CDTF">2020-05-28T17:09:00Z</dcterms:created>
  <dcterms:modified xsi:type="dcterms:W3CDTF">2020-06-04T15:04:00Z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ies>
</file>