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BizTalk Mapper and Logic App Data Mapper: compatibility gaps</w:t>
      </w:r>
    </w:p>
    <w:p>
      <w:pPr>
        <w:pStyle w:val="Normal"/>
      </w:pPr>
      <w:r>
        <w:rPr>
          <w:b/>
        </w:rPr>
        <w:t xml:space="preserve">Updated:</w:t>
      </w:r>
      <w:r>
        <w:t xml:space="preserve"> September 27, 2026</w:t>
      </w:r>
    </w:p>
    <w:p>
      <w:pPr>
        <w:pStyle w:val="Normal"/>
      </w:pPr>
      <w:r>
        <w:rPr>
          <w:b/>
        </w:rPr>
        <w:t xml:space="preserve">Source snapshot:</w:t>
      </w:r>
      <w:r>
        <w:t xml:space="preserve"> </w:t>
      </w:r>
      <w:r>
        <w:rPr>
          <w:rFonts w:ascii="Consolas" w:hAnsi="Consolas"/>
        </w:rPr>
        <w:t xml:space="preserve">14c5bf984</w:t>
      </w:r>
      <w:r>
        <w:t xml:space="preserve"> in LogicAppsUX, before this documentation change</w:t>
      </w:r>
    </w:p>
    <w:p>
      <w:pPr>
        <w:pStyle w:val="Normal"/>
      </w:pPr>
      <w:r>
        <w:rPr>
          <w:b/>
        </w:rPr>
        <w:t xml:space="preserve">Scope:</w:t>
      </w:r>
      <w:r>
        <w:t xml:space="preserve"> the standalone BTM editor/compiler in </w:t>
      </w:r>
      <w:r>
        <w:rPr>
          <w:rFonts w:ascii="Consolas" w:hAnsi="Consolas"/>
        </w:rPr>
        <w:t xml:space="preserve">libs\data-mapper-v3</w:t>
      </w:r>
      <w:r>
        <w:t xml:space="preserve">, compared with the legacy BizTalk Mapper. This is not an assessment of every Logic Apps mapping product or deployment environment.</w:t>
      </w:r>
    </w:p>
    <w:p>
      <w:pPr>
        <w:pStyle w:val="Normal"/>
      </w:pPr>
      <w:r>
        <w:t xml:space="preserve">The new mapper is </w:t>
      </w:r>
      <w:r>
        <w:rPr>
          <w:b/>
        </w:rPr>
        <w:t xml:space="preserve">not yet a feature-complete replacement</w:t>
      </w:r>
      <w:r>
        <w:t xml:space="preserve">. This report consolidates all identified gaps from the September 27 audits, including the subsequent fixes. It distinguishes observed incompatibilities from incomplete workflows and unverified behavior; it is not an exhaustive parity certification.</w:t>
      </w:r>
    </w:p>
    <w:p>
      <w:pPr>
        <w:pStyle w:val="Normal"/>
      </w:pPr>
      <w:r>
        <w:t xml:space="preserve">Customer maps, schemas, payloads, raw logs, and machine-specific evidence paths are deliberately excluded. The behavioral examples below are synthetic.</w:t>
      </w:r>
    </w:p>
    <w:p>
      <w:pPr>
        <w:pStyle w:val="Heading1"/>
      </w:pPr>
      <w:r>
        <w:t xml:space="preserve">Status and priority</w:t>
      </w:r>
    </w:p>
    <w:tbl>
      <w:tblPr>
        <w:tblW w:w="14400" w:type="dxa"/>
        <w:tblLayout w:type="fixed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700"/>
        <w:gridCol w:w="11700"/>
      </w:tblGrid>
      <w:tr>
        <w:trPr>
          <w:tblHeader/>
          <w:cantSplit/>
        </w:trPr>
        <w:tc>
          <w:tcPr>
            <w:tcW w:w="2700" w:type="dxa"/>
            <w:vAlign w:val="top"/>
            <w:shd w:fill="17365D"/>
          </w:tcPr>
          <w:p>
            <w:pPr>
              <w:pStyle w:val="TableHeader"/>
            </w:pPr>
            <w:r>
              <w:t xml:space="preserve">Label</w:t>
            </w:r>
          </w:p>
        </w:tc>
        <w:tc>
          <w:tcPr>
            <w:tcW w:w="11700" w:type="dxa"/>
            <w:vAlign w:val="top"/>
            <w:shd w:fill="17365D"/>
          </w:tcPr>
          <w:p>
            <w:pPr>
              <w:pStyle w:val="TableHeader"/>
            </w:pPr>
            <w:r>
              <w:t xml:space="preserve">Meaning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FFFFF"/>
          </w:tcPr>
          <w:p>
            <w:pPr>
              <w:pStyle w:val="TableText"/>
            </w:pPr>
            <w:r>
              <w:t xml:space="preserve">Gap</w:t>
            </w:r>
          </w:p>
        </w:tc>
        <w:tc>
          <w:tcPr>
            <w:tcW w:w="11700" w:type="dxa"/>
            <w:vAlign w:val="top"/>
            <w:shd w:fill="FFFFFF"/>
          </w:tcPr>
          <w:p>
            <w:pPr>
              <w:pStyle w:val="TableText"/>
            </w:pPr>
            <w:r>
              <w:t xml:space="preserve">An incompatible result or missing capability was identified.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2F6FA"/>
          </w:tcPr>
          <w:p>
            <w:pPr>
              <w:pStyle w:val="TableText"/>
            </w:pPr>
            <w:r>
              <w:t xml:space="preserve">Partial</w:t>
            </w:r>
          </w:p>
        </w:tc>
        <w:tc>
          <w:tcPr>
            <w:tcW w:w="11700" w:type="dxa"/>
            <w:vAlign w:val="top"/>
            <w:shd w:fill="F2F6FA"/>
          </w:tcPr>
          <w:p>
            <w:pPr>
              <w:pStyle w:val="TableText"/>
            </w:pPr>
            <w:r>
              <w:t xml:space="preserve">An implementation exists, but part of the legacy workflow is missing or its supported scope is narrower.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FFFFF"/>
          </w:tcPr>
          <w:p>
            <w:pPr>
              <w:pStyle w:val="TableText"/>
            </w:pPr>
            <w:r>
              <w:t xml:space="preserve">Unverified</w:t>
            </w:r>
          </w:p>
        </w:tc>
        <w:tc>
          <w:tcPr>
            <w:tcW w:w="11700" w:type="dxa"/>
            <w:vAlign w:val="top"/>
            <w:shd w:fill="FFFFFF"/>
          </w:tcPr>
          <w:p>
            <w:pPr>
              <w:pStyle w:val="TableText"/>
            </w:pPr>
            <w:r>
              <w:t xml:space="preserve">Insufficient comparative evidence; do not interpret this as a confirmed missing feature.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2F6FA"/>
          </w:tcPr>
          <w:p>
            <w:pPr>
              <w:pStyle w:val="TableText"/>
            </w:pPr>
            <w:r>
              <w:t xml:space="preserve">Fixed / implemented</w:t>
            </w:r>
          </w:p>
        </w:tc>
        <w:tc>
          <w:tcPr>
            <w:tcW w:w="11700" w:type="dxa"/>
            <w:vAlign w:val="top"/>
            <w:shd w:fill="F2F6FA"/>
          </w:tcPr>
          <w:p>
            <w:pPr>
              <w:pStyle w:val="TableText"/>
            </w:pPr>
            <w:r>
              <w:t xml:space="preserve">The stated case has an implementation or supporting evidence, not a guarantee for all combinations.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FFFFF"/>
          </w:tcPr>
          <w:p>
            <w:pPr>
              <w:pStyle w:val="TableText"/>
            </w:pPr>
            <w:r>
              <w:t xml:space="preserve">P0</w:t>
            </w:r>
          </w:p>
        </w:tc>
        <w:tc>
          <w:tcPr>
            <w:tcW w:w="11700" w:type="dxa"/>
            <w:vAlign w:val="top"/>
            <w:shd w:fill="FFFFFF"/>
          </w:tcPr>
          <w:p>
            <w:pPr>
              <w:pStyle w:val="TableText"/>
            </w:pPr>
            <w:r>
              <w:t xml:space="preserve">Incorrect results, incorrect schema resolution, or silent loss of persisted settings.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2F6FA"/>
          </w:tcPr>
          <w:p>
            <w:pPr>
              <w:pStyle w:val="TableText"/>
            </w:pPr>
            <w:r>
              <w:t xml:space="preserve">P1</w:t>
            </w:r>
          </w:p>
        </w:tc>
        <w:tc>
          <w:tcPr>
            <w:tcW w:w="11700" w:type="dxa"/>
            <w:vAlign w:val="top"/>
            <w:shd w:fill="F2F6FA"/>
          </w:tcPr>
          <w:p>
            <w:pPr>
              <w:pStyle w:val="TableText"/>
            </w:pPr>
            <w:r>
              <w:t xml:space="preserve">Missing migration, runtime, schema, or authoring compatibility.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FFFFF"/>
          </w:tcPr>
          <w:p>
            <w:pPr>
              <w:pStyle w:val="TableText"/>
            </w:pPr>
            <w:r>
              <w:t xml:space="preserve">P2</w:t>
            </w:r>
          </w:p>
        </w:tc>
        <w:tc>
          <w:tcPr>
            <w:tcW w:w="11700" w:type="dxa"/>
            <w:vAlign w:val="top"/>
            <w:shd w:fill="FFFFFF"/>
          </w:tcPr>
          <w:p>
            <w:pPr>
              <w:pStyle w:val="TableText"/>
            </w:pPr>
            <w:r>
              <w:t xml:space="preserve">Incomplete tooling or editing workflows.</w:t>
            </w:r>
          </w:p>
        </w:tc>
      </w:tr>
    </w:tbl>
    <w:p>
      <w:pPr>
        <w:pStyle w:val="Normal"/>
      </w:pPr>
      <w:r>
        <w:t xml:space="preserve">Priority is a suggested remediation order, not a security severity.</w:t>
      </w:r>
    </w:p>
    <w:p>
      <w:pPr>
        <w:pStyle w:val="Heading1"/>
      </w:pPr>
      <w:r>
        <w:t xml:space="preserve">Completed fixes and existing support</w:t>
      </w:r>
    </w:p>
    <w:tbl>
      <w:tblPr>
        <w:tblW w:w="14400" w:type="dxa"/>
        <w:tblLayout w:type="fixed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400"/>
        <w:gridCol w:w="5300"/>
        <w:gridCol w:w="6700"/>
      </w:tblGrid>
      <w:tr>
        <w:trPr>
          <w:tblHeader/>
          <w:cantSplit/>
        </w:trPr>
        <w:tc>
          <w:tcPr>
            <w:tcW w:w="2400" w:type="dxa"/>
            <w:vAlign w:val="top"/>
            <w:shd w:fill="17365D"/>
          </w:tcPr>
          <w:p>
            <w:pPr>
              <w:pStyle w:val="TableHeader"/>
            </w:pPr>
            <w:r>
              <w:t xml:space="preserve">Area</w:t>
            </w:r>
          </w:p>
        </w:tc>
        <w:tc>
          <w:tcPr>
            <w:tcW w:w="5300" w:type="dxa"/>
            <w:vAlign w:val="top"/>
            <w:shd w:fill="17365D"/>
          </w:tcPr>
          <w:p>
            <w:pPr>
              <w:pStyle w:val="TableHeader"/>
            </w:pPr>
            <w:r>
              <w:t xml:space="preserve">Current support</w:t>
            </w:r>
          </w:p>
        </w:tc>
        <w:tc>
          <w:tcPr>
            <w:tcW w:w="6700" w:type="dxa"/>
            <w:vAlign w:val="top"/>
            <w:shd w:fill="17365D"/>
          </w:tcPr>
          <w:p>
            <w:pPr>
              <w:pStyle w:val="TableHeader"/>
            </w:pPr>
            <w:r>
              <w:t xml:space="preserve">Boundary / evidence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Legacy structural endpoint paths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t xml:space="preserve">Schema-derived aliases resolve </w:t>
            </w:r>
            <w:r>
              <w:rPr>
                <w:rFonts w:ascii="Consolas" w:hAnsi="Consolas"/>
              </w:rPr>
              <w:t xml:space="preserve">&lt;Sequence&gt;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&lt;Choice&gt;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&lt;All&gt;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&lt;Group:name&gt;</w:t>
            </w:r>
            <w:r>
              <w:t xml:space="preserve">, and </w:t>
            </w:r>
            <w:r>
              <w:rPr>
                <w:rFonts w:ascii="Consolas" w:hAnsi="Consolas"/>
              </w:rPr>
              <w:t xml:space="preserve">&lt;AttrGroup:name&gt;</w:t>
            </w:r>
            <w:r>
              <w:t xml:space="preserve"> while retaining original BTM paths.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Duplicate branches retain separate identities; ambiguous flattened paths are rejected rather than guessed. Parser/resolver, compiler, and serialization coverage exists. N1, N2, N3.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2F6FA"/>
          </w:tcPr>
          <w:p>
            <w:pPr>
              <w:pStyle w:val="TableText"/>
            </w:pPr>
            <w:r>
              <w:t xml:space="preserve">Wrapper capitalization</w:t>
            </w:r>
          </w:p>
        </w:tc>
        <w:tc>
          <w:tcPr>
            <w:tcW w:w="5300" w:type="dxa"/>
            <w:vAlign w:val="top"/>
            <w:shd w:fill="F2F6FA"/>
          </w:tcPr>
          <w:p>
            <w:pPr>
              <w:pStyle w:val="TableText"/>
            </w:pPr>
            <w:r>
              <w:t xml:space="preserve">Both </w:t>
            </w:r>
            <w:r>
              <w:rPr>
                <w:rFonts w:ascii="Consolas" w:hAnsi="Consolas"/>
              </w:rPr>
              <w:t xml:space="preserve">&lt;Schema&gt;</w:t>
            </w:r>
            <w:r>
              <w:t xml:space="preserve"> and </w:t>
            </w:r>
            <w:r>
              <w:rPr>
                <w:rFonts w:ascii="Consolas" w:hAnsi="Consolas"/>
              </w:rPr>
              <w:t xml:space="preserve">&lt;schema&gt;</w:t>
            </w:r>
            <w:r>
              <w:t xml:space="preserve"> wrappers resolve and round-trip.</w:t>
            </w:r>
          </w:p>
        </w:tc>
        <w:tc>
          <w:tcPr>
            <w:tcW w:w="6700" w:type="dxa"/>
            <w:vAlign w:val="top"/>
            <w:shd w:fill="F2F6FA"/>
          </w:tcPr>
          <w:p>
            <w:pPr>
              <w:pStyle w:val="TableText"/>
            </w:pPr>
            <w:r>
              <w:t xml:space="preserve">Actual element names remain case-sensitive. N1.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Element-local namespace declarations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t xml:space="preserve">Local prefix declarations and overrides work for covered imported types/references and descendants without leaking to siblings.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Does not close namespace scoping on other XSD constructs; see G04. N1.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2F6FA"/>
          </w:tcPr>
          <w:p>
            <w:pPr>
              <w:pStyle w:val="TableText"/>
            </w:pPr>
            <w:r>
              <w:t xml:space="preserve">String Find: absent nonempty substring</w:t>
            </w:r>
          </w:p>
        </w:tc>
        <w:tc>
          <w:tcPr>
            <w:tcW w:w="53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StringFind("abc", "z")</w:t>
            </w:r>
            <w:r>
              <w:t xml:space="preserve"> now returns </w:t>
            </w:r>
            <w:r>
              <w:rPr>
                <w:rFonts w:ascii="Consolas" w:hAnsi="Consolas"/>
              </w:rPr>
              <w:t xml:space="preserve">0</w:t>
            </w:r>
            <w:r>
              <w:t xml:space="preserve">; ordinary 1-based matching is retained.</w:t>
            </w:r>
          </w:p>
        </w:tc>
        <w:tc>
          <w:tcPr>
            <w:tcW w:w="6700" w:type="dxa"/>
            <w:vAlign w:val="top"/>
            <w:shd w:fill="F2F6FA"/>
          </w:tcPr>
          <w:p>
            <w:pPr>
              <w:pStyle w:val="TableText"/>
            </w:pPr>
            <w:r>
              <w:t xml:space="preserve">Empty-search behavior still differs; see G01. N3, N4.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Functoids with no output links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t xml:space="preserve">Compiler configuration validation no longer blocks compilation solely because an unused functoid lacks configuration. A warning is emitted.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Connected Table Looping still requires valid grid metadata. Compiler decisions use actual page links rather than stale cached links. N3, L3.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2F6FA"/>
          </w:tcPr>
          <w:p>
            <w:pPr>
              <w:pStyle w:val="TableText"/>
            </w:pPr>
            <w:r>
              <w:t xml:space="preserve">Shared diagnostics</w:t>
            </w:r>
          </w:p>
        </w:tc>
        <w:tc>
          <w:tcPr>
            <w:tcW w:w="5300" w:type="dxa"/>
            <w:vAlign w:val="top"/>
            <w:shd w:fill="F2F6FA"/>
          </w:tcPr>
          <w:p>
            <w:pPr>
              <w:pStyle w:val="TableText"/>
            </w:pPr>
            <w:r>
              <w:t xml:space="preserve">Host and compiler-worker logging includes stages, warnings, timing, failures, and a Show Logs command.</w:t>
            </w:r>
          </w:p>
        </w:tc>
        <w:tc>
          <w:tcPr>
            <w:tcW w:w="6700" w:type="dxa"/>
            <w:vAlign w:val="top"/>
            <w:shd w:fill="F2F6FA"/>
          </w:tcPr>
          <w:p>
            <w:pPr>
              <w:pStyle w:val="TableText"/>
            </w:pPr>
            <w:r>
              <w:t xml:space="preserve">Does not implement XSD validation, full command execution, or Debug Map. N5.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X12 sample values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t xml:space="preserve">Generation recognizes named/prefixed </w:t>
            </w:r>
            <w:r>
              <w:rPr>
                <w:rFonts w:ascii="Consolas" w:hAnsi="Consolas"/>
              </w:rPr>
              <w:t xml:space="preserve">X12_DT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X12_TM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X12_Nn</w:t>
            </w:r>
            <w:r>
              <w:t xml:space="preserve">, and </w:t>
            </w:r>
            <w:r>
              <w:rPr>
                <w:rFonts w:ascii="Consolas" w:hAnsi="Consolas"/>
              </w:rPr>
              <w:t xml:space="preserve">X12_R</w:t>
            </w:r>
            <w:r>
              <w:t xml:space="preserve"> types, with supported length restrictions and value precedence.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Present in the latest source and dedicated tests; this addition was not part of the earlier nine-suite audit run. Required-count and general validity limitations remain in G14. N6.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2F6FA"/>
          </w:tcPr>
          <w:p>
            <w:pPr>
              <w:pStyle w:val="TableText"/>
            </w:pPr>
            <w:r>
              <w:t xml:space="preserve">Negative Integer behavior</w:t>
            </w:r>
          </w:p>
        </w:tc>
        <w:tc>
          <w:tcPr>
            <w:tcW w:w="5300" w:type="dxa"/>
            <w:vAlign w:val="top"/>
            <w:shd w:fill="F2F6FA"/>
          </w:tcPr>
          <w:p>
            <w:pPr>
              <w:pStyle w:val="TableText"/>
            </w:pPr>
            <w:r>
              <w:t xml:space="preserve">Synthetic </w:t>
            </w:r>
            <w:r>
              <w:rPr>
                <w:rFonts w:ascii="Consolas" w:hAnsi="Consolas"/>
              </w:rPr>
              <w:t xml:space="preserve">Integer(-1.7)</w:t>
            </w:r>
            <w:r>
              <w:t xml:space="preserve"> produces </w:t>
            </w:r>
            <w:r>
              <w:rPr>
                <w:rFonts w:ascii="Consolas" w:hAnsi="Consolas"/>
              </w:rPr>
              <w:t xml:space="preserve">-2</w:t>
            </w:r>
            <w:r>
              <w:t xml:space="preserve">, matching inspected legacy behavior.</w:t>
            </w:r>
          </w:p>
        </w:tc>
        <w:tc>
          <w:tcPr>
            <w:tcW w:w="6700" w:type="dxa"/>
            <w:vAlign w:val="top"/>
            <w:shd w:fill="F2F6FA"/>
          </w:tcPr>
          <w:p>
            <w:pPr>
              <w:pStyle w:val="TableText"/>
            </w:pPr>
            <w:r>
              <w:t xml:space="preserve">This is not a confirmed gap; earlier concerns about truncation versus flooring were corrected. N3, L1.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Mapping infrastructure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t xml:space="preserve">Multi-page compilation, ordered inputs/defaults, configured Table Looping/Extractor, inline scripting, external-assembly scripting, and custom XSLT have implementations.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Presence does not establish full execution, authoring, or deployment parity. See the open items below. N2, N3, N7.</w:t>
            </w:r>
          </w:p>
        </w:tc>
      </w:tr>
    </w:tbl>
    <w:p>
      <w:pPr>
        <w:pStyle w:val="Heading1"/>
      </w:pPr>
      <w:r>
        <w:t xml:space="preserve">Correctness and persistence gaps</w:t>
      </w:r>
    </w:p>
    <w:tbl>
      <w:tblPr>
        <w:tblW w:w="14400" w:type="dxa"/>
        <w:tblLayout w:type="fixed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500"/>
        <w:gridCol w:w="1850"/>
        <w:gridCol w:w="2850"/>
        <w:gridCol w:w="4600"/>
        <w:gridCol w:w="3600"/>
      </w:tblGrid>
      <w:tr>
        <w:trPr>
          <w:tblHeader/>
          <w:cantSplit/>
        </w:trPr>
        <w:tc>
          <w:tcPr>
            <w:tcW w:w="1500" w:type="dxa"/>
            <w:vAlign w:val="top"/>
            <w:shd w:fill="17365D"/>
          </w:tcPr>
          <w:p>
            <w:pPr>
              <w:pStyle w:val="TableHeader"/>
            </w:pPr>
            <w:r>
              <w:t xml:space="preserve">ID / priority / status</w:t>
            </w:r>
          </w:p>
        </w:tc>
        <w:tc>
          <w:tcPr>
            <w:tcW w:w="1850" w:type="dxa"/>
            <w:vAlign w:val="top"/>
            <w:shd w:fill="17365D"/>
          </w:tcPr>
          <w:p>
            <w:pPr>
              <w:pStyle w:val="TableHeader"/>
            </w:pPr>
            <w:r>
              <w:t xml:space="preserve">Area</w:t>
            </w:r>
          </w:p>
        </w:tc>
        <w:tc>
          <w:tcPr>
            <w:tcW w:w="2850" w:type="dxa"/>
            <w:vAlign w:val="top"/>
            <w:shd w:fill="17365D"/>
          </w:tcPr>
          <w:p>
            <w:pPr>
              <w:pStyle w:val="TableHeader"/>
            </w:pPr>
            <w:r>
              <w:t xml:space="preserve">Legacy behavior / requirement</w:t>
            </w:r>
          </w:p>
        </w:tc>
        <w:tc>
          <w:tcPr>
            <w:tcW w:w="4600" w:type="dxa"/>
            <w:vAlign w:val="top"/>
            <w:shd w:fill="17365D"/>
          </w:tcPr>
          <w:p>
            <w:pPr>
              <w:pStyle w:val="TableHeader"/>
            </w:pPr>
            <w:r>
              <w:t xml:space="preserve">Current result and impact</w:t>
            </w:r>
          </w:p>
        </w:tc>
        <w:tc>
          <w:tcPr>
            <w:tcW w:w="3600" w:type="dxa"/>
            <w:vAlign w:val="top"/>
            <w:shd w:fill="17365D"/>
          </w:tcPr>
          <w:p>
            <w:pPr>
              <w:pStyle w:val="TableHeader"/>
            </w:pPr>
            <w:r>
              <w:t xml:space="preserve">Closure criteria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G01 / P0 / Partial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String Find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Both inspected legacy implementations return </w:t>
            </w:r>
            <w:r>
              <w:rPr>
                <w:rFonts w:ascii="Consolas" w:hAnsi="Consolas"/>
              </w:rPr>
              <w:t xml:space="preserve">0</w:t>
            </w:r>
            <w:r>
              <w:t xml:space="preserve"> for an empty search string.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Fresh XSLT execution returns </w:t>
            </w:r>
            <w:r>
              <w:rPr>
                <w:rFonts w:ascii="Consolas" w:hAnsi="Consolas"/>
              </w:rPr>
              <w:t xml:space="preserve">1</w:t>
            </w:r>
            <w:r>
              <w:t xml:space="preserve"> for both </w:t>
            </w:r>
            <w:r>
              <w:rPr>
                <w:rFonts w:ascii="Consolas" w:hAnsi="Consolas"/>
              </w:rPr>
              <w:t xml:space="preserve">("abc", "")</w:t>
            </w:r>
            <w:r>
              <w:t xml:space="preserve"> and </w:t>
            </w:r>
            <w:r>
              <w:rPr>
                <w:rFonts w:ascii="Consolas" w:hAnsi="Consolas"/>
              </w:rPr>
              <w:t xml:space="preserve">("", "")</w:t>
            </w:r>
            <w:r>
              <w:t xml:space="preserve">. Current tests explicitly expect </w:t>
            </w:r>
            <w:r>
              <w:rPr>
                <w:rFonts w:ascii="Consolas" w:hAnsi="Consolas"/>
              </w:rPr>
              <w:t xml:space="preserve">1</w:t>
            </w:r>
            <w:r>
              <w:t xml:space="preserve">; passing those tests does not prove BizTalk compatibility. Ordinary nonempty misses are fixed. N3, N4, L1.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Correct compiler and registry behavior and test expectations; cover empty, missing, repeated, linked, and constant inputs. Verify culture-sensitive matching separately rather than assuming XPath and legacy .NET searches are equivalent.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G02 / P0 / Gap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Unicode case conversion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Legacy casing handles non-ASCII characters.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t xml:space="preserve">ASCII-only </w:t>
            </w:r>
            <w:r>
              <w:rPr>
                <w:rFonts w:ascii="Consolas" w:hAnsi="Consolas"/>
              </w:rPr>
              <w:t xml:space="preserve">translate</w:t>
            </w:r>
            <w:r>
              <w:t xml:space="preserve"> leaves U+00E9 unchanged for Uppercase, instead of producing U+00C9. Uppercase mismatch was reproduced; Lowercase uses the same ASCII-only approach. N3, L1.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Match legacy casing semantics with non-ASCII regression cases on each supported execution engine.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G03 / P0 / Gap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Round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Midpoint-to-even rounding; optional precision argument.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Reproduced </w:t>
            </w:r>
            <w:r>
              <w:rPr>
                <w:rFonts w:ascii="Consolas" w:hAnsi="Consolas"/>
              </w:rPr>
              <w:t xml:space="preserve">Round(2.5) -&gt; 3</w:t>
            </w:r>
            <w:r>
              <w:t xml:space="preserve"> instead of </w:t>
            </w:r>
            <w:r>
              <w:rPr>
                <w:rFonts w:ascii="Consolas" w:hAnsi="Consolas"/>
              </w:rPr>
              <w:t xml:space="preserve">2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Round(1.234, 2)</w:t>
            </w:r>
            <w:r>
              <w:t xml:space="preserve"> is rejected because the definition accepts only one input. N3, N4, L1.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Support both arities and legacy numeric behavior, including positive/negative midpoints, precision, and invalid inputs.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G04 / P0 / Partial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XSD namespace scope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Namespace declarations on a containing </w:t>
            </w:r>
            <w:r>
              <w:rPr>
                <w:rFonts w:ascii="Consolas" w:hAnsi="Consolas"/>
              </w:rPr>
              <w:t xml:space="preserve">xs:complexType</w:t>
            </w:r>
            <w:r>
              <w:t xml:space="preserve"> apply to descendant QNames.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t xml:space="preserve">Element-local handling is fixed, but a synthetic </w:t>
            </w:r>
            <w:r>
              <w:rPr>
                <w:rFonts w:ascii="Consolas" w:hAnsi="Consolas"/>
              </w:rPr>
              <w:t xml:space="preserve">xs:complexType</w:t>
            </w:r>
            <w:r>
              <w:t xml:space="preserve"> prefix override still resolves the wrong type: mapper selects </w:t>
            </w:r>
            <w:r>
              <w:rPr>
                <w:rFonts w:ascii="Consolas" w:hAnsi="Consolas"/>
              </w:rPr>
              <w:t xml:space="preserve">LocalValue</w:t>
            </w:r>
            <w:r>
              <w:t xml:space="preserve">; .NET XSD compilation selects </w:t>
            </w:r>
            <w:r>
              <w:rPr>
                <w:rFonts w:ascii="Consolas" w:hAnsi="Consolas"/>
              </w:rPr>
              <w:t xml:space="preserve">ImportedValue</w:t>
            </w:r>
            <w:r>
              <w:t xml:space="preserve">. N1.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Propagate namespace scope through relevant XSD constructs and component references; verify overrides, inheritance, imports, and sibling isolation against an XSD processor.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G05 / P0 / Gap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Output-setting round-trip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Persist configured standalone, DOCTYPE, CDATA, indentation, and media-type properties.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Fresh deserialize/serialize probe drops six attributes: </w:t>
            </w:r>
            <w:r>
              <w:rPr>
                <w:rFonts w:ascii="Consolas" w:hAnsi="Consolas"/>
              </w:rPr>
              <w:t xml:space="preserve">standalone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doctype-public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doctype-system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cdata-section-elements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indent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media-type</w:t>
            </w:r>
            <w:r>
              <w:t xml:space="preserve">. These properties are absent from the current options model/serialization path. N2, L2.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Preserve values through repeated saves and expose/honor supported settings during compilation; test exact persisted identities and effective output behavior.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G06 / P0 / Gap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Test Map XSD validation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Validate input/output instances against their respective schemas.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t xml:space="preserve">Inspected Test Map flow parses XML and performs transformation without equivalent input/output XSD validation. Successful transformation can still produce schema-invalid output. N5, L4.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Add schema-aware validation, dependency resolution, and actionable diagnostics for invalid input and output; do not label parsing-only success as schema validity.</w:t>
            </w:r>
          </w:p>
        </w:tc>
      </w:tr>
    </w:tbl>
    <w:p>
      <w:pPr>
        <w:pStyle w:val="Heading1"/>
      </w:pPr>
      <w:r>
        <w:t xml:space="preserve">Migration, authoring, and runtime gaps</w:t>
      </w:r>
    </w:p>
    <w:tbl>
      <w:tblPr>
        <w:tblW w:w="14400" w:type="dxa"/>
        <w:tblLayout w:type="fixed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500"/>
        <w:gridCol w:w="1850"/>
        <w:gridCol w:w="2850"/>
        <w:gridCol w:w="4600"/>
        <w:gridCol w:w="3600"/>
      </w:tblGrid>
      <w:tr>
        <w:trPr>
          <w:tblHeader/>
          <w:cantSplit/>
        </w:trPr>
        <w:tc>
          <w:tcPr>
            <w:tcW w:w="1500" w:type="dxa"/>
            <w:vAlign w:val="top"/>
            <w:shd w:fill="17365D"/>
          </w:tcPr>
          <w:p>
            <w:pPr>
              <w:pStyle w:val="TableHeader"/>
            </w:pPr>
            <w:r>
              <w:t xml:space="preserve">ID / priority / status</w:t>
            </w:r>
          </w:p>
        </w:tc>
        <w:tc>
          <w:tcPr>
            <w:tcW w:w="1850" w:type="dxa"/>
            <w:vAlign w:val="top"/>
            <w:shd w:fill="17365D"/>
          </w:tcPr>
          <w:p>
            <w:pPr>
              <w:pStyle w:val="TableHeader"/>
            </w:pPr>
            <w:r>
              <w:t xml:space="preserve">Area</w:t>
            </w:r>
          </w:p>
        </w:tc>
        <w:tc>
          <w:tcPr>
            <w:tcW w:w="2850" w:type="dxa"/>
            <w:vAlign w:val="top"/>
            <w:shd w:fill="17365D"/>
          </w:tcPr>
          <w:p>
            <w:pPr>
              <w:pStyle w:val="TableHeader"/>
            </w:pPr>
            <w:r>
              <w:t xml:space="preserve">Legacy behavior / requirement</w:t>
            </w:r>
          </w:p>
        </w:tc>
        <w:tc>
          <w:tcPr>
            <w:tcW w:w="4600" w:type="dxa"/>
            <w:vAlign w:val="top"/>
            <w:shd w:fill="17365D"/>
          </w:tcPr>
          <w:p>
            <w:pPr>
              <w:pStyle w:val="TableHeader"/>
            </w:pPr>
            <w:r>
              <w:t xml:space="preserve">Current result and impact</w:t>
            </w:r>
          </w:p>
        </w:tc>
        <w:tc>
          <w:tcPr>
            <w:tcW w:w="3600" w:type="dxa"/>
            <w:vAlign w:val="top"/>
            <w:shd w:fill="17365D"/>
          </w:tcPr>
          <w:p>
            <w:pPr>
              <w:pStyle w:val="TableHeader"/>
            </w:pPr>
            <w:r>
              <w:t xml:space="preserve">Closure criteria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G07 / P1 / Gap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Cross-referencing functoids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Separate legacy family defines IDs 5000-5006.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None of these seven IDs is registered. The earlier inventory of 76 base IDs omitted this family. N4, L5.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Inventory and implement the required definitions, persistence, runtime dependencies, and execution behavior; see the detailed list below.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G08 / P1 / Gap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Extension objects with generated XSLT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Use external extension objects alongside generated mapping code.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t xml:space="preserve">Compiler rejects extension-object XML unless custom XSLT is supplied. A sample containing inline XSLT calling an external assembly reproduces the restriction. N3, N7.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Support generated XSLT plus extension objects end-to-end, including method binding, dependency resolution, diagnostics, and execution.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G09 / P1 / Partial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Table Looping authoring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Configure rows, columns, and gating using a dedicated grid editor.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Model, serialization, and compiler support exist; no equivalent table-grid editor was found. Generic input editing is not a complete replacement. N2, N3, N8.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Create/edit/reopen grid metadata and verify extractor columns, gating, row order, and generated output. Retain unused-functoid warnings.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G10 / P1 / Gap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Custom functoid DLL discovery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Discover and register legacy custom functoid assemblies.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t xml:space="preserve">No equivalent discovery/registration workflow found. The TypeScript </w:t>
            </w:r>
            <w:r>
              <w:rPr>
                <w:rFonts w:ascii="Consolas" w:hAnsi="Consolas"/>
              </w:rPr>
              <w:t xml:space="preserve">registerFunctoid</w:t>
            </w:r>
            <w:r>
              <w:t xml:space="preserve"> hook and external scripting assembly support are different capabilities. N4, N7.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Load definitions and metadata from supported assemblies, expose them in the editor, preserve IDs, and compile/execute with clear missing-dependency errors.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G11 / P1 / Partial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External-assembly scripting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Resolve assemblies and bind methods across supported runtime/deployment configurations.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Browsing, metadata, and generated bindings exist. Complete assembly-resolution and deployment coverage has not been established. N2, N3, N7.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Exercise real assemblies, parameter/return types, version mismatches, missing files, clean installations, and supported engines. Do not infer runtime success from generated XSLT.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G12 / P1 / Partial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Database functoid portability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Database functoids have their required BizTalk runtime implementation available.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t xml:space="preserve">Generated helpers reference </w:t>
            </w:r>
            <w:r>
              <w:rPr>
                <w:rFonts w:ascii="Consolas" w:hAnsi="Consolas"/>
              </w:rPr>
              <w:t xml:space="preserve">Microsoft.BizTalk.BaseFunctoids.FunctoidScripts</w:t>
            </w:r>
            <w:r>
              <w:t xml:space="preserve">. A standalone extension installation does not by itself establish availability of this dependency. N3, N7.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Provide a supported dependency strategy or compatible implementation and demonstrate execution in the advertised clean runtime environment.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G13 / P1 / Gap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Older BTM migration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Open or migrate older maps without losing links or semantics.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The </w:t>
            </w:r>
            <w:r>
              <w:rPr>
                <w:rFonts w:ascii="Consolas" w:hAnsi="Consolas"/>
              </w:rPr>
              <w:t xml:space="preserve">srctree/sinktree/functions</w:t>
            </w:r>
            <w:r>
              <w:t xml:space="preserve"> dialect is explicitly rejected. Two audited samples are affected. Rejection is safer than the former empty-map import, but migration remains missing. N2.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Migrate representative old-dialect maps and compare identities, functions, links, settings, and execution against a working legacy environment.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G14 / P1 / Partial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Generate Instance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Generate instances satisfying the relevant schema constraints.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t xml:space="preserve">Required repetition is capped at five: synthetic </w:t>
            </w:r>
            <w:r>
              <w:rPr>
                <w:rFonts w:ascii="Consolas" w:hAnsi="Consolas"/>
              </w:rPr>
              <w:t xml:space="preserve">minOccurs="6"</w:t>
            </w:r>
            <w:r>
              <w:t xml:space="preserve"> produced five elements. Latest X12 value/length improvements do not remove this cap or establish complete facet/schema validity. N6.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Honor required counts or report an explicit generation limit; validate generated instances against XSDs and cover facets, choices, defaults, fixed values, and test overrides.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G15 / P1 / Partial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Schema dependency resolution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Resolve schemas through the supported project/assembly and XSD dependency mechanisms.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Local includes/imports work; assembly-qualified references rely on filename heuristics. Imports without </w:t>
            </w:r>
            <w:r>
              <w:rPr>
                <w:rFonts w:ascii="Consolas" w:hAnsi="Consolas"/>
              </w:rPr>
              <w:t xml:space="preserve">schemaLocation</w:t>
            </w:r>
            <w:r>
              <w:t xml:space="preserve"> are rejected; the dependency loader does not handle </w:t>
            </w:r>
            <w:r>
              <w:rPr>
                <w:rFonts w:ascii="Consolas" w:hAnsi="Consolas"/>
              </w:rPr>
              <w:t xml:space="preserve">xs:redefine</w:t>
            </w:r>
            <w:r>
              <w:t xml:space="preserve">. N1, N5.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Define and implement supported project/assembly resolution and dependency constructs, with deterministic resolution and explicit unsupported-case diagnostics.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G16 / P1 / Gap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Native / flat-file Test Map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Native-to-XML and XML-to-native test workflows.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t xml:space="preserve">No equivalent native conversion pipeline was found in the inspected Test Map path. XML transformation alone is not native-format support. N5, N7, L4.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Exercise supported native inputs/outputs, schema annotations, validation, and diagnostic behavior end-to-end.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G17 / P1 / Partial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Map properties and engine selection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Preserve and honor legacy map settings and engine-selection intent.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Current options/editor cover only part of the legacy property surface; legacy engine-selection settings are not represented equivalently. Existing XSLT version support does not establish engine equivalence. N2, N7, N8, L2.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Inventory each persisted property, then preserve and honor it or explicitly report unsupported behavior. Keep output-property loss tracked under G05.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G18 / P1 / Partial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Optimize Value Mapping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Respect the selected compiler optimization setting.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optimizeValueMapping</w:t>
            </w:r>
            <w:r>
              <w:t xml:space="preserve"> is modeled and serialized, but the inspected compiler does not consume it. This is an option-parity gap, not independent proof of incorrect output. N2, N3.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Implement equivalent behavior or explicitly document/report the unsupported option; compare effective output and generated execution behavior.</w:t>
            </w:r>
          </w:p>
        </w:tc>
      </w:tr>
    </w:tbl>
    <w:p>
      <w:pPr>
        <w:pStyle w:val="Heading2"/>
      </w:pPr>
      <w:r>
        <w:t xml:space="preserve">Correction to the functoid inventory</w:t>
      </w:r>
    </w:p>
    <w:p>
      <w:pPr>
        <w:pStyle w:val="Normal"/>
      </w:pPr>
      <w:r>
        <w:t xml:space="preserve">All </w:t>
      </w:r>
      <w:r>
        <w:rPr>
          <w:b/>
        </w:rPr>
        <w:t xml:space="preserve">76 IDs in BaseFunctoidIDs</w:t>
      </w:r>
      <w:r>
        <w:t xml:space="preserve"> have registry entries. That count is not the complete legacy bundled-functoid inventory and does not establish semantic equivalence. The separate </w:t>
      </w:r>
      <w:r>
        <w:rPr>
          <w:rFonts w:ascii="Consolas" w:hAnsi="Consolas"/>
        </w:rPr>
        <w:t xml:space="preserve">CrossReferencingFunctoidID</w:t>
      </w:r>
      <w:r>
        <w:t xml:space="preserve"> enum contains:</w:t>
      </w:r>
    </w:p>
    <w:tbl>
      <w:tblPr>
        <w:tblW w:w="14400" w:type="dxa"/>
        <w:tblLayout w:type="fixed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400"/>
        <w:gridCol w:w="5300"/>
        <w:gridCol w:w="6700"/>
      </w:tblGrid>
      <w:tr>
        <w:trPr>
          <w:tblHeader/>
          <w:cantSplit/>
        </w:trPr>
        <w:tc>
          <w:tcPr>
            <w:tcW w:w="2400" w:type="dxa"/>
            <w:vAlign w:val="top"/>
            <w:shd w:fill="17365D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5300" w:type="dxa"/>
            <w:vAlign w:val="top"/>
            <w:shd w:fill="17365D"/>
          </w:tcPr>
          <w:p>
            <w:pPr>
              <w:pStyle w:val="TableHeader"/>
            </w:pPr>
            <w:r>
              <w:t xml:space="preserve">Legacy identifier</w:t>
            </w:r>
          </w:p>
        </w:tc>
        <w:tc>
          <w:tcPr>
            <w:tcW w:w="6700" w:type="dxa"/>
            <w:vAlign w:val="top"/>
            <w:shd w:fill="17365D"/>
          </w:tcPr>
          <w:p>
            <w:pPr>
              <w:pStyle w:val="TableHeader"/>
            </w:pPr>
            <w:r>
              <w:t xml:space="preserve">Registry status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5000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FormatMessage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Missing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2F6FA"/>
          </w:tcPr>
          <w:p>
            <w:pPr>
              <w:pStyle w:val="TableText"/>
            </w:pPr>
            <w:r>
              <w:t xml:space="preserve">5001</w:t>
            </w:r>
          </w:p>
        </w:tc>
        <w:tc>
          <w:tcPr>
            <w:tcW w:w="53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GetApplicationID</w:t>
            </w:r>
          </w:p>
        </w:tc>
        <w:tc>
          <w:tcPr>
            <w:tcW w:w="6700" w:type="dxa"/>
            <w:vAlign w:val="top"/>
            <w:shd w:fill="F2F6FA"/>
          </w:tcPr>
          <w:p>
            <w:pPr>
              <w:pStyle w:val="TableText"/>
            </w:pPr>
            <w:r>
              <w:t xml:space="preserve">Missing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5002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GetApplicationValue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Missing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2F6FA"/>
          </w:tcPr>
          <w:p>
            <w:pPr>
              <w:pStyle w:val="TableText"/>
            </w:pPr>
            <w:r>
              <w:t xml:space="preserve">5003</w:t>
            </w:r>
          </w:p>
        </w:tc>
        <w:tc>
          <w:tcPr>
            <w:tcW w:w="53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GetCommonID</w:t>
            </w:r>
          </w:p>
        </w:tc>
        <w:tc>
          <w:tcPr>
            <w:tcW w:w="6700" w:type="dxa"/>
            <w:vAlign w:val="top"/>
            <w:shd w:fill="F2F6FA"/>
          </w:tcPr>
          <w:p>
            <w:pPr>
              <w:pStyle w:val="TableText"/>
            </w:pPr>
            <w:r>
              <w:t xml:space="preserve">Missing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5004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GetCommonValue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Missing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2F6FA"/>
          </w:tcPr>
          <w:p>
            <w:pPr>
              <w:pStyle w:val="TableText"/>
            </w:pPr>
            <w:r>
              <w:t xml:space="preserve">5005</w:t>
            </w:r>
          </w:p>
        </w:tc>
        <w:tc>
          <w:tcPr>
            <w:tcW w:w="53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SetCommonID</w:t>
            </w:r>
          </w:p>
        </w:tc>
        <w:tc>
          <w:tcPr>
            <w:tcW w:w="6700" w:type="dxa"/>
            <w:vAlign w:val="top"/>
            <w:shd w:fill="F2F6FA"/>
          </w:tcPr>
          <w:p>
            <w:pPr>
              <w:pStyle w:val="TableText"/>
            </w:pPr>
            <w:r>
              <w:t xml:space="preserve">Missing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5006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RemoveAppID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Missing</w:t>
            </w:r>
          </w:p>
        </w:tc>
      </w:tr>
    </w:tbl>
    <w:p>
      <w:pPr>
        <w:pStyle w:val="Normal"/>
      </w:pPr>
      <w:r>
        <w:t xml:space="preserve">These definitions bind to the legacy cross-referencing runtime. Adding palette entries alone would not close G07.</w:t>
      </w:r>
    </w:p>
    <w:p>
      <w:pPr>
        <w:pStyle w:val="Heading1"/>
      </w:pPr>
      <w:r>
        <w:t xml:space="preserve">Tooling gaps and unverified parity</w:t>
      </w:r>
    </w:p>
    <w:tbl>
      <w:tblPr>
        <w:tblW w:w="14400" w:type="dxa"/>
        <w:tblLayout w:type="fixed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500"/>
        <w:gridCol w:w="1850"/>
        <w:gridCol w:w="2850"/>
        <w:gridCol w:w="4600"/>
        <w:gridCol w:w="3600"/>
      </w:tblGrid>
      <w:tr>
        <w:trPr>
          <w:tblHeader/>
          <w:cantSplit/>
        </w:trPr>
        <w:tc>
          <w:tcPr>
            <w:tcW w:w="1500" w:type="dxa"/>
            <w:vAlign w:val="top"/>
            <w:shd w:fill="17365D"/>
          </w:tcPr>
          <w:p>
            <w:pPr>
              <w:pStyle w:val="TableHeader"/>
            </w:pPr>
            <w:r>
              <w:t xml:space="preserve">ID / priority / status</w:t>
            </w:r>
          </w:p>
        </w:tc>
        <w:tc>
          <w:tcPr>
            <w:tcW w:w="1850" w:type="dxa"/>
            <w:vAlign w:val="top"/>
            <w:shd w:fill="17365D"/>
          </w:tcPr>
          <w:p>
            <w:pPr>
              <w:pStyle w:val="TableHeader"/>
            </w:pPr>
            <w:r>
              <w:t xml:space="preserve">Area</w:t>
            </w:r>
          </w:p>
        </w:tc>
        <w:tc>
          <w:tcPr>
            <w:tcW w:w="2850" w:type="dxa"/>
            <w:vAlign w:val="top"/>
            <w:shd w:fill="17365D"/>
          </w:tcPr>
          <w:p>
            <w:pPr>
              <w:pStyle w:val="TableHeader"/>
            </w:pPr>
            <w:r>
              <w:t xml:space="preserve">Legacy behavior / requirement</w:t>
            </w:r>
          </w:p>
        </w:tc>
        <w:tc>
          <w:tcPr>
            <w:tcW w:w="4600" w:type="dxa"/>
            <w:vAlign w:val="top"/>
            <w:shd w:fill="17365D"/>
          </w:tcPr>
          <w:p>
            <w:pPr>
              <w:pStyle w:val="TableHeader"/>
            </w:pPr>
            <w:r>
              <w:t xml:space="preserve">Current result and impact</w:t>
            </w:r>
          </w:p>
        </w:tc>
        <w:tc>
          <w:tcPr>
            <w:tcW w:w="3600" w:type="dxa"/>
            <w:vAlign w:val="top"/>
            <w:shd w:fill="17365D"/>
          </w:tcPr>
          <w:p>
            <w:pPr>
              <w:pStyle w:val="TableHeader"/>
            </w:pPr>
            <w:r>
              <w:t xml:space="preserve">Closure criteria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G19 / P2 / Partial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Validate Map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Compiler/schema-aware diagnostics across the map.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Editor validation checks basic conditions on the active page. It is not full compiler validation across all pages or instance XSD validation. N8.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Route full-map validation through the appropriate compiler/schema checks and report page/element-specific diagnostics.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G20 / P2 / Partial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Command Palette operations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Commands execute the requested Compile, Test, or Validate operation.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t xml:space="preserve">Compile/Validate redirect to toolbar actions; Test selects input and displays a message rather than running the complete test workflow. N5.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Wire commands to the same operations as the editor, including active-document selection, results, errors, and cancellation.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G21 / P2 / Gap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Debug Map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User-facing debugging of mapping/transformation execution.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No equivalent Debug Map workflow found. Shared logs and the developer debugging guide describe different capabilities. N5, N7, L6.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Provide a defined map-debugging workflow with the intended stepping/source mapping and variable/context inspection.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G22 / P2 / Partial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Advanced editor workflows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Legacy connected-selection, relevance, search, and editing workflows.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t xml:space="preserve">Basic navigation, pages, clipboard, and auto-linking exist. Full equivalence of connected-subgraph copying and legacy relevance/search workflows is not established. N8.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Define acceptance scenarios and verify editing, navigation, copied connectivity, undo/redo, and persistence without changing mapping identities.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FFFFF"/>
          </w:tcPr>
          <w:p>
            <w:pPr>
              <w:pStyle w:val="TableText"/>
            </w:pPr>
            <w:r>
              <w:t xml:space="preserve">G23 / Unverified</w:t>
            </w:r>
          </w:p>
        </w:tc>
        <w:tc>
          <w:tcPr>
            <w:tcW w:w="1850" w:type="dxa"/>
            <w:vAlign w:val="top"/>
            <w:shd w:fill="FFFFFF"/>
          </w:tcPr>
          <w:p>
            <w:pPr>
              <w:pStyle w:val="TableText"/>
            </w:pPr>
            <w:r>
              <w:t xml:space="preserve">Remaining base-functoid semantics</w:t>
            </w:r>
          </w:p>
        </w:tc>
        <w:tc>
          <w:tcPr>
            <w:tcW w:w="2850" w:type="dxa"/>
            <w:vAlign w:val="top"/>
            <w:shd w:fill="FFFFFF"/>
          </w:tcPr>
          <w:p>
            <w:pPr>
              <w:pStyle w:val="TableText"/>
            </w:pPr>
            <w:r>
              <w:t xml:space="preserve">Legacy input, numeric, culture, error, and boundary behavior.</w:t>
            </w:r>
          </w:p>
        </w:tc>
        <w:tc>
          <w:tcPr>
            <w:tcW w:w="4600" w:type="dxa"/>
            <w:vAlign w:val="top"/>
            <w:shd w:fill="FFFFFF"/>
          </w:tcPr>
          <w:p>
            <w:pPr>
              <w:pStyle w:val="TableText"/>
            </w:pPr>
            <w:r>
              <w:t xml:space="preserve">Registration coverage is not execution coverage. The listed probes establish only their particular cases; they do not certify the remaining definitions or engine combinations. N3, N4, L1.</w:t>
            </w:r>
          </w:p>
        </w:tc>
        <w:tc>
          <w:tcPr>
            <w:tcW w:w="3600" w:type="dxa"/>
            <w:vAlign w:val="top"/>
            <w:shd w:fill="FFFFFF"/>
          </w:tcPr>
          <w:p>
            <w:pPr>
              <w:pStyle w:val="TableText"/>
            </w:pPr>
            <w:r>
              <w:t xml:space="preserve">Build a differential matrix for every supported ID and arity, including invalid inputs, boundaries, warnings, and supported runtimes.</w:t>
            </w:r>
          </w:p>
        </w:tc>
      </w:tr>
      <w:tr>
        <w:trPr>
          <w:cantSplit/>
        </w:trPr>
        <w:tc>
          <w:tcPr>
            <w:tcW w:w="1500" w:type="dxa"/>
            <w:vAlign w:val="top"/>
            <w:shd w:fill="F2F6FA"/>
          </w:tcPr>
          <w:p>
            <w:pPr>
              <w:pStyle w:val="TableText"/>
            </w:pPr>
            <w:r>
              <w:t xml:space="preserve">G24 / Unverified</w:t>
            </w:r>
          </w:p>
        </w:tc>
        <w:tc>
          <w:tcPr>
            <w:tcW w:w="1850" w:type="dxa"/>
            <w:vAlign w:val="top"/>
            <w:shd w:fill="F2F6FA"/>
          </w:tcPr>
          <w:p>
            <w:pPr>
              <w:pStyle w:val="TableText"/>
            </w:pPr>
            <w:r>
              <w:t xml:space="preserve">Complex transformation/deployment combinations</w:t>
            </w:r>
          </w:p>
        </w:tc>
        <w:tc>
          <w:tcPr>
            <w:tcW w:w="2850" w:type="dxa"/>
            <w:vAlign w:val="top"/>
            <w:shd w:fill="F2F6FA"/>
          </w:tcPr>
          <w:p>
            <w:pPr>
              <w:pStyle w:val="TableText"/>
            </w:pPr>
            <w:r>
              <w:t xml:space="preserve">Legacy hierarchy matching, loops, schema constructs, multi-message maps, and deployment behavior.</w:t>
            </w:r>
          </w:p>
        </w:tc>
        <w:tc>
          <w:tcPr>
            <w:tcW w:w="4600" w:type="dxa"/>
            <w:vAlign w:val="top"/>
            <w:shd w:fill="F2F6FA"/>
          </w:tcPr>
          <w:p>
            <w:pPr>
              <w:pStyle w:val="TableText"/>
            </w:pPr>
            <w:r>
              <w:t xml:space="preserve">Some relevant implementations exist, but sufficient differential evidence is missing for complex loops, recursion, wildcards/substitution, multi-message maps, and deployment combinations. Do not label all of these unsupported. N1, N3, N7, L3, L4.</w:t>
            </w:r>
          </w:p>
        </w:tc>
        <w:tc>
          <w:tcPr>
            <w:tcW w:w="3600" w:type="dxa"/>
            <w:vAlign w:val="top"/>
            <w:shd w:fill="F2F6FA"/>
          </w:tcPr>
          <w:p>
            <w:pPr>
              <w:pStyle w:val="TableText"/>
            </w:pPr>
            <w:r>
              <w:t xml:space="preserve">Use representative fixtures and a working legacy baseline; compare outputs, diagnostics, persisted settings, and runtime dependencies.</w:t>
            </w:r>
          </w:p>
        </w:tc>
      </w:tr>
    </w:tbl>
    <w:p>
      <w:pPr>
        <w:pStyle w:val="Heading1"/>
      </w:pPr>
      <w:r>
        <w:t xml:space="preserve">Validation evidence and limitations</w:t>
      </w:r>
    </w:p>
    <w:tbl>
      <w:tblPr>
        <w:tblW w:w="14400" w:type="dxa"/>
        <w:tblLayout w:type="fixed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400"/>
        <w:gridCol w:w="5300"/>
        <w:gridCol w:w="6700"/>
      </w:tblGrid>
      <w:tr>
        <w:trPr>
          <w:tblHeader/>
          <w:cantSplit/>
        </w:trPr>
        <w:tc>
          <w:tcPr>
            <w:tcW w:w="2400" w:type="dxa"/>
            <w:vAlign w:val="top"/>
            <w:shd w:fill="17365D"/>
          </w:tcPr>
          <w:p>
            <w:pPr>
              <w:pStyle w:val="TableHeader"/>
            </w:pPr>
            <w:r>
              <w:t xml:space="preserve">Check</w:t>
            </w:r>
          </w:p>
        </w:tc>
        <w:tc>
          <w:tcPr>
            <w:tcW w:w="5300" w:type="dxa"/>
            <w:vAlign w:val="top"/>
            <w:shd w:fill="17365D"/>
          </w:tcPr>
          <w:p>
            <w:pPr>
              <w:pStyle w:val="TableHeader"/>
            </w:pPr>
            <w:r>
              <w:t xml:space="preserve">Observed result</w:t>
            </w:r>
          </w:p>
        </w:tc>
        <w:tc>
          <w:tcPr>
            <w:tcW w:w="6700" w:type="dxa"/>
            <w:vAlign w:val="top"/>
            <w:shd w:fill="17365D"/>
          </w:tcPr>
          <w:p>
            <w:pPr>
              <w:pStyle w:val="TableHeader"/>
            </w:pPr>
            <w:r>
              <w:t xml:space="preserve">What it does not establish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Recursive sample compilation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t xml:space="preserve">Twelve maps checked: eight successful compiler results (including one custom-XSLT pass-through), two compiler failures, two unsupported-dialect rejections.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Not eight proven successful runtime executions. The sample set includes an empty map, so the pass count is not a feature-coverage percentage.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2F6FA"/>
          </w:tcPr>
          <w:p>
            <w:pPr>
              <w:pStyle w:val="TableText"/>
            </w:pPr>
            <w:r>
              <w:t xml:space="preserve">Link preservation</w:t>
            </w:r>
          </w:p>
        </w:tc>
        <w:tc>
          <w:tcPr>
            <w:tcW w:w="5300" w:type="dxa"/>
            <w:vAlign w:val="top"/>
            <w:shd w:fill="F2F6FA"/>
          </w:tcPr>
          <w:p>
            <w:pPr>
              <w:pStyle w:val="TableText"/>
            </w:pPr>
            <w:r>
              <w:t xml:space="preserve">All ten loaded maps retained link identities in the in-memory save/reopen check. The 86-link endpoint-compatibility sample had no unresolved endpoints and compiled. Original BTM hashes remained unchanged.</w:t>
            </w:r>
          </w:p>
        </w:tc>
        <w:tc>
          <w:tcPr>
            <w:tcW w:w="6700" w:type="dxa"/>
            <w:vAlign w:val="top"/>
            <w:shd w:fill="F2F6FA"/>
          </w:tcPr>
          <w:p>
            <w:pPr>
              <w:pStyle w:val="TableText"/>
            </w:pPr>
            <w:r>
              <w:t xml:space="preserve">Preservation of links does not prove preservation of all map properties; G05 remains open. Rejected maps were not imported.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Compiler failures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t xml:space="preserve">One map reported insufficient inputs for Equal and Value Mapping; another hit the generated-XSLT extension-object restriction.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Without a working legacy comparison, the first failure does not certify that the original map is invalid in BizTalk.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2F6FA"/>
          </w:tcPr>
          <w:p>
            <w:pPr>
              <w:pStyle w:val="TableText"/>
            </w:pPr>
            <w:r>
              <w:t xml:space="preserve">Fresh semantic probes</w:t>
            </w:r>
          </w:p>
        </w:tc>
        <w:tc>
          <w:tcPr>
            <w:tcW w:w="5300" w:type="dxa"/>
            <w:vAlign w:val="top"/>
            <w:shd w:fill="F2F6FA"/>
          </w:tcPr>
          <w:p>
            <w:pPr>
              <w:pStyle w:val="TableText"/>
            </w:pPr>
            <w:r>
              <w:t xml:space="preserve">Generated XSLT executed with .NET: absent String Find passed; both empty-search cases failed; Unicode uppercase and Round midpoint differed; negative Integer matched. Round precision was rejected during compilation.</w:t>
            </w:r>
          </w:p>
        </w:tc>
        <w:tc>
          <w:tcPr>
            <w:tcW w:w="6700" w:type="dxa"/>
            <w:vAlign w:val="top"/>
            <w:shd w:fill="F2F6FA"/>
          </w:tcPr>
          <w:p>
            <w:pPr>
              <w:pStyle w:val="TableText"/>
            </w:pPr>
            <w:r>
              <w:t xml:space="preserve">Expected functoid results came from inspected legacy source, not fresh legacy converter execution. These runs do not certify XSLT 2.0 runtime parity.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Fresh schema/persistence probes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t xml:space="preserve">.NET XSD compilation confirmed the complex-type namespace-scope expectation. Six output attributes were dropped on save. Required count six generated five elements.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These synthetic examples demonstrate specific failures, not an exhaustive XSD conformance matrix.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2F6FA"/>
          </w:tcPr>
          <w:p>
            <w:pPr>
              <w:pStyle w:val="TableText"/>
            </w:pPr>
            <w:r>
              <w:t xml:space="preserve">Earlier focused regression check</w:t>
            </w:r>
          </w:p>
        </w:tc>
        <w:tc>
          <w:tcPr>
            <w:tcW w:w="5300" w:type="dxa"/>
            <w:vAlign w:val="top"/>
            <w:shd w:fill="F2F6FA"/>
          </w:tcPr>
          <w:p>
            <w:pPr>
              <w:pStyle w:val="TableText"/>
            </w:pPr>
            <w:r>
              <w:t xml:space="preserve">Nine focused suites / 236 tests passed, along with host and webview TypeScript checks during the re-audit.</w:t>
            </w:r>
          </w:p>
        </w:tc>
        <w:tc>
          <w:tcPr>
            <w:tcW w:w="6700" w:type="dxa"/>
            <w:vAlign w:val="top"/>
            <w:shd w:fill="F2F6FA"/>
          </w:tcPr>
          <w:p>
            <w:pPr>
              <w:pStyle w:val="TableText"/>
            </w:pPr>
            <w:r>
              <w:t xml:space="preserve">This was not the full suite and did not include the latest X12 instance-generation suite. Passing tests can encode incompatible expectations, as G01 demonstrates.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FFFFF"/>
          </w:tcPr>
          <w:p>
            <w:pPr>
              <w:pStyle w:val="TableText"/>
            </w:pPr>
            <w:r>
              <w:t xml:space="preserve">Legacy baseline attempts</w:t>
            </w:r>
          </w:p>
        </w:tc>
        <w:tc>
          <w:tcPr>
            <w:tcW w:w="5300" w:type="dxa"/>
            <w:vAlign w:val="top"/>
            <w:shd w:fill="FFFFFF"/>
          </w:tcPr>
          <w:p>
            <w:pPr>
              <w:pStyle w:val="TableText"/>
            </w:pPr>
            <w:r>
              <w:t xml:space="preserve">Both available legacy converter variants were attempted for each of the twelve maps: 24 crashes, comprising 17 stack overflows and seven access violations; no fresh legacy XSLT.</w:t>
            </w:r>
          </w:p>
        </w:tc>
        <w:tc>
          <w:tcPr>
            <w:tcW w:w="6700" w:type="dxa"/>
            <w:vAlign w:val="top"/>
            <w:shd w:fill="FFFFFF"/>
          </w:tcPr>
          <w:p>
            <w:pPr>
              <w:pStyle w:val="TableText"/>
            </w:pPr>
            <w:r>
              <w:t xml:space="preserve">Compiler-environment failure is not evidence that customer maps are invalid. Cached XSLT files are not fresh, provenance-verified baselines.</w:t>
            </w:r>
          </w:p>
        </w:tc>
      </w:tr>
      <w:tr>
        <w:trPr>
          <w:cantSplit/>
        </w:trPr>
        <w:tc>
          <w:tcPr>
            <w:tcW w:w="2400" w:type="dxa"/>
            <w:vAlign w:val="top"/>
            <w:shd w:fill="F2F6FA"/>
          </w:tcPr>
          <w:p>
            <w:pPr>
              <w:pStyle w:val="TableText"/>
            </w:pPr>
            <w:r>
              <w:t xml:space="preserve">Source versus installed extension</w:t>
            </w:r>
          </w:p>
        </w:tc>
        <w:tc>
          <w:tcPr>
            <w:tcW w:w="5300" w:type="dxa"/>
            <w:vAlign w:val="top"/>
            <w:shd w:fill="F2F6FA"/>
          </w:tcPr>
          <w:p>
            <w:pPr>
              <w:pStyle w:val="TableText"/>
            </w:pPr>
            <w:r>
              <w:t xml:space="preserve">Findings describe the inspected source snapshot.</w:t>
            </w:r>
          </w:p>
        </w:tc>
        <w:tc>
          <w:tcPr>
            <w:tcW w:w="6700" w:type="dxa"/>
            <w:vAlign w:val="top"/>
            <w:shd w:fill="F2F6FA"/>
          </w:tcPr>
          <w:p>
            <w:pPr>
              <w:pStyle w:val="TableText"/>
            </w:pPr>
            <w:r>
              <w:t xml:space="preserve">The previously installed VSIX predates the latest fixes. This documentation update neither builds nor installs a new package.</w:t>
            </w:r>
          </w:p>
        </w:tc>
      </w:tr>
    </w:tbl>
    <w:p>
      <w:pPr>
        <w:pStyle w:val="Heading2"/>
      </w:pPr>
      <w:r>
        <w:t xml:space="preserve">Legacy compilation warning follow-up</w:t>
      </w:r>
    </w:p>
    <w:p>
      <w:pPr>
        <w:pStyle w:val="Normal"/>
      </w:pPr>
      <w:r>
        <w:t xml:space="preserve">A separate inspected map contains a Looping functoid (type 424) with an input but no output link. Legacy </w:t>
      </w:r>
      <w:r>
        <w:rPr>
          <w:rFonts w:ascii="Consolas" w:hAnsi="Consolas"/>
        </w:rPr>
        <w:t xml:space="preserve">CheckForFunctoidWarnings</w:t>
      </w:r>
      <w:r>
        <w:t xml:space="preserve"> classifies that condition as </w:t>
      </w:r>
      <w:r>
        <w:rPr>
          <w:rFonts w:ascii="Consolas" w:hAnsi="Consolas"/>
        </w:rPr>
        <w:t xml:space="preserve">FunctoidNoOutput</w:t>
      </w:r>
      <w:r>
        <w:t xml:space="preserve"> (1013), severity Warning.</w:t>
      </w:r>
    </w:p>
    <w:p>
      <w:pPr>
        <w:pStyle w:val="Normal"/>
      </w:pPr>
      <w:r>
        <w:t xml:space="preserve">This finding is </w:t>
      </w:r>
      <w:r>
        <w:rPr>
          <w:b/>
        </w:rPr>
        <w:t xml:space="preserve">derived from source and map structure</w:t>
      </w:r>
      <w:r>
        <w:t xml:space="preserve">, not captured from a completed legacy compilation. The two targeted legacy runs also failed (one stack overflow, one access violation). The complete warning/error list therefore remains unknown. An unused-functoid warning must not be confused with invalid configuration on a connected functoid or treated as proof of an otherwise valid map.</w:t>
      </w:r>
    </w:p>
    <w:p>
      <w:pPr>
        <w:pStyle w:val="Heading1"/>
      </w:pPr>
      <w:r>
        <w:t xml:space="preserve">Source evidence</w:t>
      </w:r>
    </w:p>
    <w:p>
      <w:pPr>
        <w:pStyle w:val="Normal"/>
      </w:pPr>
      <w:r>
        <w:t xml:space="preserve">Paths in N1-N8 are relative to </w:t>
      </w:r>
      <w:r>
        <w:rPr>
          <w:rFonts w:ascii="Consolas" w:hAnsi="Consolas"/>
        </w:rPr>
        <w:t xml:space="preserve">libs\data-mapper-v3</w:t>
      </w:r>
      <w:r>
        <w:t xml:space="preserve"> in LogicAppsUX. Paths in L1-L6 refer to </w:t>
      </w:r>
      <w:r>
        <w:rPr>
          <w:rFonts w:ascii="Consolas" w:hAnsi="Consolas"/>
        </w:rPr>
        <w:t xml:space="preserve">src\DesignTools\XMLTools\source</w:t>
      </w:r>
      <w:r>
        <w:t xml:space="preserve"> in the separate BizTalk Server repository. Symbols are included because line numbers can move.</w:t>
      </w:r>
    </w:p>
    <w:tbl>
      <w:tblPr>
        <w:tblW w:w="14400" w:type="dxa"/>
        <w:tblLayout w:type="fixed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700"/>
        <w:gridCol w:w="11700"/>
      </w:tblGrid>
      <w:tr>
        <w:trPr>
          <w:tblHeader/>
          <w:cantSplit/>
        </w:trPr>
        <w:tc>
          <w:tcPr>
            <w:tcW w:w="2700" w:type="dxa"/>
            <w:vAlign w:val="top"/>
            <w:shd w:fill="17365D"/>
          </w:tcPr>
          <w:p>
            <w:pPr>
              <w:pStyle w:val="TableHeader"/>
            </w:pPr>
            <w:r>
              <w:t xml:space="preserve">Reference</w:t>
            </w:r>
          </w:p>
        </w:tc>
        <w:tc>
          <w:tcPr>
            <w:tcW w:w="11700" w:type="dxa"/>
            <w:vAlign w:val="top"/>
            <w:shd w:fill="17365D"/>
          </w:tcPr>
          <w:p>
            <w:pPr>
              <w:pStyle w:val="TableHeader"/>
            </w:pPr>
            <w:r>
              <w:t xml:space="preserve">Primary source / verification surface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FFFFF"/>
          </w:tcPr>
          <w:p>
            <w:pPr>
              <w:pStyle w:val="TableText"/>
            </w:pPr>
            <w:r>
              <w:t xml:space="preserve">N1</w:t>
            </w:r>
          </w:p>
        </w:tc>
        <w:tc>
          <w:tcPr>
            <w:tcW w:w="11700" w:type="dxa"/>
            <w:vAlign w:val="top"/>
            <w:shd w:fill="FFFFFF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src\schema\schemaPathResolver.ts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src\schema\schemaParser.ts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parseElement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parseComplexType</w:t>
            </w:r>
            <w:r>
              <w:t xml:space="preserve">, QName resolution); </w:t>
            </w:r>
            <w:r>
              <w:rPr>
                <w:rFonts w:ascii="Consolas" w:hAnsi="Consolas"/>
              </w:rPr>
              <w:t xml:space="preserve">src\schema\schemaDependencyResolver.ts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test\schemaPathResolver.test.ts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test\schemaDependencyResolver.test.ts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2F6FA"/>
          </w:tcPr>
          <w:p>
            <w:pPr>
              <w:pStyle w:val="TableText"/>
            </w:pPr>
            <w:r>
              <w:t xml:space="preserve">N2</w:t>
            </w:r>
          </w:p>
        </w:tc>
        <w:tc>
          <w:tcPr>
            <w:tcW w:w="117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src\model\mapModel.ts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MapOptions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TableLoopingData</w:t>
            </w:r>
            <w:r>
              <w:t xml:space="preserve">); </w:t>
            </w:r>
            <w:r>
              <w:rPr>
                <w:rFonts w:ascii="Consolas" w:hAnsi="Consolas"/>
              </w:rPr>
              <w:t xml:space="preserve">src\schema\btmSerializer.ts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serialize</w:t>
            </w:r>
            <w:r>
              <w:t xml:space="preserve">, option parsing, table data); </w:t>
            </w:r>
            <w:r>
              <w:rPr>
                <w:rFonts w:ascii="Consolas" w:hAnsi="Consolas"/>
              </w:rPr>
              <w:t xml:space="preserve">test\btmSerializer.test.ts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FFFFF"/>
          </w:tcPr>
          <w:p>
            <w:pPr>
              <w:pStyle w:val="TableText"/>
            </w:pPr>
            <w:r>
              <w:t xml:space="preserve">N3</w:t>
            </w:r>
          </w:p>
        </w:tc>
        <w:tc>
          <w:tcPr>
            <w:tcW w:w="11700" w:type="dxa"/>
            <w:vAlign w:val="top"/>
            <w:shd w:fill="FFFFFF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src\compiler\xsltCompiler.ts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validateP0Map</w:t>
            </w:r>
            <w:r>
              <w:t xml:space="preserve">, functoid expression generation, table validation, </w:t>
            </w:r>
            <w:r>
              <w:rPr>
                <w:rFonts w:ascii="Consolas" w:hAnsi="Consolas"/>
              </w:rPr>
              <w:t xml:space="preserve">getDatabaseFunctoidScripts</w:t>
            </w:r>
            <w:r>
              <w:t xml:space="preserve">); </w:t>
            </w:r>
            <w:r>
              <w:rPr>
                <w:rFonts w:ascii="Consolas" w:hAnsi="Consolas"/>
              </w:rPr>
              <w:t xml:space="preserve">test\xsltCompilerFunctoids.test.ts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test\compilerWorkerParity.test.ts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2F6FA"/>
          </w:tcPr>
          <w:p>
            <w:pPr>
              <w:pStyle w:val="TableText"/>
            </w:pPr>
            <w:r>
              <w:t xml:space="preserve">N4</w:t>
            </w:r>
          </w:p>
        </w:tc>
        <w:tc>
          <w:tcPr>
            <w:tcW w:w="117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src\functoids\functoidRegistry.ts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test\stringFind.test.ts</w:t>
            </w:r>
            <w:r>
              <w:t xml:space="preserve">, including its current empty-search expectations.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FFFFF"/>
          </w:tcPr>
          <w:p>
            <w:pPr>
              <w:pStyle w:val="TableText"/>
            </w:pPr>
            <w:r>
              <w:t xml:space="preserve">N5</w:t>
            </w:r>
          </w:p>
        </w:tc>
        <w:tc>
          <w:tcPr>
            <w:tcW w:w="11700" w:type="dxa"/>
            <w:vAlign w:val="top"/>
            <w:shd w:fill="FFFFFF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src\extension.ts</w:t>
            </w:r>
            <w:r>
              <w:t xml:space="preserve"> (command handlers); </w:t>
            </w:r>
            <w:r>
              <w:rPr>
                <w:rFonts w:ascii="Consolas" w:hAnsi="Consolas"/>
              </w:rPr>
              <w:t xml:space="preserve">src\mapEditorProvider.ts</w:t>
            </w:r>
            <w:r>
              <w:t xml:space="preserve"> (schema loading and Test Map); </w:t>
            </w:r>
            <w:r>
              <w:rPr>
                <w:rFonts w:ascii="Consolas" w:hAnsi="Consolas"/>
              </w:rPr>
              <w:t xml:space="preserve">src\logger.ts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src\worker\compilerWorkerClient.ts</w:t>
            </w:r>
            <w:r>
              <w:t xml:space="preserve">; logging host/worker tests.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2F6FA"/>
          </w:tcPr>
          <w:p>
            <w:pPr>
              <w:pStyle w:val="TableText"/>
            </w:pPr>
            <w:r>
              <w:t xml:space="preserve">N6</w:t>
            </w:r>
          </w:p>
        </w:tc>
        <w:tc>
          <w:tcPr>
            <w:tcW w:w="117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src\schema\instanceGenerator.ts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getCardinality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generateValueFromType</w:t>
            </w:r>
            <w:r>
              <w:t xml:space="preserve">); </w:t>
            </w:r>
            <w:r>
              <w:rPr>
                <w:rFonts w:ascii="Consolas" w:hAnsi="Consolas"/>
              </w:rPr>
              <w:t xml:space="preserve">src\model\schemaModel.ts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test\instanceGenerator.test.ts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FFFFF"/>
          </w:tcPr>
          <w:p>
            <w:pPr>
              <w:pStyle w:val="TableText"/>
            </w:pPr>
            <w:r>
              <w:t xml:space="preserve">N7</w:t>
            </w:r>
          </w:p>
        </w:tc>
        <w:tc>
          <w:tcPr>
            <w:tcW w:w="11700" w:type="dxa"/>
            <w:vAlign w:val="top"/>
            <w:shd w:fill="FFFFFF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tools\compiler-worker</w:t>
            </w:r>
            <w:r>
              <w:t xml:space="preserve"> and </w:t>
            </w:r>
            <w:r>
              <w:rPr>
                <w:rFonts w:ascii="Consolas" w:hAnsi="Consolas"/>
              </w:rPr>
              <w:t xml:space="preserve">tools\xslt-transform</w:t>
            </w:r>
            <w:r>
              <w:t xml:space="preserve"> (execution and assembly binding); </w:t>
            </w:r>
            <w:r>
              <w:rPr>
                <w:rFonts w:ascii="Consolas" w:hAnsi="Consolas"/>
              </w:rPr>
              <w:t xml:space="preserve">docs\data-mapper-architecture.md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docs\compiler-worker-design.md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docs\debugging.md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2F6FA"/>
          </w:tcPr>
          <w:p>
            <w:pPr>
              <w:pStyle w:val="TableText"/>
            </w:pPr>
            <w:r>
              <w:t xml:space="preserve">N8</w:t>
            </w:r>
          </w:p>
        </w:tc>
        <w:tc>
          <w:tcPr>
            <w:tcW w:w="117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webview\src\components\MapperAppController.ts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getValidationIssues</w:t>
            </w:r>
            <w:r>
              <w:t xml:space="preserve">, command messaging, functoid editing and navigation); </w:t>
            </w:r>
            <w:r>
              <w:rPr>
                <w:rFonts w:ascii="Consolas" w:hAnsi="Consolas"/>
              </w:rPr>
              <w:t xml:space="preserve">test\webviewSmoke.js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docs\functoid-properties-design.md</w:t>
            </w:r>
            <w:r>
              <w:t xml:space="preserve">. Design proposals alone are not proof of an implemented workflow.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FFFFF"/>
          </w:tcPr>
          <w:p>
            <w:pPr>
              <w:pStyle w:val="TableText"/>
            </w:pPr>
            <w:r>
              <w:t xml:space="preserve">L1</w:t>
            </w:r>
          </w:p>
        </w:tc>
        <w:tc>
          <w:tcPr>
            <w:tcW w:w="11700" w:type="dxa"/>
            <w:vAlign w:val="top"/>
            <w:shd w:fill="FFFFFF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BaseFunctoids\BaseFunctoid.cs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BaseFunctoidIDs</w:t>
            </w:r>
            <w:r>
              <w:t xml:space="preserve">); </w:t>
            </w:r>
            <w:r>
              <w:rPr>
                <w:rFonts w:ascii="Consolas" w:hAnsi="Consolas"/>
              </w:rPr>
              <w:t xml:space="preserve">BaseFunctoids\StringFunctoids.cs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BaseFunctoids\FunctoidScripts.cs</w:t>
            </w:r>
            <w:r>
              <w:t xml:space="preserve">; </w:t>
            </w:r>
            <w:r>
              <w:rPr>
                <w:rFonts w:ascii="Consolas" w:hAnsi="Consolas"/>
              </w:rPr>
              <w:t xml:space="preserve">BaseFunctoids\MathFunctoids.cs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2F6FA"/>
          </w:tcPr>
          <w:p>
            <w:pPr>
              <w:pStyle w:val="TableText"/>
            </w:pPr>
            <w:r>
              <w:t xml:space="preserve">L2</w:t>
            </w:r>
          </w:p>
        </w:tc>
        <w:tc>
          <w:tcPr>
            <w:tcW w:w="117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MapperVsPackage\MapProperties\GridProperties.cs</w:t>
            </w:r>
            <w:r>
              <w:t xml:space="preserve"> (legacy map/output property surface).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FFFFF"/>
          </w:tcPr>
          <w:p>
            <w:pPr>
              <w:pStyle w:val="TableText"/>
            </w:pPr>
            <w:r>
              <w:t xml:space="preserve">L3</w:t>
            </w:r>
          </w:p>
        </w:tc>
        <w:tc>
          <w:tcPr>
            <w:tcW w:w="11700" w:type="dxa"/>
            <w:vAlign w:val="top"/>
            <w:shd w:fill="FFFFFF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MapperCompiler\GenerateCodeFunction.cs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CheckForFunctoidWarnings</w:t>
            </w:r>
            <w:r>
              <w:t xml:space="preserve">, including lines 3493-3497 in the inspected source); </w:t>
            </w:r>
            <w:r>
              <w:rPr>
                <w:rFonts w:ascii="Consolas" w:hAnsi="Consolas"/>
              </w:rPr>
              <w:t xml:space="preserve">MapperCompiler\CompilerError.cs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FunctoidNoOutput = 1013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2F6FA"/>
          </w:tcPr>
          <w:p>
            <w:pPr>
              <w:pStyle w:val="TableText"/>
            </w:pPr>
            <w:r>
              <w:t xml:space="preserve">L4</w:t>
            </w:r>
          </w:p>
        </w:tc>
        <w:tc>
          <w:tcPr>
            <w:tcW w:w="117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MapperCompiler\XSLTCompiler.cs</w:t>
            </w:r>
            <w:r>
              <w:t xml:space="preserve"> (legacy testing, native input/output, validation).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FFFFF"/>
          </w:tcPr>
          <w:p>
            <w:pPr>
              <w:pStyle w:val="TableText"/>
            </w:pPr>
            <w:r>
              <w:t xml:space="preserve">L5</w:t>
            </w:r>
          </w:p>
        </w:tc>
        <w:tc>
          <w:tcPr>
            <w:tcW w:w="11700" w:type="dxa"/>
            <w:vAlign w:val="top"/>
            <w:shd w:fill="FFFFFF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CrossReferencingFunctoids\CrossReferencingFunctoids.cs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CrossReferencingFunctoidID</w:t>
            </w:r>
            <w:r>
              <w:t xml:space="preserve">, runtime binding) and its seven concrete functoid implementations.</w:t>
            </w:r>
          </w:p>
        </w:tc>
      </w:tr>
      <w:tr>
        <w:trPr>
          <w:cantSplit/>
        </w:trPr>
        <w:tc>
          <w:tcPr>
            <w:tcW w:w="2700" w:type="dxa"/>
            <w:vAlign w:val="top"/>
            <w:shd w:fill="F2F6FA"/>
          </w:tcPr>
          <w:p>
            <w:pPr>
              <w:pStyle w:val="TableText"/>
            </w:pPr>
            <w:r>
              <w:t xml:space="preserve">L6</w:t>
            </w:r>
          </w:p>
        </w:tc>
        <w:tc>
          <w:tcPr>
            <w:tcW w:w="11700" w:type="dxa"/>
            <w:vAlign w:val="top"/>
            <w:shd w:fill="F2F6F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MapperVsIntegration\MapperCustomBuildComponent.cs</w:t>
            </w:r>
            <w:r>
              <w:t xml:space="preserve"> (legacy Debug Map integration).</w:t>
            </w:r>
          </w:p>
        </w:tc>
      </w:tr>
    </w:tbl>
    <w:p>
      <w:pPr>
        <w:pStyle w:val="Heading1"/>
      </w:pPr>
      <w:r>
        <w:t xml:space="preserve">Acceptance criteria for full compatibility</w:t>
      </w:r>
    </w:p>
    <w:p>
      <w:pPr>
        <w:pStyle w:val="Normal"/>
      </w:pPr>
      <w:r>
        <w:t xml:space="preserve">For every legacy capability in the supported scope, verify </w:t>
      </w:r>
      <w:r>
        <w:rPr>
          <w:b/>
        </w:rPr>
        <w:t xml:space="preserve">load -&gt; edit -&gt; save/reopen -&gt; compile -&gt; execute</w:t>
      </w:r>
      <w:r>
        <w:t xml:space="preserve">, including original identities/settings, equivalent results, appropriate warnings/errors, and runtime dependencies. A palette entry, unit-test pass, generated stylesheet, or identical XSLT text is insufficient by itself.</w:t>
      </w:r>
    </w:p>
    <w:p>
      <w:pPr>
        <w:pStyle w:val="Normal"/>
      </w:pPr>
      <w:r>
        <w:t xml:space="preserve">Close P0 output/persistence/schema-resolution defects first, then migration, runtime, and authoring gaps, followed by tooling. Keep unverified items open until supported by differential evidence from a working legacy environment. Before closing an item, record the source revision, fixture provenance, tested runtime/engine, observed result, and regression coverage. Use sanitized fixtures; do not commit customer payloads or infer baseline provenance from an existing </w:t>
      </w:r>
      <w:r>
        <w:rPr>
          <w:rFonts w:ascii="Consolas" w:hAnsi="Consolas"/>
        </w:rPr>
        <w:t xml:space="preserve">.xslt</w:t>
      </w:r>
      <w:r>
        <w:t xml:space="preserve"> filename.</w:t>
      </w:r>
    </w:p>
    <w:sectPr>
      <w:footerReference w:type="default" r:id="rIdFooter"/>
      <w:pgSz w:w="15840" w:h="12240" w:orient="landscape"/>
      <w:pgMar w:top="720" w:right="720" w:bottom="720" w:left="720" w:header="360" w:footer="36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t xml:space="preserve">BizTalk / Logic App Data Mapper compatibility | Page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</w:pPr>
    <w:rPr>
      <w:b/>
      <w:color w:val="17365D"/>
      <w:sz w:val="36"/>
    </w:rPr>
  </w:style>
  <w:style w:type="paragraph" w:styleId="Heading1">
    <w:name w:val="heading 1"/>
    <w:basedOn w:val="Normal"/>
    <w:pPr>
      <w:keepNext/>
      <w:spacing w:before="200" w:after="120"/>
      <w:outlineLvl w:val="0"/>
    </w:pPr>
    <w:rPr>
      <w:b/>
      <w:color w:val="17365D"/>
      <w:sz w:val="27"/>
    </w:rPr>
  </w:style>
  <w:style w:type="paragraph" w:styleId="Heading2">
    <w:name w:val="heading 2"/>
    <w:basedOn w:val="Heading1"/>
    <w:pPr>
      <w:outlineLvl w:val="1"/>
    </w:pPr>
    <w:rPr>
      <w:sz w:val="24"/>
    </w:rPr>
  </w:style>
  <w:style w:type="paragraph" w:styleId="TableText">
    <w:name w:val="Table Text"/>
    <w:basedOn w:val="Normal"/>
    <w:pPr>
      <w:spacing w:after="0"/>
    </w:pPr>
    <w:rPr>
      <w:sz w:val="19"/>
    </w:rPr>
  </w:style>
  <w:style w:type="paragraph" w:styleId="TableHeader">
    <w:name w:val="Table Header"/>
    <w:basedOn w:val="TableText"/>
    <w:rPr>
      <w:b/>
      <w:color w:val="FFFFFF"/>
      <w:sz w:val="19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