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18B28" w14:textId="170AFB17" w:rsidR="008531FA" w:rsidRDefault="00FA0B28" w:rsidP="76110E51">
      <w:pPr>
        <w:tabs>
          <w:tab w:val="left" w:pos="1170"/>
        </w:tabs>
        <w:rPr>
          <w:rFonts w:eastAsiaTheme="minorEastAsia" w:cstheme="minorBidi"/>
          <w:szCs w:val="22"/>
          <w:lang w:eastAsia="ja-JP"/>
        </w:rPr>
      </w:pPr>
      <w:r w:rsidRPr="50FB6108">
        <w:rPr>
          <w:rFonts w:eastAsiaTheme="minorEastAsia" w:cstheme="minorBidi"/>
          <w:lang w:eastAsia="ja-JP"/>
        </w:rPr>
        <w:t xml:space="preserve"> </w:t>
      </w:r>
    </w:p>
    <w:p w14:paraId="42342BA2" w14:textId="13FADFA7" w:rsidR="76110E51" w:rsidRDefault="76110E51" w:rsidP="76110E51"/>
    <w:p w14:paraId="7EC9794E" w14:textId="57CC91F9" w:rsidR="76110E51" w:rsidRDefault="00292E94" w:rsidP="76110E51">
      <w:r w:rsidRPr="00B22145">
        <w:rPr>
          <w:noProof/>
        </w:rPr>
        <w:drawing>
          <wp:anchor distT="0" distB="0" distL="114300" distR="114300" simplePos="0" relativeHeight="251658240" behindDoc="0" locked="0" layoutInCell="1" allowOverlap="1" wp14:anchorId="6D9D043F" wp14:editId="6400BB20">
            <wp:simplePos x="0" y="0"/>
            <wp:positionH relativeFrom="column">
              <wp:posOffset>788035</wp:posOffset>
            </wp:positionH>
            <wp:positionV relativeFrom="paragraph">
              <wp:posOffset>471170</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646F52A7" w14:textId="164B0A08" w:rsidR="76110E51" w:rsidRDefault="76110E51" w:rsidP="76110E51"/>
    <w:p w14:paraId="07013916" w14:textId="5C072518" w:rsidR="76110E51" w:rsidRDefault="76110E51" w:rsidP="76110E51"/>
    <w:p w14:paraId="0D0C8244" w14:textId="60493657" w:rsidR="76110E51" w:rsidRDefault="76110E51" w:rsidP="76110E51"/>
    <w:p w14:paraId="2A0021FC" w14:textId="09A3C89A" w:rsidR="76110E51" w:rsidRDefault="76110E51" w:rsidP="76110E51"/>
    <w:p w14:paraId="1D8CF9E5" w14:textId="22C490AF" w:rsidR="76110E51" w:rsidRDefault="76110E51" w:rsidP="76110E51"/>
    <w:p w14:paraId="4B254381" w14:textId="6E444113" w:rsidR="76110E51" w:rsidRDefault="76110E51" w:rsidP="76110E51"/>
    <w:p w14:paraId="68344B9F" w14:textId="2B269047" w:rsidR="00E74320" w:rsidRPr="00E74320" w:rsidRDefault="00E74320" w:rsidP="00E74320"/>
    <w:p w14:paraId="0A1BED17" w14:textId="5F31EB5A" w:rsidR="76110E51" w:rsidRDefault="000E29C9" w:rsidP="000E29C9">
      <w:pPr>
        <w:jc w:val="center"/>
      </w:pPr>
      <w:r>
        <w:rPr>
          <w:rFonts w:ascii="Calibri Light" w:eastAsia="Calibri Light" w:hAnsi="Calibri Light" w:cs="Calibri Light"/>
          <w:sz w:val="48"/>
          <w:szCs w:val="44"/>
        </w:rPr>
        <w:t xml:space="preserve">eBook: SQL Adoption Aligned to </w:t>
      </w:r>
      <w:r w:rsidRPr="00622DCD">
        <w:rPr>
          <w:rFonts w:ascii="Calibri Light" w:eastAsia="Calibri Light" w:hAnsi="Calibri Light" w:cs="Calibri Light"/>
          <w:sz w:val="48"/>
          <w:szCs w:val="44"/>
        </w:rPr>
        <w:t xml:space="preserve">Azure Cloud Adoption Framework </w:t>
      </w:r>
      <w:r>
        <w:rPr>
          <w:rFonts w:ascii="Calibri Light" w:eastAsia="Calibri Light" w:hAnsi="Calibri Light" w:cs="Calibri Light"/>
          <w:sz w:val="48"/>
          <w:szCs w:val="44"/>
        </w:rPr>
        <w:t xml:space="preserve"> </w:t>
      </w:r>
    </w:p>
    <w:p w14:paraId="38EA8EB0" w14:textId="4D0C7A0F" w:rsidR="76110E51" w:rsidRDefault="76110E51" w:rsidP="76110E51">
      <w:pPr>
        <w:spacing w:line="257" w:lineRule="auto"/>
      </w:pPr>
    </w:p>
    <w:p w14:paraId="6BF58711" w14:textId="1AD19765" w:rsidR="2465D7A3" w:rsidRDefault="2465D7A3" w:rsidP="2465D7A3">
      <w:pPr>
        <w:spacing w:line="257" w:lineRule="auto"/>
      </w:pPr>
    </w:p>
    <w:p w14:paraId="535F9410" w14:textId="4A0DFA12" w:rsidR="00FA0B28" w:rsidRDefault="00FA0B28" w:rsidP="7D3A18CB">
      <w:pPr>
        <w:tabs>
          <w:tab w:val="left" w:pos="1170"/>
        </w:tabs>
        <w:spacing w:line="257" w:lineRule="auto"/>
      </w:pPr>
      <w:r>
        <w:br/>
      </w:r>
    </w:p>
    <w:p w14:paraId="27E52039" w14:textId="279B3B23" w:rsidR="00FA0B28" w:rsidRDefault="00FA0B28" w:rsidP="7D3A18CB">
      <w:pPr>
        <w:tabs>
          <w:tab w:val="left" w:pos="1170"/>
        </w:tabs>
        <w:rPr>
          <w:rFonts w:eastAsiaTheme="minorEastAsia"/>
        </w:rPr>
      </w:pPr>
      <w:r>
        <w:br/>
      </w:r>
    </w:p>
    <w:p w14:paraId="58E2728D" w14:textId="53998EA9" w:rsidR="7D3A18CB" w:rsidRDefault="7D3A18CB">
      <w:r>
        <w:br w:type="page"/>
      </w:r>
    </w:p>
    <w:p w14:paraId="7B838ECF" w14:textId="162AA6EB" w:rsidR="7D3A18CB" w:rsidRDefault="7D3A18CB" w:rsidP="001D7C2E">
      <w:pPr>
        <w:rPr>
          <w:rFonts w:eastAsiaTheme="minorEastAsia"/>
          <w:lang w:eastAsia="ja-JP"/>
        </w:rPr>
      </w:pPr>
    </w:p>
    <w:p w14:paraId="4A3B2BB9" w14:textId="7B540181" w:rsidR="00106CAD" w:rsidRPr="00203D8F" w:rsidRDefault="00234BFA" w:rsidP="00203D8F">
      <w:pPr>
        <w:jc w:val="center"/>
        <w:rPr>
          <w:b/>
          <w:sz w:val="28"/>
        </w:rPr>
      </w:pPr>
      <w:r w:rsidRPr="00203D8F">
        <w:rPr>
          <w:b/>
          <w:sz w:val="28"/>
        </w:rPr>
        <w:t xml:space="preserve">List of </w:t>
      </w:r>
      <w:r w:rsidR="001D7C2E">
        <w:rPr>
          <w:b/>
          <w:sz w:val="28"/>
        </w:rPr>
        <w:t>C</w:t>
      </w:r>
      <w:r w:rsidRPr="00203D8F">
        <w:rPr>
          <w:b/>
          <w:sz w:val="28"/>
        </w:rPr>
        <w:t>ontents</w:t>
      </w:r>
    </w:p>
    <w:p w14:paraId="28DA8FD9" w14:textId="60DD04B5" w:rsidR="0042426E" w:rsidRDefault="00106CAD">
      <w:pPr>
        <w:pStyle w:val="TOC1"/>
        <w:rPr>
          <w:rFonts w:eastAsiaTheme="minorEastAsia" w:cstheme="minorBidi"/>
          <w:noProof/>
          <w:szCs w:val="22"/>
        </w:rPr>
      </w:pPr>
      <w:r>
        <w:fldChar w:fldCharType="begin"/>
      </w:r>
      <w:r>
        <w:instrText xml:space="preserve"> TOC \o "1-3" \h \z \u </w:instrText>
      </w:r>
      <w:r>
        <w:fldChar w:fldCharType="separate"/>
      </w:r>
      <w:hyperlink w:anchor="_Toc44316288" w:history="1">
        <w:r w:rsidR="0042426E" w:rsidRPr="00F333BC">
          <w:rPr>
            <w:rStyle w:val="Hyperlink"/>
            <w:rFonts w:eastAsiaTheme="majorEastAsia"/>
            <w:noProof/>
          </w:rPr>
          <w:t>Introduction</w:t>
        </w:r>
        <w:r w:rsidR="0042426E">
          <w:rPr>
            <w:noProof/>
            <w:webHidden/>
          </w:rPr>
          <w:tab/>
        </w:r>
        <w:r w:rsidR="0042426E">
          <w:rPr>
            <w:noProof/>
            <w:webHidden/>
          </w:rPr>
          <w:fldChar w:fldCharType="begin"/>
        </w:r>
        <w:r w:rsidR="0042426E">
          <w:rPr>
            <w:noProof/>
            <w:webHidden/>
          </w:rPr>
          <w:instrText xml:space="preserve"> PAGEREF _Toc44316288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63CD44C8" w14:textId="7398E111" w:rsidR="0042426E" w:rsidRDefault="001C4E92">
      <w:pPr>
        <w:pStyle w:val="TOC1"/>
        <w:rPr>
          <w:rFonts w:eastAsiaTheme="minorEastAsia" w:cstheme="minorBidi"/>
          <w:noProof/>
          <w:szCs w:val="22"/>
        </w:rPr>
      </w:pPr>
      <w:hyperlink w:anchor="_Toc44316289" w:history="1">
        <w:r w:rsidR="0042426E" w:rsidRPr="00F333BC">
          <w:rPr>
            <w:rStyle w:val="Hyperlink"/>
            <w:rFonts w:eastAsiaTheme="majorEastAsia"/>
            <w:noProof/>
          </w:rPr>
          <w:t>1.</w:t>
        </w:r>
        <w:r w:rsidR="0042426E">
          <w:rPr>
            <w:rFonts w:eastAsiaTheme="minorEastAsia" w:cstheme="minorBidi"/>
            <w:noProof/>
            <w:szCs w:val="22"/>
          </w:rPr>
          <w:tab/>
        </w:r>
        <w:r w:rsidR="0042426E" w:rsidRPr="00F333BC">
          <w:rPr>
            <w:rStyle w:val="Hyperlink"/>
            <w:rFonts w:eastAsiaTheme="majorEastAsia"/>
            <w:noProof/>
          </w:rPr>
          <w:t>Strategy</w:t>
        </w:r>
        <w:r w:rsidR="0042426E">
          <w:rPr>
            <w:noProof/>
            <w:webHidden/>
          </w:rPr>
          <w:tab/>
        </w:r>
        <w:r w:rsidR="0042426E">
          <w:rPr>
            <w:noProof/>
            <w:webHidden/>
          </w:rPr>
          <w:fldChar w:fldCharType="begin"/>
        </w:r>
        <w:r w:rsidR="0042426E">
          <w:rPr>
            <w:noProof/>
            <w:webHidden/>
          </w:rPr>
          <w:instrText xml:space="preserve"> PAGEREF _Toc44316289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54D49B66" w14:textId="2B1364B9" w:rsidR="0042426E" w:rsidRDefault="001C4E92">
      <w:pPr>
        <w:pStyle w:val="TOC2"/>
        <w:tabs>
          <w:tab w:val="left" w:pos="880"/>
          <w:tab w:val="right" w:leader="dot" w:pos="10421"/>
        </w:tabs>
        <w:rPr>
          <w:rFonts w:eastAsiaTheme="minorEastAsia" w:cstheme="minorBidi"/>
          <w:noProof/>
          <w:szCs w:val="22"/>
        </w:rPr>
      </w:pPr>
      <w:hyperlink w:anchor="_Toc44316290" w:history="1">
        <w:r w:rsidR="0042426E" w:rsidRPr="00F333BC">
          <w:rPr>
            <w:rStyle w:val="Hyperlink"/>
            <w:rFonts w:eastAsiaTheme="majorEastAsia"/>
            <w:noProof/>
          </w:rPr>
          <w:t>1.1</w:t>
        </w:r>
        <w:r w:rsidR="0042426E">
          <w:rPr>
            <w:rFonts w:eastAsiaTheme="minorEastAsia" w:cstheme="minorBidi"/>
            <w:noProof/>
            <w:szCs w:val="22"/>
          </w:rPr>
          <w:tab/>
        </w:r>
        <w:r w:rsidR="0042426E" w:rsidRPr="00F333BC">
          <w:rPr>
            <w:rStyle w:val="Hyperlink"/>
            <w:rFonts w:eastAsiaTheme="majorEastAsia"/>
            <w:noProof/>
          </w:rPr>
          <w:t>Understanding Business Motivations</w:t>
        </w:r>
        <w:r w:rsidR="0042426E">
          <w:rPr>
            <w:noProof/>
            <w:webHidden/>
          </w:rPr>
          <w:tab/>
        </w:r>
        <w:r w:rsidR="0042426E">
          <w:rPr>
            <w:noProof/>
            <w:webHidden/>
          </w:rPr>
          <w:fldChar w:fldCharType="begin"/>
        </w:r>
        <w:r w:rsidR="0042426E">
          <w:rPr>
            <w:noProof/>
            <w:webHidden/>
          </w:rPr>
          <w:instrText xml:space="preserve"> PAGEREF _Toc44316290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7B5A83B9" w14:textId="6C347D75" w:rsidR="0042426E" w:rsidRDefault="001C4E92">
      <w:pPr>
        <w:pStyle w:val="TOC3"/>
        <w:tabs>
          <w:tab w:val="left" w:pos="1320"/>
          <w:tab w:val="right" w:leader="dot" w:pos="10421"/>
        </w:tabs>
        <w:rPr>
          <w:rFonts w:eastAsiaTheme="minorEastAsia" w:cstheme="minorBidi"/>
          <w:noProof/>
          <w:szCs w:val="22"/>
        </w:rPr>
      </w:pPr>
      <w:hyperlink w:anchor="_Toc44316291" w:history="1">
        <w:r w:rsidR="0042426E" w:rsidRPr="00F333BC">
          <w:rPr>
            <w:rStyle w:val="Hyperlink"/>
            <w:rFonts w:eastAsiaTheme="majorEastAsia"/>
            <w:noProof/>
          </w:rPr>
          <w:t>1.1.1</w:t>
        </w:r>
        <w:r w:rsidR="0042426E">
          <w:rPr>
            <w:rFonts w:eastAsiaTheme="minorEastAsia" w:cstheme="minorBidi"/>
            <w:noProof/>
            <w:szCs w:val="22"/>
          </w:rPr>
          <w:tab/>
        </w:r>
        <w:r w:rsidR="0042426E" w:rsidRPr="00F333BC">
          <w:rPr>
            <w:rStyle w:val="Hyperlink"/>
            <w:rFonts w:eastAsiaTheme="majorEastAsia"/>
            <w:noProof/>
          </w:rPr>
          <w:t>Cost</w:t>
        </w:r>
        <w:r w:rsidR="0042426E">
          <w:rPr>
            <w:noProof/>
            <w:webHidden/>
          </w:rPr>
          <w:tab/>
        </w:r>
        <w:r w:rsidR="0042426E">
          <w:rPr>
            <w:noProof/>
            <w:webHidden/>
          </w:rPr>
          <w:fldChar w:fldCharType="begin"/>
        </w:r>
        <w:r w:rsidR="0042426E">
          <w:rPr>
            <w:noProof/>
            <w:webHidden/>
          </w:rPr>
          <w:instrText xml:space="preserve"> PAGEREF _Toc44316291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5A7C5115" w14:textId="1AC0C1AF" w:rsidR="0042426E" w:rsidRDefault="001C4E92">
      <w:pPr>
        <w:pStyle w:val="TOC3"/>
        <w:tabs>
          <w:tab w:val="left" w:pos="1320"/>
          <w:tab w:val="right" w:leader="dot" w:pos="10421"/>
        </w:tabs>
        <w:rPr>
          <w:rFonts w:eastAsiaTheme="minorEastAsia" w:cstheme="minorBidi"/>
          <w:noProof/>
          <w:szCs w:val="22"/>
        </w:rPr>
      </w:pPr>
      <w:hyperlink w:anchor="_Toc44316292" w:history="1">
        <w:r w:rsidR="0042426E" w:rsidRPr="00F333BC">
          <w:rPr>
            <w:rStyle w:val="Hyperlink"/>
            <w:rFonts w:eastAsiaTheme="majorEastAsia"/>
            <w:noProof/>
          </w:rPr>
          <w:t>1.1.2</w:t>
        </w:r>
        <w:r w:rsidR="0042426E">
          <w:rPr>
            <w:rFonts w:eastAsiaTheme="minorEastAsia" w:cstheme="minorBidi"/>
            <w:noProof/>
            <w:szCs w:val="22"/>
          </w:rPr>
          <w:tab/>
        </w:r>
        <w:r w:rsidR="0042426E" w:rsidRPr="00F333BC">
          <w:rPr>
            <w:rStyle w:val="Hyperlink"/>
            <w:rFonts w:eastAsiaTheme="majorEastAsia"/>
            <w:noProof/>
          </w:rPr>
          <w:t>Security</w:t>
        </w:r>
        <w:r w:rsidR="0042426E">
          <w:rPr>
            <w:noProof/>
            <w:webHidden/>
          </w:rPr>
          <w:tab/>
        </w:r>
        <w:r w:rsidR="0042426E">
          <w:rPr>
            <w:noProof/>
            <w:webHidden/>
          </w:rPr>
          <w:fldChar w:fldCharType="begin"/>
        </w:r>
        <w:r w:rsidR="0042426E">
          <w:rPr>
            <w:noProof/>
            <w:webHidden/>
          </w:rPr>
          <w:instrText xml:space="preserve"> PAGEREF _Toc44316292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6E3F7CA6" w14:textId="56FEB752" w:rsidR="0042426E" w:rsidRDefault="001C4E92">
      <w:pPr>
        <w:pStyle w:val="TOC3"/>
        <w:tabs>
          <w:tab w:val="left" w:pos="1320"/>
          <w:tab w:val="right" w:leader="dot" w:pos="10421"/>
        </w:tabs>
        <w:rPr>
          <w:rFonts w:eastAsiaTheme="minorEastAsia" w:cstheme="minorBidi"/>
          <w:noProof/>
          <w:szCs w:val="22"/>
        </w:rPr>
      </w:pPr>
      <w:hyperlink w:anchor="_Toc44316293" w:history="1">
        <w:r w:rsidR="0042426E" w:rsidRPr="00F333BC">
          <w:rPr>
            <w:rStyle w:val="Hyperlink"/>
            <w:rFonts w:eastAsiaTheme="majorEastAsia"/>
            <w:noProof/>
          </w:rPr>
          <w:t>1.1.3</w:t>
        </w:r>
        <w:r w:rsidR="0042426E">
          <w:rPr>
            <w:rFonts w:eastAsiaTheme="minorEastAsia" w:cstheme="minorBidi"/>
            <w:noProof/>
            <w:szCs w:val="22"/>
          </w:rPr>
          <w:tab/>
        </w:r>
        <w:r w:rsidR="0042426E" w:rsidRPr="00F333BC">
          <w:rPr>
            <w:rStyle w:val="Hyperlink"/>
            <w:rFonts w:eastAsiaTheme="majorEastAsia"/>
            <w:noProof/>
          </w:rPr>
          <w:t>Scale</w:t>
        </w:r>
        <w:r w:rsidR="0042426E">
          <w:rPr>
            <w:noProof/>
            <w:webHidden/>
          </w:rPr>
          <w:tab/>
        </w:r>
        <w:r w:rsidR="0042426E">
          <w:rPr>
            <w:noProof/>
            <w:webHidden/>
          </w:rPr>
          <w:fldChar w:fldCharType="begin"/>
        </w:r>
        <w:r w:rsidR="0042426E">
          <w:rPr>
            <w:noProof/>
            <w:webHidden/>
          </w:rPr>
          <w:instrText xml:space="preserve"> PAGEREF _Toc44316293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149DED56" w14:textId="126E96E5" w:rsidR="0042426E" w:rsidRDefault="001C4E92">
      <w:pPr>
        <w:pStyle w:val="TOC3"/>
        <w:tabs>
          <w:tab w:val="left" w:pos="1320"/>
          <w:tab w:val="right" w:leader="dot" w:pos="10421"/>
        </w:tabs>
        <w:rPr>
          <w:rFonts w:eastAsiaTheme="minorEastAsia" w:cstheme="minorBidi"/>
          <w:noProof/>
          <w:szCs w:val="22"/>
        </w:rPr>
      </w:pPr>
      <w:hyperlink w:anchor="_Toc44316294" w:history="1">
        <w:r w:rsidR="0042426E" w:rsidRPr="00F333BC">
          <w:rPr>
            <w:rStyle w:val="Hyperlink"/>
            <w:rFonts w:eastAsiaTheme="majorEastAsia"/>
            <w:noProof/>
          </w:rPr>
          <w:t>1.1.4</w:t>
        </w:r>
        <w:r w:rsidR="0042426E">
          <w:rPr>
            <w:rFonts w:eastAsiaTheme="minorEastAsia" w:cstheme="minorBidi"/>
            <w:noProof/>
            <w:szCs w:val="22"/>
          </w:rPr>
          <w:tab/>
        </w:r>
        <w:r w:rsidR="0042426E" w:rsidRPr="00F333BC">
          <w:rPr>
            <w:rStyle w:val="Hyperlink"/>
            <w:rFonts w:eastAsiaTheme="majorEastAsia"/>
            <w:noProof/>
          </w:rPr>
          <w:t>Innovation</w:t>
        </w:r>
        <w:r w:rsidR="0042426E">
          <w:rPr>
            <w:noProof/>
            <w:webHidden/>
          </w:rPr>
          <w:tab/>
        </w:r>
        <w:r w:rsidR="0042426E">
          <w:rPr>
            <w:noProof/>
            <w:webHidden/>
          </w:rPr>
          <w:fldChar w:fldCharType="begin"/>
        </w:r>
        <w:r w:rsidR="0042426E">
          <w:rPr>
            <w:noProof/>
            <w:webHidden/>
          </w:rPr>
          <w:instrText xml:space="preserve"> PAGEREF _Toc44316294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09A6A7A1" w14:textId="3B4E1DBA" w:rsidR="0042426E" w:rsidRDefault="001C4E92">
      <w:pPr>
        <w:pStyle w:val="TOC2"/>
        <w:tabs>
          <w:tab w:val="left" w:pos="880"/>
          <w:tab w:val="right" w:leader="dot" w:pos="10421"/>
        </w:tabs>
        <w:rPr>
          <w:rFonts w:eastAsiaTheme="minorEastAsia" w:cstheme="minorBidi"/>
          <w:noProof/>
          <w:szCs w:val="22"/>
        </w:rPr>
      </w:pPr>
      <w:hyperlink w:anchor="_Toc44316295" w:history="1">
        <w:r w:rsidR="0042426E" w:rsidRPr="00F333BC">
          <w:rPr>
            <w:rStyle w:val="Hyperlink"/>
            <w:rFonts w:eastAsiaTheme="majorEastAsia"/>
            <w:noProof/>
          </w:rPr>
          <w:t>1.2</w:t>
        </w:r>
        <w:r w:rsidR="0042426E">
          <w:rPr>
            <w:rFonts w:eastAsiaTheme="minorEastAsia" w:cstheme="minorBidi"/>
            <w:noProof/>
            <w:szCs w:val="22"/>
          </w:rPr>
          <w:tab/>
        </w:r>
        <w:r w:rsidR="0042426E" w:rsidRPr="00F333BC">
          <w:rPr>
            <w:rStyle w:val="Hyperlink"/>
            <w:rFonts w:eastAsiaTheme="majorEastAsia"/>
            <w:noProof/>
          </w:rPr>
          <w:t>Business Outcomes</w:t>
        </w:r>
        <w:r w:rsidR="0042426E">
          <w:rPr>
            <w:noProof/>
            <w:webHidden/>
          </w:rPr>
          <w:tab/>
        </w:r>
        <w:r w:rsidR="0042426E">
          <w:rPr>
            <w:noProof/>
            <w:webHidden/>
          </w:rPr>
          <w:fldChar w:fldCharType="begin"/>
        </w:r>
        <w:r w:rsidR="0042426E">
          <w:rPr>
            <w:noProof/>
            <w:webHidden/>
          </w:rPr>
          <w:instrText xml:space="preserve"> PAGEREF _Toc44316295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5979857B" w14:textId="3760BC36" w:rsidR="0042426E" w:rsidRDefault="001C4E92">
      <w:pPr>
        <w:pStyle w:val="TOC3"/>
        <w:tabs>
          <w:tab w:val="left" w:pos="1320"/>
          <w:tab w:val="right" w:leader="dot" w:pos="10421"/>
        </w:tabs>
        <w:rPr>
          <w:rFonts w:eastAsiaTheme="minorEastAsia" w:cstheme="minorBidi"/>
          <w:noProof/>
          <w:szCs w:val="22"/>
        </w:rPr>
      </w:pPr>
      <w:hyperlink w:anchor="_Toc44316296" w:history="1">
        <w:r w:rsidR="0042426E" w:rsidRPr="00F333BC">
          <w:rPr>
            <w:rStyle w:val="Hyperlink"/>
            <w:rFonts w:eastAsiaTheme="majorEastAsia"/>
            <w:noProof/>
          </w:rPr>
          <w:t>1.2.1</w:t>
        </w:r>
        <w:r w:rsidR="0042426E">
          <w:rPr>
            <w:rFonts w:eastAsiaTheme="minorEastAsia" w:cstheme="minorBidi"/>
            <w:noProof/>
            <w:szCs w:val="22"/>
          </w:rPr>
          <w:tab/>
        </w:r>
        <w:r w:rsidR="0042426E" w:rsidRPr="00F333BC">
          <w:rPr>
            <w:rStyle w:val="Hyperlink"/>
            <w:rFonts w:eastAsiaTheme="majorEastAsia"/>
            <w:noProof/>
          </w:rPr>
          <w:t>Fiscal Outcomes</w:t>
        </w:r>
        <w:r w:rsidR="0042426E">
          <w:rPr>
            <w:noProof/>
            <w:webHidden/>
          </w:rPr>
          <w:tab/>
        </w:r>
        <w:r w:rsidR="0042426E">
          <w:rPr>
            <w:noProof/>
            <w:webHidden/>
          </w:rPr>
          <w:fldChar w:fldCharType="begin"/>
        </w:r>
        <w:r w:rsidR="0042426E">
          <w:rPr>
            <w:noProof/>
            <w:webHidden/>
          </w:rPr>
          <w:instrText xml:space="preserve"> PAGEREF _Toc44316296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2602B027" w14:textId="6A16DA41" w:rsidR="0042426E" w:rsidRDefault="001C4E92">
      <w:pPr>
        <w:pStyle w:val="TOC3"/>
        <w:tabs>
          <w:tab w:val="left" w:pos="1320"/>
          <w:tab w:val="right" w:leader="dot" w:pos="10421"/>
        </w:tabs>
        <w:rPr>
          <w:rFonts w:eastAsiaTheme="minorEastAsia" w:cstheme="minorBidi"/>
          <w:noProof/>
          <w:szCs w:val="22"/>
        </w:rPr>
      </w:pPr>
      <w:hyperlink w:anchor="_Toc44316297" w:history="1">
        <w:r w:rsidR="0042426E" w:rsidRPr="00F333BC">
          <w:rPr>
            <w:rStyle w:val="Hyperlink"/>
            <w:rFonts w:eastAsiaTheme="majorEastAsia"/>
            <w:noProof/>
          </w:rPr>
          <w:t>1.2.2</w:t>
        </w:r>
        <w:r w:rsidR="0042426E">
          <w:rPr>
            <w:rFonts w:eastAsiaTheme="minorEastAsia" w:cstheme="minorBidi"/>
            <w:noProof/>
            <w:szCs w:val="22"/>
          </w:rPr>
          <w:tab/>
        </w:r>
        <w:r w:rsidR="0042426E" w:rsidRPr="00F333BC">
          <w:rPr>
            <w:rStyle w:val="Hyperlink"/>
            <w:rFonts w:eastAsiaTheme="majorEastAsia"/>
            <w:noProof/>
          </w:rPr>
          <w:t>Agility Outcomes</w:t>
        </w:r>
        <w:r w:rsidR="0042426E">
          <w:rPr>
            <w:noProof/>
            <w:webHidden/>
          </w:rPr>
          <w:tab/>
        </w:r>
        <w:r w:rsidR="0042426E">
          <w:rPr>
            <w:noProof/>
            <w:webHidden/>
          </w:rPr>
          <w:fldChar w:fldCharType="begin"/>
        </w:r>
        <w:r w:rsidR="0042426E">
          <w:rPr>
            <w:noProof/>
            <w:webHidden/>
          </w:rPr>
          <w:instrText xml:space="preserve"> PAGEREF _Toc44316297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502C944B" w14:textId="46C1C935" w:rsidR="0042426E" w:rsidRDefault="001C4E92">
      <w:pPr>
        <w:pStyle w:val="TOC3"/>
        <w:tabs>
          <w:tab w:val="left" w:pos="1320"/>
          <w:tab w:val="right" w:leader="dot" w:pos="10421"/>
        </w:tabs>
        <w:rPr>
          <w:rFonts w:eastAsiaTheme="minorEastAsia" w:cstheme="minorBidi"/>
          <w:noProof/>
          <w:szCs w:val="22"/>
        </w:rPr>
      </w:pPr>
      <w:hyperlink w:anchor="_Toc44316298" w:history="1">
        <w:r w:rsidR="0042426E" w:rsidRPr="00F333BC">
          <w:rPr>
            <w:rStyle w:val="Hyperlink"/>
            <w:rFonts w:eastAsiaTheme="majorEastAsia"/>
            <w:noProof/>
          </w:rPr>
          <w:t>1.2.3</w:t>
        </w:r>
        <w:r w:rsidR="0042426E">
          <w:rPr>
            <w:rFonts w:eastAsiaTheme="minorEastAsia" w:cstheme="minorBidi"/>
            <w:noProof/>
            <w:szCs w:val="22"/>
          </w:rPr>
          <w:tab/>
        </w:r>
        <w:r w:rsidR="0042426E" w:rsidRPr="00F333BC">
          <w:rPr>
            <w:rStyle w:val="Hyperlink"/>
            <w:rFonts w:eastAsiaTheme="majorEastAsia"/>
            <w:noProof/>
          </w:rPr>
          <w:t>Reach Outcomes</w:t>
        </w:r>
        <w:r w:rsidR="0042426E">
          <w:rPr>
            <w:noProof/>
            <w:webHidden/>
          </w:rPr>
          <w:tab/>
        </w:r>
        <w:r w:rsidR="0042426E">
          <w:rPr>
            <w:noProof/>
            <w:webHidden/>
          </w:rPr>
          <w:fldChar w:fldCharType="begin"/>
        </w:r>
        <w:r w:rsidR="0042426E">
          <w:rPr>
            <w:noProof/>
            <w:webHidden/>
          </w:rPr>
          <w:instrText xml:space="preserve"> PAGEREF _Toc44316298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5941F010" w14:textId="33E7D251" w:rsidR="0042426E" w:rsidRDefault="001C4E92">
      <w:pPr>
        <w:pStyle w:val="TOC3"/>
        <w:tabs>
          <w:tab w:val="left" w:pos="1320"/>
          <w:tab w:val="right" w:leader="dot" w:pos="10421"/>
        </w:tabs>
        <w:rPr>
          <w:rFonts w:eastAsiaTheme="minorEastAsia" w:cstheme="minorBidi"/>
          <w:noProof/>
          <w:szCs w:val="22"/>
        </w:rPr>
      </w:pPr>
      <w:hyperlink w:anchor="_Toc44316299" w:history="1">
        <w:r w:rsidR="0042426E" w:rsidRPr="00F333BC">
          <w:rPr>
            <w:rStyle w:val="Hyperlink"/>
            <w:rFonts w:eastAsiaTheme="majorEastAsia"/>
            <w:noProof/>
          </w:rPr>
          <w:t>1.2.4</w:t>
        </w:r>
        <w:r w:rsidR="0042426E">
          <w:rPr>
            <w:rFonts w:eastAsiaTheme="minorEastAsia" w:cstheme="minorBidi"/>
            <w:noProof/>
            <w:szCs w:val="22"/>
          </w:rPr>
          <w:tab/>
        </w:r>
        <w:r w:rsidR="0042426E" w:rsidRPr="00F333BC">
          <w:rPr>
            <w:rStyle w:val="Hyperlink"/>
            <w:rFonts w:eastAsiaTheme="majorEastAsia"/>
            <w:noProof/>
          </w:rPr>
          <w:t>Customer Engagement Outcomes</w:t>
        </w:r>
        <w:r w:rsidR="0042426E">
          <w:rPr>
            <w:noProof/>
            <w:webHidden/>
          </w:rPr>
          <w:tab/>
        </w:r>
        <w:r w:rsidR="0042426E">
          <w:rPr>
            <w:noProof/>
            <w:webHidden/>
          </w:rPr>
          <w:fldChar w:fldCharType="begin"/>
        </w:r>
        <w:r w:rsidR="0042426E">
          <w:rPr>
            <w:noProof/>
            <w:webHidden/>
          </w:rPr>
          <w:instrText xml:space="preserve"> PAGEREF _Toc44316299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51A38874" w14:textId="4C6B61D4" w:rsidR="0042426E" w:rsidRDefault="001C4E92">
      <w:pPr>
        <w:pStyle w:val="TOC3"/>
        <w:tabs>
          <w:tab w:val="left" w:pos="1320"/>
          <w:tab w:val="right" w:leader="dot" w:pos="10421"/>
        </w:tabs>
        <w:rPr>
          <w:rFonts w:eastAsiaTheme="minorEastAsia" w:cstheme="minorBidi"/>
          <w:noProof/>
          <w:szCs w:val="22"/>
        </w:rPr>
      </w:pPr>
      <w:hyperlink w:anchor="_Toc44316300" w:history="1">
        <w:r w:rsidR="0042426E" w:rsidRPr="00F333BC">
          <w:rPr>
            <w:rStyle w:val="Hyperlink"/>
            <w:rFonts w:eastAsiaTheme="majorEastAsia"/>
            <w:noProof/>
          </w:rPr>
          <w:t>1.2.5</w:t>
        </w:r>
        <w:r w:rsidR="0042426E">
          <w:rPr>
            <w:rFonts w:eastAsiaTheme="minorEastAsia" w:cstheme="minorBidi"/>
            <w:noProof/>
            <w:szCs w:val="22"/>
          </w:rPr>
          <w:tab/>
        </w:r>
        <w:r w:rsidR="0042426E" w:rsidRPr="00F333BC">
          <w:rPr>
            <w:rStyle w:val="Hyperlink"/>
            <w:rFonts w:eastAsiaTheme="majorEastAsia"/>
            <w:noProof/>
          </w:rPr>
          <w:t>Performance Outcomes</w:t>
        </w:r>
        <w:r w:rsidR="0042426E">
          <w:rPr>
            <w:noProof/>
            <w:webHidden/>
          </w:rPr>
          <w:tab/>
        </w:r>
        <w:r w:rsidR="0042426E">
          <w:rPr>
            <w:noProof/>
            <w:webHidden/>
          </w:rPr>
          <w:fldChar w:fldCharType="begin"/>
        </w:r>
        <w:r w:rsidR="0042426E">
          <w:rPr>
            <w:noProof/>
            <w:webHidden/>
          </w:rPr>
          <w:instrText xml:space="preserve"> PAGEREF _Toc44316300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09B6A089" w14:textId="0EC0CD92" w:rsidR="0042426E" w:rsidRDefault="001C4E92">
      <w:pPr>
        <w:pStyle w:val="TOC2"/>
        <w:tabs>
          <w:tab w:val="left" w:pos="880"/>
          <w:tab w:val="right" w:leader="dot" w:pos="10421"/>
        </w:tabs>
        <w:rPr>
          <w:rFonts w:eastAsiaTheme="minorEastAsia" w:cstheme="minorBidi"/>
          <w:noProof/>
          <w:szCs w:val="22"/>
        </w:rPr>
      </w:pPr>
      <w:hyperlink w:anchor="_Toc44316301" w:history="1">
        <w:r w:rsidR="0042426E" w:rsidRPr="00F333BC">
          <w:rPr>
            <w:rStyle w:val="Hyperlink"/>
            <w:rFonts w:eastAsiaTheme="majorEastAsia"/>
            <w:noProof/>
          </w:rPr>
          <w:t>1.3</w:t>
        </w:r>
        <w:r w:rsidR="0042426E">
          <w:rPr>
            <w:rFonts w:eastAsiaTheme="minorEastAsia" w:cstheme="minorBidi"/>
            <w:noProof/>
            <w:szCs w:val="22"/>
          </w:rPr>
          <w:tab/>
        </w:r>
        <w:r w:rsidR="0042426E" w:rsidRPr="00F333BC">
          <w:rPr>
            <w:rStyle w:val="Hyperlink"/>
            <w:rFonts w:eastAsiaTheme="majorEastAsia"/>
            <w:noProof/>
          </w:rPr>
          <w:t>Business Justification</w:t>
        </w:r>
        <w:r w:rsidR="0042426E">
          <w:rPr>
            <w:noProof/>
            <w:webHidden/>
          </w:rPr>
          <w:tab/>
        </w:r>
        <w:r w:rsidR="0042426E">
          <w:rPr>
            <w:noProof/>
            <w:webHidden/>
          </w:rPr>
          <w:fldChar w:fldCharType="begin"/>
        </w:r>
        <w:r w:rsidR="0042426E">
          <w:rPr>
            <w:noProof/>
            <w:webHidden/>
          </w:rPr>
          <w:instrText xml:space="preserve"> PAGEREF _Toc44316301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3E396BCE" w14:textId="2A34D1B6" w:rsidR="0042426E" w:rsidRDefault="001C4E92">
      <w:pPr>
        <w:pStyle w:val="TOC3"/>
        <w:tabs>
          <w:tab w:val="left" w:pos="1320"/>
          <w:tab w:val="right" w:leader="dot" w:pos="10421"/>
        </w:tabs>
        <w:rPr>
          <w:rFonts w:eastAsiaTheme="minorEastAsia" w:cstheme="minorBidi"/>
          <w:noProof/>
          <w:szCs w:val="22"/>
        </w:rPr>
      </w:pPr>
      <w:hyperlink w:anchor="_Toc44316302" w:history="1">
        <w:r w:rsidR="0042426E" w:rsidRPr="00F333BC">
          <w:rPr>
            <w:rStyle w:val="Hyperlink"/>
            <w:rFonts w:eastAsiaTheme="majorEastAsia"/>
            <w:noProof/>
          </w:rPr>
          <w:t>1.3.1</w:t>
        </w:r>
        <w:r w:rsidR="0042426E">
          <w:rPr>
            <w:rFonts w:eastAsiaTheme="minorEastAsia" w:cstheme="minorBidi"/>
            <w:noProof/>
            <w:szCs w:val="22"/>
          </w:rPr>
          <w:tab/>
        </w:r>
        <w:r w:rsidR="0042426E" w:rsidRPr="00F333BC">
          <w:rPr>
            <w:rStyle w:val="Hyperlink"/>
            <w:rFonts w:eastAsiaTheme="majorEastAsia"/>
            <w:noProof/>
          </w:rPr>
          <w:t>Building business Justification</w:t>
        </w:r>
        <w:r w:rsidR="0042426E">
          <w:rPr>
            <w:noProof/>
            <w:webHidden/>
          </w:rPr>
          <w:tab/>
        </w:r>
        <w:r w:rsidR="0042426E">
          <w:rPr>
            <w:noProof/>
            <w:webHidden/>
          </w:rPr>
          <w:fldChar w:fldCharType="begin"/>
        </w:r>
        <w:r w:rsidR="0042426E">
          <w:rPr>
            <w:noProof/>
            <w:webHidden/>
          </w:rPr>
          <w:instrText xml:space="preserve"> PAGEREF _Toc44316302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3BE994FA" w14:textId="72E8FF98" w:rsidR="0042426E" w:rsidRDefault="001C4E92">
      <w:pPr>
        <w:pStyle w:val="TOC1"/>
        <w:rPr>
          <w:rFonts w:eastAsiaTheme="minorEastAsia" w:cstheme="minorBidi"/>
          <w:noProof/>
          <w:szCs w:val="22"/>
        </w:rPr>
      </w:pPr>
      <w:hyperlink w:anchor="_Toc44316303" w:history="1">
        <w:r w:rsidR="0042426E" w:rsidRPr="00F333BC">
          <w:rPr>
            <w:rStyle w:val="Hyperlink"/>
            <w:rFonts w:eastAsiaTheme="majorEastAsia"/>
            <w:noProof/>
          </w:rPr>
          <w:t>2.</w:t>
        </w:r>
        <w:r w:rsidR="0042426E">
          <w:rPr>
            <w:rFonts w:eastAsiaTheme="minorEastAsia" w:cstheme="minorBidi"/>
            <w:noProof/>
            <w:szCs w:val="22"/>
          </w:rPr>
          <w:tab/>
        </w:r>
        <w:r w:rsidR="0042426E" w:rsidRPr="00F333BC">
          <w:rPr>
            <w:rStyle w:val="Hyperlink"/>
            <w:rFonts w:eastAsiaTheme="majorEastAsia"/>
            <w:noProof/>
          </w:rPr>
          <w:t>Azure Total Cost Ownership Calculator (TCO)</w:t>
        </w:r>
        <w:r w:rsidR="0042426E">
          <w:rPr>
            <w:noProof/>
            <w:webHidden/>
          </w:rPr>
          <w:tab/>
        </w:r>
        <w:r w:rsidR="0042426E">
          <w:rPr>
            <w:noProof/>
            <w:webHidden/>
          </w:rPr>
          <w:fldChar w:fldCharType="begin"/>
        </w:r>
        <w:r w:rsidR="0042426E">
          <w:rPr>
            <w:noProof/>
            <w:webHidden/>
          </w:rPr>
          <w:instrText xml:space="preserve"> PAGEREF _Toc44316303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0B051E2E" w14:textId="166C6AB0" w:rsidR="0042426E" w:rsidRDefault="001C4E92">
      <w:pPr>
        <w:pStyle w:val="TOC2"/>
        <w:tabs>
          <w:tab w:val="left" w:pos="880"/>
          <w:tab w:val="right" w:leader="dot" w:pos="10421"/>
        </w:tabs>
        <w:rPr>
          <w:rFonts w:eastAsiaTheme="minorEastAsia" w:cstheme="minorBidi"/>
          <w:noProof/>
          <w:szCs w:val="22"/>
        </w:rPr>
      </w:pPr>
      <w:hyperlink w:anchor="_Toc44316306" w:history="1">
        <w:r w:rsidR="0042426E" w:rsidRPr="00F333BC">
          <w:rPr>
            <w:rStyle w:val="Hyperlink"/>
            <w:rFonts w:eastAsiaTheme="majorEastAsia"/>
            <w:noProof/>
          </w:rPr>
          <w:t>2.1</w:t>
        </w:r>
        <w:r w:rsidR="0042426E">
          <w:rPr>
            <w:rFonts w:eastAsiaTheme="minorEastAsia" w:cstheme="minorBidi"/>
            <w:noProof/>
            <w:szCs w:val="22"/>
          </w:rPr>
          <w:tab/>
        </w:r>
        <w:r w:rsidR="0042426E" w:rsidRPr="00F333BC">
          <w:rPr>
            <w:rStyle w:val="Hyperlink"/>
            <w:rFonts w:eastAsiaTheme="majorEastAsia"/>
            <w:noProof/>
          </w:rPr>
          <w:t>Overview</w:t>
        </w:r>
        <w:r w:rsidR="0042426E">
          <w:rPr>
            <w:noProof/>
            <w:webHidden/>
          </w:rPr>
          <w:tab/>
        </w:r>
        <w:r w:rsidR="0042426E">
          <w:rPr>
            <w:noProof/>
            <w:webHidden/>
          </w:rPr>
          <w:fldChar w:fldCharType="begin"/>
        </w:r>
        <w:r w:rsidR="0042426E">
          <w:rPr>
            <w:noProof/>
            <w:webHidden/>
          </w:rPr>
          <w:instrText xml:space="preserve"> PAGEREF _Toc44316306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5E6378A4" w14:textId="23A5308C" w:rsidR="0042426E" w:rsidRDefault="001C4E92">
      <w:pPr>
        <w:pStyle w:val="TOC2"/>
        <w:tabs>
          <w:tab w:val="left" w:pos="880"/>
          <w:tab w:val="right" w:leader="dot" w:pos="10421"/>
        </w:tabs>
        <w:rPr>
          <w:rFonts w:eastAsiaTheme="minorEastAsia" w:cstheme="minorBidi"/>
          <w:noProof/>
          <w:szCs w:val="22"/>
        </w:rPr>
      </w:pPr>
      <w:hyperlink w:anchor="_Toc44316307" w:history="1">
        <w:r w:rsidR="0042426E" w:rsidRPr="00F333BC">
          <w:rPr>
            <w:rStyle w:val="Hyperlink"/>
            <w:rFonts w:eastAsiaTheme="majorEastAsia"/>
            <w:noProof/>
          </w:rPr>
          <w:t>2.2</w:t>
        </w:r>
        <w:r w:rsidR="0042426E">
          <w:rPr>
            <w:rFonts w:eastAsiaTheme="minorEastAsia" w:cstheme="minorBidi"/>
            <w:noProof/>
            <w:szCs w:val="22"/>
          </w:rPr>
          <w:tab/>
        </w:r>
        <w:r w:rsidR="0042426E" w:rsidRPr="00F333BC">
          <w:rPr>
            <w:rStyle w:val="Hyperlink"/>
            <w:rFonts w:eastAsiaTheme="majorEastAsia"/>
            <w:noProof/>
          </w:rPr>
          <w:t>Define Workloads</w:t>
        </w:r>
        <w:r w:rsidR="0042426E">
          <w:rPr>
            <w:noProof/>
            <w:webHidden/>
          </w:rPr>
          <w:tab/>
        </w:r>
        <w:r w:rsidR="0042426E">
          <w:rPr>
            <w:noProof/>
            <w:webHidden/>
          </w:rPr>
          <w:fldChar w:fldCharType="begin"/>
        </w:r>
        <w:r w:rsidR="0042426E">
          <w:rPr>
            <w:noProof/>
            <w:webHidden/>
          </w:rPr>
          <w:instrText xml:space="preserve"> PAGEREF _Toc44316307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291812AE" w14:textId="2646347F" w:rsidR="0042426E" w:rsidRDefault="001C4E92">
      <w:pPr>
        <w:pStyle w:val="TOC3"/>
        <w:tabs>
          <w:tab w:val="left" w:pos="1320"/>
          <w:tab w:val="right" w:leader="dot" w:pos="10421"/>
        </w:tabs>
        <w:rPr>
          <w:rFonts w:eastAsiaTheme="minorEastAsia" w:cstheme="minorBidi"/>
          <w:noProof/>
          <w:szCs w:val="22"/>
        </w:rPr>
      </w:pPr>
      <w:hyperlink w:anchor="_Toc44316308" w:history="1">
        <w:r w:rsidR="0042426E" w:rsidRPr="00F333BC">
          <w:rPr>
            <w:rStyle w:val="Hyperlink"/>
            <w:rFonts w:eastAsiaTheme="majorEastAsia"/>
            <w:noProof/>
          </w:rPr>
          <w:t>2.2.1</w:t>
        </w:r>
        <w:r w:rsidR="0042426E">
          <w:rPr>
            <w:rFonts w:eastAsiaTheme="minorEastAsia" w:cstheme="minorBidi"/>
            <w:noProof/>
            <w:szCs w:val="22"/>
          </w:rPr>
          <w:tab/>
        </w:r>
        <w:r w:rsidR="0042426E" w:rsidRPr="00F333BC">
          <w:rPr>
            <w:rStyle w:val="Hyperlink"/>
            <w:rFonts w:eastAsiaTheme="majorEastAsia"/>
            <w:noProof/>
          </w:rPr>
          <w:t>Servers</w:t>
        </w:r>
        <w:r w:rsidR="0042426E">
          <w:rPr>
            <w:noProof/>
            <w:webHidden/>
          </w:rPr>
          <w:tab/>
        </w:r>
        <w:r w:rsidR="0042426E">
          <w:rPr>
            <w:noProof/>
            <w:webHidden/>
          </w:rPr>
          <w:fldChar w:fldCharType="begin"/>
        </w:r>
        <w:r w:rsidR="0042426E">
          <w:rPr>
            <w:noProof/>
            <w:webHidden/>
          </w:rPr>
          <w:instrText xml:space="preserve"> PAGEREF _Toc44316308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1B9174A8" w14:textId="77425994" w:rsidR="0042426E" w:rsidRDefault="001C4E92">
      <w:pPr>
        <w:pStyle w:val="TOC3"/>
        <w:tabs>
          <w:tab w:val="left" w:pos="1320"/>
          <w:tab w:val="right" w:leader="dot" w:pos="10421"/>
        </w:tabs>
        <w:rPr>
          <w:rFonts w:eastAsiaTheme="minorEastAsia" w:cstheme="minorBidi"/>
          <w:noProof/>
          <w:szCs w:val="22"/>
        </w:rPr>
      </w:pPr>
      <w:hyperlink w:anchor="_Toc44316309" w:history="1">
        <w:r w:rsidR="0042426E" w:rsidRPr="00F333BC">
          <w:rPr>
            <w:rStyle w:val="Hyperlink"/>
            <w:rFonts w:eastAsiaTheme="majorEastAsia"/>
            <w:noProof/>
          </w:rPr>
          <w:t>2.2.2</w:t>
        </w:r>
        <w:r w:rsidR="0042426E">
          <w:rPr>
            <w:rFonts w:eastAsiaTheme="minorEastAsia" w:cstheme="minorBidi"/>
            <w:noProof/>
            <w:szCs w:val="22"/>
          </w:rPr>
          <w:tab/>
        </w:r>
        <w:r w:rsidR="0042426E" w:rsidRPr="00F333BC">
          <w:rPr>
            <w:rStyle w:val="Hyperlink"/>
            <w:rFonts w:eastAsiaTheme="majorEastAsia"/>
            <w:noProof/>
          </w:rPr>
          <w:t>Databases</w:t>
        </w:r>
        <w:r w:rsidR="0042426E">
          <w:rPr>
            <w:noProof/>
            <w:webHidden/>
          </w:rPr>
          <w:tab/>
        </w:r>
        <w:r w:rsidR="0042426E">
          <w:rPr>
            <w:noProof/>
            <w:webHidden/>
          </w:rPr>
          <w:fldChar w:fldCharType="begin"/>
        </w:r>
        <w:r w:rsidR="0042426E">
          <w:rPr>
            <w:noProof/>
            <w:webHidden/>
          </w:rPr>
          <w:instrText xml:space="preserve"> PAGEREF _Toc44316309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36350389" w14:textId="0260C999" w:rsidR="0042426E" w:rsidRDefault="001C4E92">
      <w:pPr>
        <w:pStyle w:val="TOC3"/>
        <w:tabs>
          <w:tab w:val="left" w:pos="1320"/>
          <w:tab w:val="right" w:leader="dot" w:pos="10421"/>
        </w:tabs>
        <w:rPr>
          <w:rFonts w:eastAsiaTheme="minorEastAsia" w:cstheme="minorBidi"/>
          <w:noProof/>
          <w:szCs w:val="22"/>
        </w:rPr>
      </w:pPr>
      <w:hyperlink w:anchor="_Toc44316310" w:history="1">
        <w:r w:rsidR="0042426E" w:rsidRPr="00F333BC">
          <w:rPr>
            <w:rStyle w:val="Hyperlink"/>
            <w:rFonts w:eastAsiaTheme="majorEastAsia"/>
            <w:noProof/>
          </w:rPr>
          <w:t>2.2.3</w:t>
        </w:r>
        <w:r w:rsidR="0042426E">
          <w:rPr>
            <w:rFonts w:eastAsiaTheme="minorEastAsia" w:cstheme="minorBidi"/>
            <w:noProof/>
            <w:szCs w:val="22"/>
          </w:rPr>
          <w:tab/>
        </w:r>
        <w:r w:rsidR="0042426E" w:rsidRPr="00F333BC">
          <w:rPr>
            <w:rStyle w:val="Hyperlink"/>
            <w:rFonts w:eastAsiaTheme="majorEastAsia"/>
            <w:noProof/>
          </w:rPr>
          <w:t>Storage</w:t>
        </w:r>
        <w:r w:rsidR="0042426E">
          <w:rPr>
            <w:noProof/>
            <w:webHidden/>
          </w:rPr>
          <w:tab/>
        </w:r>
        <w:r w:rsidR="0042426E">
          <w:rPr>
            <w:noProof/>
            <w:webHidden/>
          </w:rPr>
          <w:fldChar w:fldCharType="begin"/>
        </w:r>
        <w:r w:rsidR="0042426E">
          <w:rPr>
            <w:noProof/>
            <w:webHidden/>
          </w:rPr>
          <w:instrText xml:space="preserve"> PAGEREF _Toc44316310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2AD56295" w14:textId="7520BD01" w:rsidR="0042426E" w:rsidRDefault="001C4E92">
      <w:pPr>
        <w:pStyle w:val="TOC3"/>
        <w:tabs>
          <w:tab w:val="left" w:pos="1320"/>
          <w:tab w:val="right" w:leader="dot" w:pos="10421"/>
        </w:tabs>
        <w:rPr>
          <w:rFonts w:eastAsiaTheme="minorEastAsia" w:cstheme="minorBidi"/>
          <w:noProof/>
          <w:szCs w:val="22"/>
        </w:rPr>
      </w:pPr>
      <w:hyperlink w:anchor="_Toc44316311" w:history="1">
        <w:r w:rsidR="0042426E" w:rsidRPr="00F333BC">
          <w:rPr>
            <w:rStyle w:val="Hyperlink"/>
            <w:rFonts w:eastAsiaTheme="majorEastAsia"/>
            <w:noProof/>
          </w:rPr>
          <w:t>2.2.4</w:t>
        </w:r>
        <w:r w:rsidR="0042426E">
          <w:rPr>
            <w:rFonts w:eastAsiaTheme="minorEastAsia" w:cstheme="minorBidi"/>
            <w:noProof/>
            <w:szCs w:val="22"/>
          </w:rPr>
          <w:tab/>
        </w:r>
        <w:r w:rsidR="0042426E" w:rsidRPr="00F333BC">
          <w:rPr>
            <w:rStyle w:val="Hyperlink"/>
            <w:rFonts w:eastAsiaTheme="majorEastAsia"/>
            <w:noProof/>
          </w:rPr>
          <w:t>Networking</w:t>
        </w:r>
        <w:r w:rsidR="0042426E">
          <w:rPr>
            <w:noProof/>
            <w:webHidden/>
          </w:rPr>
          <w:tab/>
        </w:r>
        <w:r w:rsidR="0042426E">
          <w:rPr>
            <w:noProof/>
            <w:webHidden/>
          </w:rPr>
          <w:fldChar w:fldCharType="begin"/>
        </w:r>
        <w:r w:rsidR="0042426E">
          <w:rPr>
            <w:noProof/>
            <w:webHidden/>
          </w:rPr>
          <w:instrText xml:space="preserve"> PAGEREF _Toc44316311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5733B05D" w14:textId="0635D839" w:rsidR="0042426E" w:rsidRDefault="001C4E92">
      <w:pPr>
        <w:pStyle w:val="TOC2"/>
        <w:tabs>
          <w:tab w:val="left" w:pos="880"/>
          <w:tab w:val="right" w:leader="dot" w:pos="10421"/>
        </w:tabs>
        <w:rPr>
          <w:rFonts w:eastAsiaTheme="minorEastAsia" w:cstheme="minorBidi"/>
          <w:noProof/>
          <w:szCs w:val="22"/>
        </w:rPr>
      </w:pPr>
      <w:hyperlink w:anchor="_Toc44316312" w:history="1">
        <w:r w:rsidR="0042426E" w:rsidRPr="00F333BC">
          <w:rPr>
            <w:rStyle w:val="Hyperlink"/>
            <w:rFonts w:eastAsiaTheme="majorEastAsia"/>
            <w:noProof/>
          </w:rPr>
          <w:t>2.3</w:t>
        </w:r>
        <w:r w:rsidR="0042426E">
          <w:rPr>
            <w:rFonts w:eastAsiaTheme="minorEastAsia" w:cstheme="minorBidi"/>
            <w:noProof/>
            <w:szCs w:val="22"/>
          </w:rPr>
          <w:tab/>
        </w:r>
        <w:r w:rsidR="0042426E" w:rsidRPr="00F333BC">
          <w:rPr>
            <w:rStyle w:val="Hyperlink"/>
            <w:rFonts w:eastAsiaTheme="majorEastAsia"/>
            <w:noProof/>
          </w:rPr>
          <w:t>Assumptions</w:t>
        </w:r>
        <w:r w:rsidR="0042426E">
          <w:rPr>
            <w:noProof/>
            <w:webHidden/>
          </w:rPr>
          <w:tab/>
        </w:r>
        <w:r w:rsidR="0042426E">
          <w:rPr>
            <w:noProof/>
            <w:webHidden/>
          </w:rPr>
          <w:fldChar w:fldCharType="begin"/>
        </w:r>
        <w:r w:rsidR="0042426E">
          <w:rPr>
            <w:noProof/>
            <w:webHidden/>
          </w:rPr>
          <w:instrText xml:space="preserve"> PAGEREF _Toc44316312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7501CF80" w14:textId="429C8625" w:rsidR="0042426E" w:rsidRDefault="001C4E92">
      <w:pPr>
        <w:pStyle w:val="TOC2"/>
        <w:tabs>
          <w:tab w:val="left" w:pos="880"/>
          <w:tab w:val="right" w:leader="dot" w:pos="10421"/>
        </w:tabs>
        <w:rPr>
          <w:rFonts w:eastAsiaTheme="minorEastAsia" w:cstheme="minorBidi"/>
          <w:noProof/>
          <w:szCs w:val="22"/>
        </w:rPr>
      </w:pPr>
      <w:hyperlink w:anchor="_Toc44316313" w:history="1">
        <w:r w:rsidR="0042426E" w:rsidRPr="00F333BC">
          <w:rPr>
            <w:rStyle w:val="Hyperlink"/>
            <w:rFonts w:eastAsiaTheme="majorEastAsia"/>
            <w:noProof/>
          </w:rPr>
          <w:t>2.4</w:t>
        </w:r>
        <w:r w:rsidR="0042426E">
          <w:rPr>
            <w:rFonts w:eastAsiaTheme="minorEastAsia" w:cstheme="minorBidi"/>
            <w:noProof/>
            <w:szCs w:val="22"/>
          </w:rPr>
          <w:tab/>
        </w:r>
        <w:r w:rsidR="0042426E" w:rsidRPr="00F333BC">
          <w:rPr>
            <w:rStyle w:val="Hyperlink"/>
            <w:rFonts w:eastAsiaTheme="majorEastAsia"/>
            <w:noProof/>
          </w:rPr>
          <w:t>Report</w:t>
        </w:r>
        <w:r w:rsidR="0042426E">
          <w:rPr>
            <w:noProof/>
            <w:webHidden/>
          </w:rPr>
          <w:tab/>
        </w:r>
        <w:r w:rsidR="0042426E">
          <w:rPr>
            <w:noProof/>
            <w:webHidden/>
          </w:rPr>
          <w:fldChar w:fldCharType="begin"/>
        </w:r>
        <w:r w:rsidR="0042426E">
          <w:rPr>
            <w:noProof/>
            <w:webHidden/>
          </w:rPr>
          <w:instrText xml:space="preserve"> PAGEREF _Toc44316313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5B093C63" w14:textId="61825B08" w:rsidR="00106CAD" w:rsidRDefault="00106CAD" w:rsidP="00A40854">
      <w:pPr>
        <w:rPr>
          <w:b/>
          <w:bCs/>
          <w:noProof/>
        </w:rPr>
      </w:pPr>
      <w:r>
        <w:rPr>
          <w:b/>
          <w:bCs/>
          <w:noProof/>
        </w:rPr>
        <w:fldChar w:fldCharType="end"/>
      </w:r>
    </w:p>
    <w:p w14:paraId="62F72782" w14:textId="3EB390B3" w:rsidR="002F569C" w:rsidRDefault="002F569C" w:rsidP="00A40854">
      <w:pPr>
        <w:rPr>
          <w:b/>
          <w:bCs/>
          <w:noProof/>
        </w:rPr>
      </w:pPr>
    </w:p>
    <w:p w14:paraId="5F9D47CF" w14:textId="2AC7AD80" w:rsidR="002F569C" w:rsidRPr="001375C2" w:rsidRDefault="002F569C" w:rsidP="002F569C">
      <w:pPr>
        <w:spacing w:after="160" w:line="259" w:lineRule="auto"/>
        <w:rPr>
          <w:rFonts w:ascii="Segoe UI" w:hAnsi="Segoe UI" w:cs="Segoe UI"/>
          <w:color w:val="0078D4"/>
          <w:szCs w:val="20"/>
        </w:rPr>
      </w:pPr>
      <w:r w:rsidRPr="7940C2C6">
        <w:rPr>
          <w:rFonts w:ascii="Calibri Light" w:eastAsiaTheme="majorEastAsia" w:hAnsi="Calibri Light" w:cs="Calibri Light"/>
          <w:color w:val="0078D4"/>
          <w:sz w:val="30"/>
          <w:szCs w:val="30"/>
        </w:rPr>
        <w:br w:type="page"/>
      </w:r>
      <w:r w:rsidRPr="001375C2">
        <w:rPr>
          <w:rFonts w:ascii="Segoe UI" w:hAnsi="Segoe UI" w:cs="Segoe UI"/>
          <w:color w:val="0078D4"/>
          <w:szCs w:val="20"/>
        </w:rPr>
        <w:t>Disclaimer</w:t>
      </w:r>
    </w:p>
    <w:p w14:paraId="2FD8C90F" w14:textId="77777777" w:rsidR="002F569C" w:rsidRPr="00214586" w:rsidRDefault="002F569C" w:rsidP="002F569C">
      <w:pPr>
        <w:spacing w:after="0" w:line="276" w:lineRule="auto"/>
        <w:jc w:val="both"/>
        <w:rPr>
          <w:rFonts w:ascii="Segoe UI" w:hAnsi="Segoe UI" w:cs="Segoe UI"/>
          <w:sz w:val="20"/>
          <w:szCs w:val="20"/>
        </w:rPr>
      </w:pPr>
      <w:r w:rsidRPr="00214586">
        <w:rPr>
          <w:rFonts w:ascii="Segoe UI" w:hAnsi="Segoe UI" w:cs="Segoe UI"/>
          <w:sz w:val="20"/>
          <w:szCs w:val="20"/>
        </w:rPr>
        <w:t xml:space="preserve">© 2020 Microsoft Corporation. All rights reserved. This document is provided "as-is." Information and views expressed in this document, including URL and other Internet Web site references, may change without notice. </w:t>
      </w:r>
    </w:p>
    <w:p w14:paraId="2AA61DC4" w14:textId="77777777" w:rsidR="002F569C" w:rsidRPr="00214586" w:rsidRDefault="002F569C" w:rsidP="002F569C">
      <w:pPr>
        <w:spacing w:line="276" w:lineRule="auto"/>
        <w:jc w:val="both"/>
        <w:rPr>
          <w:rFonts w:ascii="Segoe UI" w:hAnsi="Segoe UI" w:cs="Segoe UI"/>
          <w:sz w:val="20"/>
          <w:szCs w:val="20"/>
        </w:rPr>
      </w:pPr>
      <w:r w:rsidRPr="00214586">
        <w:rPr>
          <w:rFonts w:ascii="Segoe UI" w:hAnsi="Segoe UI" w:cs="Segoe UI"/>
          <w:sz w:val="20"/>
          <w:szCs w:val="20"/>
        </w:rPr>
        <w:t xml:space="preserve">This document does not provide you with any legal rights to any intellectual property in any Microsoft product. Microsoft customers and partners may copy, </w:t>
      </w:r>
      <w:proofErr w:type="gramStart"/>
      <w:r w:rsidRPr="00214586">
        <w:rPr>
          <w:rFonts w:ascii="Segoe UI" w:hAnsi="Segoe UI" w:cs="Segoe UI"/>
          <w:sz w:val="20"/>
          <w:szCs w:val="20"/>
        </w:rPr>
        <w:t>use</w:t>
      </w:r>
      <w:proofErr w:type="gramEnd"/>
      <w:r w:rsidRPr="00214586">
        <w:rPr>
          <w:rFonts w:ascii="Segoe UI" w:hAnsi="Segoe UI" w:cs="Segoe UI"/>
          <w:sz w:val="20"/>
          <w:szCs w:val="20"/>
        </w:rPr>
        <w:t xml:space="preserve"> and share these materials for planning, deployment and adoption of Microsoft Cloud Adoption Methodology.  </w:t>
      </w:r>
    </w:p>
    <w:p w14:paraId="41D0AF76" w14:textId="77777777" w:rsidR="002F569C" w:rsidRPr="001375C2" w:rsidRDefault="002F569C" w:rsidP="002F569C">
      <w:pPr>
        <w:spacing w:before="360" w:after="120" w:line="360" w:lineRule="auto"/>
        <w:jc w:val="both"/>
        <w:rPr>
          <w:rFonts w:ascii="Segoe UI" w:hAnsi="Segoe UI" w:cs="Segoe UI"/>
          <w:b/>
          <w:bCs/>
        </w:rPr>
      </w:pPr>
      <w:r w:rsidRPr="001375C2">
        <w:rPr>
          <w:rFonts w:ascii="Segoe UI" w:hAnsi="Segoe UI" w:cs="Segoe UI"/>
          <w:b/>
          <w:bCs/>
        </w:rPr>
        <w:t xml:space="preserve">MICROSOFT MAKES NO WARRANTIES, EXPRESS OR IMPLIED, IN THIS DOCUMENT </w:t>
      </w:r>
    </w:p>
    <w:p w14:paraId="7DE811BD" w14:textId="77777777" w:rsidR="002F569C" w:rsidRPr="00214586" w:rsidRDefault="002F569C" w:rsidP="002F569C">
      <w:pPr>
        <w:spacing w:line="276" w:lineRule="auto"/>
        <w:jc w:val="both"/>
        <w:rPr>
          <w:rFonts w:ascii="Segoe UI" w:hAnsi="Segoe UI" w:cs="Segoe UI"/>
          <w:sz w:val="20"/>
        </w:rPr>
      </w:pPr>
      <w:r w:rsidRPr="00214586">
        <w:rPr>
          <w:rFonts w:ascii="Segoe UI" w:hAnsi="Segoe UI" w:cs="Segoe UI"/>
          <w:sz w:val="20"/>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 © 2019 Microsoft Corporation. All rights reserved. Any use or distribution of these materials without express authorization of Microsoft Corp. is strictly prohibited. Microsoft and Windows are either registered trademarks or trademarks of Microsoft Corporation in the United States and/or other countries. The names of actual companies and products mentioned herein may be the trademarks of their respective owners.</w:t>
      </w:r>
    </w:p>
    <w:p w14:paraId="4AFD71A0" w14:textId="77777777" w:rsidR="002F569C" w:rsidRPr="001375C2" w:rsidRDefault="002F569C" w:rsidP="002F569C">
      <w:pPr>
        <w:pStyle w:val="Title"/>
        <w:spacing w:after="120" w:line="360" w:lineRule="auto"/>
        <w:jc w:val="both"/>
        <w:rPr>
          <w:rFonts w:ascii="Segoe UI" w:hAnsi="Segoe UI" w:cs="Segoe UI"/>
          <w:color w:val="0078D4"/>
          <w:sz w:val="22"/>
          <w:szCs w:val="28"/>
        </w:rPr>
      </w:pPr>
      <w:r w:rsidRPr="001375C2">
        <w:rPr>
          <w:rFonts w:ascii="Segoe UI" w:hAnsi="Segoe UI" w:cs="Segoe UI"/>
          <w:color w:val="0078D4"/>
          <w:sz w:val="22"/>
          <w:szCs w:val="28"/>
        </w:rPr>
        <w:t>We look forward to your feedback!</w:t>
      </w:r>
    </w:p>
    <w:p w14:paraId="77FCEB9A" w14:textId="77777777" w:rsidR="002F569C" w:rsidRPr="00214586" w:rsidRDefault="002F569C" w:rsidP="002F569C">
      <w:pPr>
        <w:spacing w:line="276" w:lineRule="auto"/>
        <w:jc w:val="both"/>
        <w:rPr>
          <w:rFonts w:ascii="Segoe UI" w:hAnsi="Segoe UI" w:cs="Segoe UI"/>
        </w:rPr>
      </w:pPr>
      <w:r w:rsidRPr="00214586">
        <w:rPr>
          <w:rFonts w:ascii="Segoe UI" w:hAnsi="Segoe UI" w:cs="Segoe UI"/>
        </w:rPr>
        <w:t xml:space="preserve">Thank you for your continued trust and partnership. The resources within this toolkit will be iteratively improved upon based on product releases as well as direct feedback from delivered engagements. We encourage you to provide feedback to help us improve our products and toolkits. </w:t>
      </w:r>
      <w:r w:rsidRPr="00214586">
        <w:rPr>
          <w:rFonts w:ascii="Segoe UI" w:hAnsi="Segoe UI" w:cs="Segoe UI"/>
        </w:rPr>
        <w:br w:type="page"/>
      </w:r>
    </w:p>
    <w:p w14:paraId="3CE7630A" w14:textId="77777777" w:rsidR="002F569C" w:rsidRDefault="002F569C" w:rsidP="00246168">
      <w:pPr>
        <w:pStyle w:val="Heading1"/>
        <w:numPr>
          <w:ilvl w:val="0"/>
          <w:numId w:val="0"/>
        </w:numPr>
        <w:spacing w:after="120"/>
        <w:ind w:left="432" w:hanging="432"/>
      </w:pPr>
      <w:bookmarkStart w:id="0" w:name="_Toc36582369"/>
      <w:bookmarkStart w:id="1" w:name="_Toc44021468"/>
      <w:bookmarkStart w:id="2" w:name="_Toc44316288"/>
      <w:r>
        <w:t>Introduction</w:t>
      </w:r>
      <w:bookmarkEnd w:id="0"/>
      <w:bookmarkEnd w:id="1"/>
      <w:bookmarkEnd w:id="2"/>
    </w:p>
    <w:p w14:paraId="13CF4649" w14:textId="27931487" w:rsidR="002F569C" w:rsidRPr="00D21DB7" w:rsidRDefault="002F569C" w:rsidP="002F569C">
      <w:pPr>
        <w:spacing w:line="276" w:lineRule="auto"/>
        <w:jc w:val="both"/>
        <w:rPr>
          <w:rFonts w:ascii="Segoe UI" w:hAnsi="Segoe UI" w:cs="Segoe UI"/>
          <w:color w:val="171717"/>
          <w:sz w:val="20"/>
          <w:shd w:val="clear" w:color="auto" w:fill="FFFFFF"/>
        </w:rPr>
      </w:pPr>
      <w:r w:rsidRPr="001375C2">
        <w:rPr>
          <w:rFonts w:ascii="Segoe UI" w:eastAsia="Segoe UI" w:hAnsi="Segoe UI" w:cs="Segoe UI"/>
          <w:sz w:val="20"/>
        </w:rPr>
        <w:t xml:space="preserve">This </w:t>
      </w:r>
      <w:r w:rsidRPr="00D21DB7">
        <w:rPr>
          <w:rFonts w:ascii="Segoe UI" w:eastAsia="Segoe UI" w:hAnsi="Segoe UI" w:cs="Segoe UI"/>
          <w:sz w:val="20"/>
        </w:rPr>
        <w:t xml:space="preserve">document </w:t>
      </w:r>
      <w:r>
        <w:rPr>
          <w:rFonts w:ascii="Segoe UI" w:eastAsia="Segoe UI" w:hAnsi="Segoe UI" w:cs="Segoe UI"/>
          <w:sz w:val="20"/>
        </w:rPr>
        <w:t>will</w:t>
      </w:r>
      <w:r w:rsidRPr="00D21DB7">
        <w:rPr>
          <w:rFonts w:ascii="Segoe UI" w:eastAsia="Segoe UI" w:hAnsi="Segoe UI" w:cs="Segoe UI"/>
          <w:sz w:val="20"/>
        </w:rPr>
        <w:t xml:space="preserve"> provide partners and customers </w:t>
      </w:r>
      <w:r w:rsidRPr="001375C2">
        <w:rPr>
          <w:rFonts w:ascii="Segoe UI" w:eastAsia="Segoe UI" w:hAnsi="Segoe UI" w:cs="Segoe UI"/>
          <w:sz w:val="20"/>
        </w:rPr>
        <w:t xml:space="preserve">guidance </w:t>
      </w:r>
      <w:r w:rsidRPr="00D21DB7">
        <w:rPr>
          <w:rFonts w:ascii="Segoe UI" w:eastAsia="Segoe UI" w:hAnsi="Segoe UI" w:cs="Segoe UI"/>
          <w:sz w:val="20"/>
        </w:rPr>
        <w:t xml:space="preserve">to </w:t>
      </w:r>
      <w:r w:rsidRPr="001375C2">
        <w:rPr>
          <w:rFonts w:ascii="Segoe UI" w:eastAsia="Segoe UI" w:hAnsi="Segoe UI" w:cs="Segoe UI"/>
          <w:sz w:val="20"/>
        </w:rPr>
        <w:t xml:space="preserve">deploy and </w:t>
      </w:r>
      <w:r w:rsidRPr="00D21DB7">
        <w:rPr>
          <w:rFonts w:ascii="Segoe UI" w:eastAsia="Segoe UI" w:hAnsi="Segoe UI" w:cs="Segoe UI"/>
          <w:sz w:val="20"/>
        </w:rPr>
        <w:t xml:space="preserve">manage </w:t>
      </w:r>
      <w:r>
        <w:rPr>
          <w:rFonts w:ascii="Segoe UI" w:eastAsia="Segoe UI" w:hAnsi="Segoe UI" w:cs="Segoe UI"/>
          <w:sz w:val="20"/>
        </w:rPr>
        <w:t xml:space="preserve">SQL </w:t>
      </w:r>
      <w:r w:rsidRPr="00D21DB7">
        <w:rPr>
          <w:rFonts w:ascii="Segoe UI" w:eastAsia="Segoe UI" w:hAnsi="Segoe UI" w:cs="Segoe UI"/>
          <w:sz w:val="20"/>
        </w:rPr>
        <w:t>in Azure</w:t>
      </w:r>
      <w:r w:rsidRPr="001375C2">
        <w:rPr>
          <w:rFonts w:ascii="Segoe UI" w:eastAsia="Segoe UI" w:hAnsi="Segoe UI" w:cs="Segoe UI"/>
          <w:sz w:val="20"/>
        </w:rPr>
        <w:t xml:space="preserve"> in alignment to Cloud Adoption Framework</w:t>
      </w:r>
      <w:r>
        <w:rPr>
          <w:rFonts w:ascii="Segoe UI" w:eastAsia="Segoe UI" w:hAnsi="Segoe UI" w:cs="Segoe UI"/>
          <w:sz w:val="20"/>
        </w:rPr>
        <w:t xml:space="preserve"> (CAF)</w:t>
      </w:r>
      <w:r w:rsidRPr="001375C2">
        <w:rPr>
          <w:rFonts w:ascii="Segoe UI" w:eastAsia="Segoe UI" w:hAnsi="Segoe UI" w:cs="Segoe UI"/>
          <w:sz w:val="20"/>
        </w:rPr>
        <w:t xml:space="preserve">. </w:t>
      </w:r>
      <w:bookmarkStart w:id="3" w:name="_Toc485821999"/>
      <w:bookmarkStart w:id="4" w:name="_Toc485800719"/>
      <w:bookmarkStart w:id="5" w:name="_Toc485716987"/>
      <w:r w:rsidRPr="00D21DB7">
        <w:rPr>
          <w:rFonts w:ascii="Segoe UI" w:hAnsi="Segoe UI" w:cs="Segoe UI"/>
          <w:color w:val="171717"/>
          <w:sz w:val="20"/>
          <w:shd w:val="clear" w:color="auto" w:fill="FFFFFF"/>
        </w:rPr>
        <w:t xml:space="preserve">This guide </w:t>
      </w:r>
      <w:r w:rsidRPr="001375C2">
        <w:rPr>
          <w:rFonts w:ascii="Segoe UI" w:hAnsi="Segoe UI" w:cs="Segoe UI"/>
          <w:color w:val="171717"/>
          <w:sz w:val="20"/>
          <w:shd w:val="clear" w:color="auto" w:fill="FFFFFF"/>
        </w:rPr>
        <w:t xml:space="preserve">is structured according to the phases of Cloud Adoption Framework; detailing the work that needs to happen in each CAF phase for a successful </w:t>
      </w:r>
      <w:r>
        <w:rPr>
          <w:rFonts w:ascii="Segoe UI" w:hAnsi="Segoe UI" w:cs="Segoe UI"/>
          <w:color w:val="171717"/>
          <w:sz w:val="20"/>
          <w:shd w:val="clear" w:color="auto" w:fill="FFFFFF"/>
        </w:rPr>
        <w:t>SQL</w:t>
      </w:r>
      <w:r w:rsidRPr="001375C2">
        <w:rPr>
          <w:rFonts w:ascii="Segoe UI" w:hAnsi="Segoe UI" w:cs="Segoe UI"/>
          <w:color w:val="171717"/>
          <w:sz w:val="20"/>
          <w:shd w:val="clear" w:color="auto" w:fill="FFFFFF"/>
        </w:rPr>
        <w:t xml:space="preserve"> deployment.</w:t>
      </w:r>
      <w:r>
        <w:rPr>
          <w:rFonts w:ascii="Segoe UI" w:hAnsi="Segoe UI" w:cs="Segoe UI"/>
          <w:color w:val="171717"/>
          <w:sz w:val="20"/>
          <w:shd w:val="clear" w:color="auto" w:fill="FFFFFF"/>
        </w:rPr>
        <w:t xml:space="preserve"> In this section, we will discuss the audience intended to refer this document, a brief on SQL deployment and CAF introduction.</w:t>
      </w:r>
    </w:p>
    <w:p w14:paraId="11C81538" w14:textId="77777777" w:rsidR="002F569C" w:rsidRPr="00D21DB7" w:rsidRDefault="002F569C" w:rsidP="002F569C">
      <w:pPr>
        <w:spacing w:after="80"/>
        <w:rPr>
          <w:sz w:val="20"/>
        </w:rPr>
      </w:pPr>
      <w:bookmarkStart w:id="6" w:name="_Toc36582371"/>
      <w:r w:rsidRPr="00D21DB7">
        <w:rPr>
          <w:b/>
          <w:bCs/>
          <w:sz w:val="24"/>
          <w:szCs w:val="28"/>
        </w:rPr>
        <w:t>Audience</w:t>
      </w:r>
      <w:bookmarkEnd w:id="3"/>
      <w:bookmarkEnd w:id="4"/>
      <w:bookmarkEnd w:id="5"/>
      <w:bookmarkEnd w:id="6"/>
    </w:p>
    <w:p w14:paraId="43E2CFBF" w14:textId="7B5CE308" w:rsidR="002F569C" w:rsidRPr="00D21DB7" w:rsidRDefault="002F569C" w:rsidP="002F569C">
      <w:pPr>
        <w:spacing w:line="276" w:lineRule="auto"/>
        <w:jc w:val="both"/>
        <w:rPr>
          <w:rFonts w:ascii="Segoe UI" w:eastAsia="Segoe UI" w:hAnsi="Segoe UI" w:cs="Segoe UI"/>
          <w:sz w:val="20"/>
        </w:rPr>
      </w:pPr>
      <w:r w:rsidRPr="00D21DB7">
        <w:rPr>
          <w:rFonts w:ascii="Segoe UI" w:eastAsia="Segoe UI" w:hAnsi="Segoe UI" w:cs="Segoe UI"/>
          <w:sz w:val="20"/>
        </w:rPr>
        <w:t xml:space="preserve">This document is primarily intended for Azure Specialists, Cloud Solution Architects, Technical Pre-Sales </w:t>
      </w:r>
      <w:proofErr w:type="gramStart"/>
      <w:r w:rsidRPr="00D21DB7">
        <w:rPr>
          <w:rFonts w:ascii="Segoe UI" w:eastAsia="Segoe UI" w:hAnsi="Segoe UI" w:cs="Segoe UI"/>
          <w:sz w:val="20"/>
        </w:rPr>
        <w:t>Teams</w:t>
      </w:r>
      <w:proofErr w:type="gramEnd"/>
      <w:r w:rsidRPr="00D21DB7">
        <w:rPr>
          <w:rFonts w:ascii="Segoe UI" w:eastAsia="Segoe UI" w:hAnsi="Segoe UI" w:cs="Segoe UI"/>
          <w:sz w:val="20"/>
        </w:rPr>
        <w:t xml:space="preserve"> and related stakeholders, primarily form Partner and Customer Organizations who are going to build adopt or migration </w:t>
      </w:r>
      <w:r>
        <w:rPr>
          <w:rFonts w:ascii="Segoe UI" w:eastAsia="Segoe UI" w:hAnsi="Segoe UI" w:cs="Segoe UI"/>
          <w:sz w:val="20"/>
        </w:rPr>
        <w:t>SQL</w:t>
      </w:r>
      <w:r w:rsidRPr="00D21DB7">
        <w:rPr>
          <w:rFonts w:ascii="Segoe UI" w:eastAsia="Segoe UI" w:hAnsi="Segoe UI" w:cs="Segoe UI"/>
          <w:sz w:val="20"/>
        </w:rPr>
        <w:t xml:space="preserve">.  This document helps them with the key phases in CAF framework that needs to be consider and follow based on their business needs and customer requirements necessary to successfully implement </w:t>
      </w:r>
      <w:r>
        <w:rPr>
          <w:rFonts w:ascii="Segoe UI" w:eastAsia="Segoe UI" w:hAnsi="Segoe UI" w:cs="Segoe UI"/>
          <w:sz w:val="20"/>
        </w:rPr>
        <w:t>SQL</w:t>
      </w:r>
      <w:r w:rsidRPr="00D21DB7">
        <w:rPr>
          <w:rFonts w:ascii="Segoe UI" w:eastAsia="Segoe UI" w:hAnsi="Segoe UI" w:cs="Segoe UI"/>
          <w:sz w:val="20"/>
        </w:rPr>
        <w:t>.</w:t>
      </w:r>
    </w:p>
    <w:p w14:paraId="684CC5D2" w14:textId="77777777" w:rsidR="002F569C" w:rsidRPr="005C14DD" w:rsidRDefault="002F569C" w:rsidP="002F569C">
      <w:pPr>
        <w:spacing w:after="80"/>
        <w:rPr>
          <w:b/>
          <w:bCs/>
          <w:sz w:val="24"/>
          <w:szCs w:val="28"/>
        </w:rPr>
      </w:pPr>
      <w:r w:rsidRPr="005C14DD">
        <w:rPr>
          <w:b/>
          <w:bCs/>
          <w:sz w:val="24"/>
          <w:szCs w:val="28"/>
        </w:rPr>
        <w:t>Cloud Adoption Framework</w:t>
      </w:r>
    </w:p>
    <w:p w14:paraId="644DFEED" w14:textId="17DDB881" w:rsidR="002F569C" w:rsidRDefault="002F569C" w:rsidP="002F569C">
      <w:pPr>
        <w:spacing w:line="276" w:lineRule="auto"/>
        <w:jc w:val="both"/>
        <w:rPr>
          <w:rFonts w:ascii="Segoe UI" w:eastAsia="Segoe UI" w:hAnsi="Segoe UI" w:cs="Segoe UI"/>
          <w:sz w:val="20"/>
        </w:rPr>
      </w:pPr>
      <w:r w:rsidRPr="00021D95">
        <w:rPr>
          <w:rFonts w:ascii="Segoe UI" w:eastAsia="Segoe UI" w:hAnsi="Segoe UI" w:cs="Segoe UI"/>
          <w:sz w:val="20"/>
        </w:rPr>
        <w:t xml:space="preserve">Let’s start by understanding what </w:t>
      </w:r>
      <w:proofErr w:type="gramStart"/>
      <w:r w:rsidRPr="00021D95">
        <w:rPr>
          <w:rFonts w:ascii="Segoe UI" w:eastAsia="Segoe UI" w:hAnsi="Segoe UI" w:cs="Segoe UI"/>
          <w:sz w:val="20"/>
        </w:rPr>
        <w:t>is Cloud Adoption</w:t>
      </w:r>
      <w:proofErr w:type="gramEnd"/>
      <w:r w:rsidRPr="00021D95">
        <w:rPr>
          <w:rFonts w:ascii="Segoe UI" w:eastAsia="Segoe UI" w:hAnsi="Segoe UI" w:cs="Segoe UI"/>
          <w:sz w:val="20"/>
        </w:rPr>
        <w:t xml:space="preserve"> Framework</w:t>
      </w:r>
      <w:r>
        <w:rPr>
          <w:rFonts w:ascii="Segoe UI" w:eastAsia="Segoe UI" w:hAnsi="Segoe UI" w:cs="Segoe UI"/>
          <w:sz w:val="20"/>
        </w:rPr>
        <w:t xml:space="preserve">? </w:t>
      </w:r>
      <w:r w:rsidRPr="00083045">
        <w:rPr>
          <w:rFonts w:ascii="Segoe UI" w:eastAsia="Segoe UI" w:hAnsi="Segoe UI" w:cs="Segoe UI"/>
          <w:sz w:val="20"/>
        </w:rPr>
        <w:t>Cloud Adoption Framework is a collection of documentation, implementation guidance, best practices, and tools that are proven guidance from Microsoft designed to accelerate your cloud adoption journey</w:t>
      </w:r>
      <w:r>
        <w:rPr>
          <w:rFonts w:ascii="Segoe UI" w:eastAsia="Segoe UI" w:hAnsi="Segoe UI" w:cs="Segoe UI"/>
          <w:sz w:val="20"/>
        </w:rPr>
        <w:t xml:space="preserve">. </w:t>
      </w:r>
      <w:r w:rsidR="00803988">
        <w:rPr>
          <w:rFonts w:ascii="Segoe UI" w:eastAsia="Segoe UI" w:hAnsi="Segoe UI" w:cs="Segoe UI"/>
          <w:sz w:val="20"/>
        </w:rPr>
        <w:t>The Cloud Adoption Framework has Strategy, Plan, Ready, Adopt, Govern and Manage phases.</w:t>
      </w:r>
      <w:r w:rsidR="00803988">
        <w:rPr>
          <w:rFonts w:ascii="Segoe UI" w:eastAsia="Segoe UI" w:hAnsi="Segoe UI" w:cs="Segoe UI"/>
          <w:sz w:val="20"/>
        </w:rPr>
        <w:t xml:space="preserve"> </w:t>
      </w:r>
      <w:r>
        <w:rPr>
          <w:rFonts w:ascii="Segoe UI" w:eastAsia="Segoe UI" w:hAnsi="Segoe UI" w:cs="Segoe UI"/>
          <w:sz w:val="20"/>
        </w:rPr>
        <w:t xml:space="preserve">Below diagram shows the different phases of Cloud Adoption Framework Journey. In this document we explain what needs to happen for </w:t>
      </w:r>
      <w:r w:rsidR="00803988">
        <w:rPr>
          <w:rFonts w:ascii="Segoe UI" w:eastAsia="Segoe UI" w:hAnsi="Segoe UI" w:cs="Segoe UI"/>
          <w:sz w:val="20"/>
        </w:rPr>
        <w:t>SQL</w:t>
      </w:r>
      <w:r>
        <w:rPr>
          <w:rFonts w:ascii="Segoe UI" w:eastAsia="Segoe UI" w:hAnsi="Segoe UI" w:cs="Segoe UI"/>
          <w:sz w:val="20"/>
        </w:rPr>
        <w:t xml:space="preserve"> deployment and management in each phase of the cloud adoption framework. </w:t>
      </w:r>
    </w:p>
    <w:p w14:paraId="1F39AAAF" w14:textId="77777777" w:rsidR="002F569C" w:rsidRPr="00021D95" w:rsidRDefault="002F569C" w:rsidP="002F569C">
      <w:pPr>
        <w:spacing w:line="276" w:lineRule="auto"/>
        <w:jc w:val="both"/>
        <w:rPr>
          <w:rFonts w:ascii="Segoe UI" w:eastAsia="Segoe UI" w:hAnsi="Segoe UI" w:cs="Segoe UI"/>
          <w:sz w:val="20"/>
        </w:rPr>
      </w:pPr>
      <w:r>
        <w:rPr>
          <w:noProof/>
        </w:rPr>
        <w:drawing>
          <wp:inline distT="0" distB="0" distL="0" distR="0" wp14:anchorId="0255B439" wp14:editId="2CEFAE79">
            <wp:extent cx="12182475" cy="4114800"/>
            <wp:effectExtent l="0" t="0" r="9525" b="0"/>
            <wp:docPr id="1766391167" name="Picture 176639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82475" cy="4114800"/>
                    </a:xfrm>
                    <a:prstGeom prst="rect">
                      <a:avLst/>
                    </a:prstGeom>
                    <a:noFill/>
                    <a:ln>
                      <a:noFill/>
                    </a:ln>
                  </pic:spPr>
                </pic:pic>
              </a:graphicData>
            </a:graphic>
          </wp:inline>
        </w:drawing>
      </w:r>
    </w:p>
    <w:p w14:paraId="201643DC" w14:textId="77777777" w:rsidR="00795897" w:rsidRPr="00795897" w:rsidRDefault="00795897" w:rsidP="00860AA6">
      <w:pPr>
        <w:pStyle w:val="Heading1"/>
        <w:numPr>
          <w:ilvl w:val="0"/>
          <w:numId w:val="1"/>
        </w:numPr>
        <w:ind w:left="360"/>
      </w:pPr>
      <w:bookmarkStart w:id="7" w:name="_Toc42608856"/>
      <w:bookmarkStart w:id="8" w:name="_Toc44316289"/>
      <w:bookmarkStart w:id="9" w:name="_Toc40453150"/>
      <w:r w:rsidRPr="00795897">
        <w:t>Strategy</w:t>
      </w:r>
      <w:bookmarkEnd w:id="7"/>
      <w:bookmarkEnd w:id="8"/>
    </w:p>
    <w:p w14:paraId="6F1A9DF1" w14:textId="07C1D906" w:rsidR="002F569C" w:rsidRPr="002F569C" w:rsidRDefault="002F569C" w:rsidP="002F569C">
      <w:pPr>
        <w:spacing w:after="0" w:line="276" w:lineRule="auto"/>
        <w:jc w:val="both"/>
        <w:rPr>
          <w:rFonts w:ascii="Segoe UI" w:eastAsia="Segoe UI" w:hAnsi="Segoe UI" w:cs="Segoe UI"/>
          <w:sz w:val="20"/>
        </w:rPr>
      </w:pPr>
      <w:bookmarkStart w:id="10" w:name="_Hlk44003368"/>
      <w:bookmarkEnd w:id="9"/>
      <w:r w:rsidRPr="002F569C">
        <w:rPr>
          <w:rFonts w:ascii="Segoe UI" w:eastAsia="Segoe UI" w:hAnsi="Segoe UI" w:cs="Segoe UI"/>
          <w:sz w:val="20"/>
        </w:rPr>
        <w:t xml:space="preserve">The first phase of Cloud Adoption Framework is Strategy. Here we will strategize the </w:t>
      </w:r>
      <w:r>
        <w:rPr>
          <w:rFonts w:ascii="Segoe UI" w:eastAsia="Segoe UI" w:hAnsi="Segoe UI" w:cs="Segoe UI"/>
          <w:sz w:val="20"/>
        </w:rPr>
        <w:t>SQL</w:t>
      </w:r>
      <w:r w:rsidRPr="002F569C">
        <w:rPr>
          <w:rFonts w:ascii="Segoe UI" w:eastAsia="Segoe UI" w:hAnsi="Segoe UI" w:cs="Segoe UI"/>
          <w:sz w:val="20"/>
        </w:rPr>
        <w:t xml:space="preserve"> adoption with key stake holders. </w:t>
      </w:r>
    </w:p>
    <w:p w14:paraId="779E91D4" w14:textId="56AE6513" w:rsidR="00D06752" w:rsidRDefault="00795897" w:rsidP="00D06752">
      <w:pPr>
        <w:spacing w:after="0" w:line="276" w:lineRule="auto"/>
        <w:jc w:val="both"/>
        <w:rPr>
          <w:rFonts w:ascii="Segoe UI" w:eastAsia="Segoe UI" w:hAnsi="Segoe UI" w:cs="Segoe UI"/>
          <w:sz w:val="20"/>
        </w:rPr>
      </w:pPr>
      <w:r w:rsidRPr="00795897">
        <w:rPr>
          <w:rFonts w:ascii="Segoe UI" w:eastAsia="Segoe UI" w:hAnsi="Segoe UI" w:cs="Segoe UI"/>
          <w:sz w:val="20"/>
        </w:rPr>
        <w:t xml:space="preserve">Documenting SQL migration </w:t>
      </w:r>
      <w:r w:rsidR="0067064F">
        <w:rPr>
          <w:rFonts w:ascii="Segoe UI" w:eastAsia="Segoe UI" w:hAnsi="Segoe UI" w:cs="Segoe UI"/>
          <w:sz w:val="20"/>
        </w:rPr>
        <w:t>s</w:t>
      </w:r>
      <w:r w:rsidRPr="00795897">
        <w:rPr>
          <w:rFonts w:ascii="Segoe UI" w:eastAsia="Segoe UI" w:hAnsi="Segoe UI" w:cs="Segoe UI"/>
          <w:sz w:val="20"/>
        </w:rPr>
        <w:t>trategy will assist business stakeholders and technicians in understanding the organizational benefits that entail adopting SQL migration</w:t>
      </w:r>
      <w:bookmarkEnd w:id="10"/>
      <w:r w:rsidRPr="00795897">
        <w:rPr>
          <w:rFonts w:ascii="Segoe UI" w:eastAsia="Segoe UI" w:hAnsi="Segoe UI" w:cs="Segoe UI"/>
          <w:sz w:val="20"/>
        </w:rPr>
        <w:t xml:space="preserve">. This section will specifically discuss </w:t>
      </w:r>
      <w:r w:rsidR="00673F16">
        <w:rPr>
          <w:rFonts w:ascii="Segoe UI" w:eastAsia="Segoe UI" w:hAnsi="Segoe UI" w:cs="Segoe UI"/>
          <w:sz w:val="20"/>
        </w:rPr>
        <w:t>following</w:t>
      </w:r>
    </w:p>
    <w:p w14:paraId="64B36643" w14:textId="55C982BA" w:rsidR="00D06752" w:rsidRPr="00D06752" w:rsidRDefault="00D06752" w:rsidP="00860AA6">
      <w:pPr>
        <w:pStyle w:val="ListParagraph"/>
        <w:numPr>
          <w:ilvl w:val="0"/>
          <w:numId w:val="3"/>
        </w:numPr>
        <w:spacing w:line="276" w:lineRule="auto"/>
        <w:jc w:val="both"/>
        <w:rPr>
          <w:rFonts w:ascii="Segoe UI" w:eastAsia="Segoe UI" w:hAnsi="Segoe UI" w:cs="Segoe UI"/>
          <w:sz w:val="20"/>
          <w:szCs w:val="20"/>
        </w:rPr>
      </w:pPr>
      <w:bookmarkStart w:id="11" w:name="_Hlk44003452"/>
      <w:r>
        <w:rPr>
          <w:rFonts w:ascii="Segoe UI" w:eastAsia="Segoe UI" w:hAnsi="Segoe UI" w:cs="Segoe UI"/>
          <w:sz w:val="20"/>
          <w:szCs w:val="20"/>
        </w:rPr>
        <w:t>B</w:t>
      </w:r>
      <w:r w:rsidR="00795897" w:rsidRPr="00D06752">
        <w:rPr>
          <w:rFonts w:ascii="Segoe UI" w:eastAsia="Segoe UI" w:hAnsi="Segoe UI" w:cs="Segoe UI"/>
          <w:sz w:val="20"/>
          <w:szCs w:val="20"/>
        </w:rPr>
        <w:t xml:space="preserve">usiness </w:t>
      </w:r>
      <w:r>
        <w:rPr>
          <w:rFonts w:ascii="Segoe UI" w:eastAsia="Segoe UI" w:hAnsi="Segoe UI" w:cs="Segoe UI"/>
          <w:sz w:val="20"/>
          <w:szCs w:val="20"/>
        </w:rPr>
        <w:t>M</w:t>
      </w:r>
      <w:r w:rsidR="00795897" w:rsidRPr="00D06752">
        <w:rPr>
          <w:rFonts w:ascii="Segoe UI" w:eastAsia="Segoe UI" w:hAnsi="Segoe UI" w:cs="Segoe UI"/>
          <w:sz w:val="20"/>
          <w:szCs w:val="20"/>
        </w:rPr>
        <w:t>otivations</w:t>
      </w:r>
    </w:p>
    <w:p w14:paraId="18557E27" w14:textId="5CF8E5DE" w:rsidR="00D06752" w:rsidRPr="00D06752" w:rsidRDefault="00D06752" w:rsidP="00860AA6">
      <w:pPr>
        <w:pStyle w:val="ListParagraph"/>
        <w:numPr>
          <w:ilvl w:val="0"/>
          <w:numId w:val="3"/>
        </w:numPr>
        <w:spacing w:line="276" w:lineRule="auto"/>
        <w:jc w:val="both"/>
        <w:rPr>
          <w:rFonts w:ascii="Segoe UI" w:eastAsia="Segoe UI" w:hAnsi="Segoe UI" w:cs="Segoe UI"/>
          <w:sz w:val="20"/>
          <w:szCs w:val="20"/>
        </w:rPr>
      </w:pPr>
      <w:r>
        <w:rPr>
          <w:rFonts w:ascii="Segoe UI" w:eastAsia="Segoe UI" w:hAnsi="Segoe UI" w:cs="Segoe UI"/>
          <w:sz w:val="20"/>
          <w:szCs w:val="20"/>
        </w:rPr>
        <w:t>O</w:t>
      </w:r>
      <w:r w:rsidR="00795897" w:rsidRPr="00D06752">
        <w:rPr>
          <w:rFonts w:ascii="Segoe UI" w:eastAsia="Segoe UI" w:hAnsi="Segoe UI" w:cs="Segoe UI"/>
          <w:sz w:val="20"/>
          <w:szCs w:val="20"/>
        </w:rPr>
        <w:t>utcomes</w:t>
      </w:r>
    </w:p>
    <w:p w14:paraId="65481833" w14:textId="67DAE920" w:rsidR="00795897" w:rsidRPr="00D06752" w:rsidRDefault="00D06752" w:rsidP="00860AA6">
      <w:pPr>
        <w:pStyle w:val="ListParagraph"/>
        <w:numPr>
          <w:ilvl w:val="0"/>
          <w:numId w:val="3"/>
        </w:numPr>
        <w:spacing w:line="276" w:lineRule="auto"/>
        <w:jc w:val="both"/>
        <w:rPr>
          <w:rFonts w:ascii="Segoe UI" w:eastAsia="Segoe UI" w:hAnsi="Segoe UI" w:cs="Segoe UI"/>
          <w:sz w:val="20"/>
          <w:szCs w:val="20"/>
        </w:rPr>
      </w:pPr>
      <w:r w:rsidRPr="00D06752">
        <w:rPr>
          <w:rFonts w:ascii="Segoe UI" w:eastAsia="Segoe UI" w:hAnsi="Segoe UI" w:cs="Segoe UI"/>
          <w:sz w:val="20"/>
          <w:szCs w:val="20"/>
        </w:rPr>
        <w:t>J</w:t>
      </w:r>
      <w:r w:rsidR="00795897" w:rsidRPr="00D06752">
        <w:rPr>
          <w:rFonts w:ascii="Segoe UI" w:eastAsia="Segoe UI" w:hAnsi="Segoe UI" w:cs="Segoe UI"/>
          <w:sz w:val="20"/>
          <w:szCs w:val="20"/>
        </w:rPr>
        <w:t>ustifications associated with this adoption</w:t>
      </w:r>
    </w:p>
    <w:p w14:paraId="19D551CB" w14:textId="77777777" w:rsidR="00795897" w:rsidRPr="00795897" w:rsidRDefault="00795897" w:rsidP="00795897">
      <w:pPr>
        <w:pStyle w:val="Heading2"/>
        <w:spacing w:after="120"/>
      </w:pPr>
      <w:bookmarkStart w:id="12" w:name="_Toc40453151"/>
      <w:bookmarkStart w:id="13" w:name="_Toc42608857"/>
      <w:bookmarkStart w:id="14" w:name="_Toc44316290"/>
      <w:bookmarkEnd w:id="11"/>
      <w:r w:rsidRPr="00795897">
        <w:t>Understanding Business Motivations</w:t>
      </w:r>
      <w:bookmarkEnd w:id="12"/>
      <w:bookmarkEnd w:id="13"/>
      <w:bookmarkEnd w:id="14"/>
    </w:p>
    <w:p w14:paraId="162D06AA" w14:textId="77777777" w:rsidR="00795897" w:rsidRPr="00194CCB" w:rsidRDefault="00795897" w:rsidP="00194CCB">
      <w:pPr>
        <w:spacing w:after="0" w:line="276" w:lineRule="auto"/>
        <w:jc w:val="both"/>
        <w:rPr>
          <w:rFonts w:ascii="Segoe UI" w:eastAsia="Segoe UI" w:hAnsi="Segoe UI" w:cs="Segoe UI"/>
          <w:sz w:val="20"/>
          <w:szCs w:val="20"/>
        </w:rPr>
      </w:pPr>
      <w:r w:rsidRPr="00194CCB">
        <w:rPr>
          <w:rFonts w:ascii="Segoe UI" w:eastAsia="Segoe UI" w:hAnsi="Segoe UI" w:cs="Segoe UI"/>
          <w:sz w:val="20"/>
          <w:szCs w:val="20"/>
        </w:rPr>
        <w:t xml:space="preserve">Outlining the motivations for a business is crucial </w:t>
      </w:r>
      <w:proofErr w:type="gramStart"/>
      <w:r w:rsidRPr="00194CCB">
        <w:rPr>
          <w:rFonts w:ascii="Segoe UI" w:eastAsia="Segoe UI" w:hAnsi="Segoe UI" w:cs="Segoe UI"/>
          <w:sz w:val="20"/>
          <w:szCs w:val="20"/>
        </w:rPr>
        <w:t>in order to</w:t>
      </w:r>
      <w:proofErr w:type="gramEnd"/>
      <w:r w:rsidRPr="00194CCB">
        <w:rPr>
          <w:rFonts w:ascii="Segoe UI" w:eastAsia="Segoe UI" w:hAnsi="Segoe UI" w:cs="Segoe UI"/>
          <w:sz w:val="20"/>
          <w:szCs w:val="20"/>
        </w:rPr>
        <w:t xml:space="preserve"> construct an appropriate strategy. Business stakeholders should be included in the discussion and outlining of relevant business motivations. Business motivations for SQL cloud migration adoption are categorized into the following three general pillars.</w:t>
      </w:r>
    </w:p>
    <w:p w14:paraId="586565A6" w14:textId="53B3E151" w:rsidR="00795897" w:rsidRPr="00194CCB" w:rsidRDefault="00795897" w:rsidP="00860AA6">
      <w:pPr>
        <w:pStyle w:val="ListParagraph"/>
        <w:numPr>
          <w:ilvl w:val="0"/>
          <w:numId w:val="3"/>
        </w:numPr>
        <w:spacing w:line="276" w:lineRule="auto"/>
        <w:jc w:val="both"/>
        <w:rPr>
          <w:rFonts w:ascii="Segoe UI" w:eastAsia="Segoe UI" w:hAnsi="Segoe UI" w:cs="Segoe UI"/>
          <w:sz w:val="20"/>
          <w:szCs w:val="20"/>
        </w:rPr>
      </w:pPr>
      <w:r w:rsidRPr="00194CCB">
        <w:rPr>
          <w:rFonts w:ascii="Segoe UI" w:eastAsia="Segoe UI" w:hAnsi="Segoe UI" w:cs="Segoe UI"/>
          <w:sz w:val="20"/>
          <w:szCs w:val="20"/>
        </w:rPr>
        <w:t>Critical Business Events</w:t>
      </w:r>
    </w:p>
    <w:p w14:paraId="44F96C7E" w14:textId="36D7B791" w:rsidR="00795897" w:rsidRPr="00194CCB" w:rsidRDefault="00795897" w:rsidP="00860AA6">
      <w:pPr>
        <w:pStyle w:val="ListParagraph"/>
        <w:numPr>
          <w:ilvl w:val="0"/>
          <w:numId w:val="3"/>
        </w:numPr>
        <w:spacing w:line="276" w:lineRule="auto"/>
        <w:jc w:val="both"/>
        <w:rPr>
          <w:rFonts w:ascii="Segoe UI" w:eastAsia="Segoe UI" w:hAnsi="Segoe UI" w:cs="Segoe UI"/>
          <w:sz w:val="20"/>
          <w:szCs w:val="20"/>
        </w:rPr>
      </w:pPr>
      <w:r w:rsidRPr="00194CCB">
        <w:rPr>
          <w:rFonts w:ascii="Segoe UI" w:eastAsia="Segoe UI" w:hAnsi="Segoe UI" w:cs="Segoe UI"/>
          <w:sz w:val="20"/>
          <w:szCs w:val="20"/>
        </w:rPr>
        <w:t>Migration Motivations</w:t>
      </w:r>
    </w:p>
    <w:p w14:paraId="2FC3F9C9" w14:textId="0CAA1909" w:rsidR="00795897" w:rsidRPr="00194CCB" w:rsidRDefault="00795897" w:rsidP="00860AA6">
      <w:pPr>
        <w:pStyle w:val="ListParagraph"/>
        <w:numPr>
          <w:ilvl w:val="0"/>
          <w:numId w:val="3"/>
        </w:numPr>
        <w:spacing w:after="0" w:line="276" w:lineRule="auto"/>
        <w:jc w:val="both"/>
        <w:rPr>
          <w:rFonts w:ascii="Segoe UI" w:eastAsia="Segoe UI" w:hAnsi="Segoe UI" w:cs="Segoe UI"/>
          <w:sz w:val="20"/>
          <w:szCs w:val="20"/>
        </w:rPr>
      </w:pPr>
      <w:r w:rsidRPr="00194CCB">
        <w:rPr>
          <w:rFonts w:ascii="Segoe UI" w:eastAsia="Segoe UI" w:hAnsi="Segoe UI" w:cs="Segoe UI"/>
          <w:sz w:val="20"/>
          <w:szCs w:val="20"/>
        </w:rPr>
        <w:t>Innovation Motivations</w:t>
      </w:r>
    </w:p>
    <w:p w14:paraId="0C526FF6" w14:textId="76F93F8A" w:rsidR="00795897" w:rsidRPr="00194CCB" w:rsidRDefault="00795897" w:rsidP="002D66C3">
      <w:pPr>
        <w:spacing w:before="240" w:after="0" w:line="276" w:lineRule="auto"/>
        <w:jc w:val="both"/>
        <w:rPr>
          <w:rFonts w:ascii="Segoe UI" w:hAnsi="Segoe UI" w:cs="Segoe UI"/>
          <w:sz w:val="20"/>
          <w:szCs w:val="20"/>
        </w:rPr>
      </w:pPr>
      <w:r w:rsidRPr="00194CCB">
        <w:rPr>
          <w:rFonts w:ascii="Segoe UI" w:hAnsi="Segoe UI" w:cs="Segoe UI"/>
          <w:sz w:val="20"/>
          <w:szCs w:val="20"/>
        </w:rPr>
        <w:t xml:space="preserve">The </w:t>
      </w:r>
      <w:proofErr w:type="gramStart"/>
      <w:r w:rsidRPr="00194CCB">
        <w:rPr>
          <w:rFonts w:ascii="Segoe UI" w:hAnsi="Segoe UI" w:cs="Segoe UI"/>
          <w:sz w:val="20"/>
          <w:szCs w:val="20"/>
        </w:rPr>
        <w:t>aforementioned categories</w:t>
      </w:r>
      <w:proofErr w:type="gramEnd"/>
      <w:r w:rsidRPr="00194CCB">
        <w:rPr>
          <w:rFonts w:ascii="Segoe UI" w:hAnsi="Segoe UI" w:cs="Segoe UI"/>
          <w:sz w:val="20"/>
          <w:szCs w:val="20"/>
        </w:rPr>
        <w:t xml:space="preserve"> are meant as a source of inspiration and are not an exhaustive list of all existing business motivations. However, overall motivations can be broken down further for SQL migration:</w:t>
      </w:r>
    </w:p>
    <w:tbl>
      <w:tblPr>
        <w:tblStyle w:val="TableGrid"/>
        <w:tblW w:w="10345" w:type="dxa"/>
        <w:tblLook w:val="04A0" w:firstRow="1" w:lastRow="0" w:firstColumn="1" w:lastColumn="0" w:noHBand="0" w:noVBand="1"/>
      </w:tblPr>
      <w:tblGrid>
        <w:gridCol w:w="2605"/>
        <w:gridCol w:w="2531"/>
        <w:gridCol w:w="2509"/>
        <w:gridCol w:w="2700"/>
      </w:tblGrid>
      <w:tr w:rsidR="00194CCB" w:rsidRPr="00194CCB" w14:paraId="58E51486" w14:textId="77777777" w:rsidTr="0042233F">
        <w:tc>
          <w:tcPr>
            <w:tcW w:w="2605" w:type="dxa"/>
            <w:shd w:val="clear" w:color="auto" w:fill="auto"/>
            <w:vAlign w:val="center"/>
          </w:tcPr>
          <w:p w14:paraId="02234AEC" w14:textId="77777777" w:rsidR="00194CCB" w:rsidRPr="00194CCB" w:rsidRDefault="00194CCB" w:rsidP="00194CCB">
            <w:pPr>
              <w:spacing w:after="0" w:line="276" w:lineRule="auto"/>
              <w:jc w:val="center"/>
              <w:rPr>
                <w:rFonts w:ascii="Segoe UI" w:hAnsi="Segoe UI" w:cs="Segoe UI"/>
                <w:b/>
                <w:sz w:val="20"/>
                <w:szCs w:val="20"/>
                <w:lang w:eastAsia="en-US"/>
              </w:rPr>
            </w:pPr>
            <w:r w:rsidRPr="00194CCB">
              <w:rPr>
                <w:rFonts w:ascii="Segoe UI" w:hAnsi="Segoe UI" w:cs="Segoe UI"/>
                <w:b/>
                <w:sz w:val="20"/>
                <w:szCs w:val="20"/>
                <w:lang w:eastAsia="en-US"/>
              </w:rPr>
              <w:t>COST</w:t>
            </w:r>
          </w:p>
        </w:tc>
        <w:tc>
          <w:tcPr>
            <w:tcW w:w="2531" w:type="dxa"/>
            <w:shd w:val="clear" w:color="auto" w:fill="auto"/>
            <w:vAlign w:val="center"/>
          </w:tcPr>
          <w:p w14:paraId="1EFDE799" w14:textId="77777777" w:rsidR="00194CCB" w:rsidRPr="00194CCB" w:rsidRDefault="00194CCB" w:rsidP="00194CCB">
            <w:pPr>
              <w:spacing w:after="0" w:line="276" w:lineRule="auto"/>
              <w:jc w:val="center"/>
              <w:rPr>
                <w:rFonts w:ascii="Segoe UI" w:hAnsi="Segoe UI" w:cs="Segoe UI"/>
                <w:b/>
                <w:sz w:val="20"/>
                <w:szCs w:val="20"/>
                <w:lang w:eastAsia="en-US"/>
              </w:rPr>
            </w:pPr>
            <w:r w:rsidRPr="00194CCB">
              <w:rPr>
                <w:rFonts w:ascii="Segoe UI" w:hAnsi="Segoe UI" w:cs="Segoe UI"/>
                <w:b/>
                <w:sz w:val="20"/>
                <w:szCs w:val="20"/>
                <w:lang w:eastAsia="en-US"/>
              </w:rPr>
              <w:t>SECURITY</w:t>
            </w:r>
          </w:p>
        </w:tc>
        <w:tc>
          <w:tcPr>
            <w:tcW w:w="2509" w:type="dxa"/>
            <w:shd w:val="clear" w:color="auto" w:fill="auto"/>
            <w:vAlign w:val="center"/>
          </w:tcPr>
          <w:p w14:paraId="0DAAA457" w14:textId="77777777" w:rsidR="00194CCB" w:rsidRPr="00194CCB" w:rsidRDefault="00194CCB" w:rsidP="00194CCB">
            <w:pPr>
              <w:spacing w:after="0" w:line="276" w:lineRule="auto"/>
              <w:jc w:val="center"/>
              <w:rPr>
                <w:rFonts w:ascii="Segoe UI" w:hAnsi="Segoe UI" w:cs="Segoe UI"/>
                <w:b/>
                <w:sz w:val="20"/>
                <w:szCs w:val="20"/>
                <w:lang w:eastAsia="en-US"/>
              </w:rPr>
            </w:pPr>
            <w:r w:rsidRPr="00194CCB">
              <w:rPr>
                <w:rFonts w:ascii="Segoe UI" w:hAnsi="Segoe UI" w:cs="Segoe UI"/>
                <w:b/>
                <w:sz w:val="20"/>
                <w:szCs w:val="20"/>
                <w:lang w:eastAsia="en-US"/>
              </w:rPr>
              <w:t>SCALE</w:t>
            </w:r>
          </w:p>
        </w:tc>
        <w:tc>
          <w:tcPr>
            <w:tcW w:w="2700" w:type="dxa"/>
            <w:shd w:val="clear" w:color="auto" w:fill="auto"/>
            <w:vAlign w:val="center"/>
          </w:tcPr>
          <w:p w14:paraId="666F5A38" w14:textId="77777777" w:rsidR="00194CCB" w:rsidRPr="00194CCB" w:rsidRDefault="00194CCB" w:rsidP="00194CCB">
            <w:pPr>
              <w:spacing w:after="0" w:line="276" w:lineRule="auto"/>
              <w:jc w:val="center"/>
              <w:rPr>
                <w:rFonts w:ascii="Segoe UI" w:hAnsi="Segoe UI" w:cs="Segoe UI"/>
                <w:b/>
                <w:sz w:val="20"/>
                <w:szCs w:val="20"/>
                <w:lang w:eastAsia="en-US"/>
              </w:rPr>
            </w:pPr>
            <w:r w:rsidRPr="00194CCB">
              <w:rPr>
                <w:rFonts w:ascii="Segoe UI" w:hAnsi="Segoe UI" w:cs="Segoe UI"/>
                <w:b/>
                <w:sz w:val="20"/>
                <w:szCs w:val="20"/>
                <w:lang w:eastAsia="en-US"/>
              </w:rPr>
              <w:t>INNOVATION</w:t>
            </w:r>
          </w:p>
        </w:tc>
      </w:tr>
      <w:tr w:rsidR="00194CCB" w:rsidRPr="00194CCB" w14:paraId="0A170681" w14:textId="77777777" w:rsidTr="0042233F">
        <w:trPr>
          <w:trHeight w:val="1457"/>
        </w:trPr>
        <w:tc>
          <w:tcPr>
            <w:tcW w:w="2605" w:type="dxa"/>
          </w:tcPr>
          <w:p w14:paraId="5FE7D6B5"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Cost </w:t>
            </w:r>
            <w:proofErr w:type="gramStart"/>
            <w:r w:rsidRPr="00194CCB">
              <w:rPr>
                <w:rFonts w:ascii="Segoe UI" w:hAnsi="Segoe UI" w:cs="Segoe UI"/>
                <w:sz w:val="20"/>
                <w:szCs w:val="20"/>
              </w:rPr>
              <w:t>reduction;</w:t>
            </w:r>
            <w:proofErr w:type="gramEnd"/>
          </w:p>
          <w:p w14:paraId="5C24C71A"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Capital </w:t>
            </w:r>
            <w:proofErr w:type="gramStart"/>
            <w:r w:rsidRPr="00194CCB">
              <w:rPr>
                <w:rFonts w:ascii="Segoe UI" w:hAnsi="Segoe UI" w:cs="Segoe UI"/>
                <w:sz w:val="20"/>
                <w:szCs w:val="20"/>
              </w:rPr>
              <w:t>Expenses;</w:t>
            </w:r>
            <w:proofErr w:type="gramEnd"/>
          </w:p>
          <w:p w14:paraId="09F71920"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Operation </w:t>
            </w:r>
            <w:proofErr w:type="gramStart"/>
            <w:r w:rsidRPr="00194CCB">
              <w:rPr>
                <w:rFonts w:ascii="Segoe UI" w:hAnsi="Segoe UI" w:cs="Segoe UI"/>
                <w:sz w:val="20"/>
                <w:szCs w:val="20"/>
              </w:rPr>
              <w:t>Expenses;</w:t>
            </w:r>
            <w:proofErr w:type="gramEnd"/>
          </w:p>
          <w:p w14:paraId="678B8A95"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Datacenter exit/adopting </w:t>
            </w:r>
            <w:proofErr w:type="gramStart"/>
            <w:r w:rsidRPr="00194CCB">
              <w:rPr>
                <w:rFonts w:ascii="Segoe UI" w:hAnsi="Segoe UI" w:cs="Segoe UI"/>
                <w:sz w:val="20"/>
                <w:szCs w:val="20"/>
              </w:rPr>
              <w:t>cloud;</w:t>
            </w:r>
            <w:proofErr w:type="gramEnd"/>
          </w:p>
          <w:p w14:paraId="31D46605" w14:textId="6C0A8DBF" w:rsidR="00194CCB" w:rsidRPr="00194CCB" w:rsidRDefault="00194CCB" w:rsidP="00194CCB">
            <w:pPr>
              <w:spacing w:after="0" w:line="276" w:lineRule="auto"/>
              <w:rPr>
                <w:rFonts w:ascii="Segoe UI" w:hAnsi="Segoe UI" w:cs="Segoe UI"/>
                <w:sz w:val="20"/>
                <w:szCs w:val="20"/>
                <w:lang w:eastAsia="en-US"/>
              </w:rPr>
            </w:pPr>
            <w:r w:rsidRPr="00194CCB">
              <w:rPr>
                <w:rFonts w:ascii="Segoe UI" w:hAnsi="Segoe UI" w:cs="Segoe UI"/>
                <w:sz w:val="20"/>
                <w:szCs w:val="20"/>
              </w:rPr>
              <w:t>Bringing overall IT management, maintenance and cost down</w:t>
            </w:r>
            <w:r w:rsidRPr="00194CCB">
              <w:rPr>
                <w:rFonts w:ascii="Segoe UI" w:hAnsi="Segoe UI" w:cs="Segoe UI"/>
                <w:sz w:val="20"/>
                <w:szCs w:val="20"/>
                <w:lang w:eastAsia="en-US"/>
              </w:rPr>
              <w:t xml:space="preserve"> </w:t>
            </w:r>
          </w:p>
        </w:tc>
        <w:tc>
          <w:tcPr>
            <w:tcW w:w="2531" w:type="dxa"/>
          </w:tcPr>
          <w:p w14:paraId="762D1580"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Compliance/</w:t>
            </w:r>
            <w:proofErr w:type="gramStart"/>
            <w:r w:rsidRPr="00194CCB">
              <w:rPr>
                <w:rFonts w:ascii="Segoe UI" w:hAnsi="Segoe UI" w:cs="Segoe UI"/>
                <w:sz w:val="20"/>
                <w:szCs w:val="20"/>
              </w:rPr>
              <w:t>regulatory;</w:t>
            </w:r>
            <w:proofErr w:type="gramEnd"/>
          </w:p>
          <w:p w14:paraId="3A9ED21A"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Legacy apps - Win 7 </w:t>
            </w:r>
            <w:proofErr w:type="gramStart"/>
            <w:r w:rsidRPr="00194CCB">
              <w:rPr>
                <w:rFonts w:ascii="Segoe UI" w:hAnsi="Segoe UI" w:cs="Segoe UI"/>
                <w:sz w:val="20"/>
                <w:szCs w:val="20"/>
              </w:rPr>
              <w:t>EOS;</w:t>
            </w:r>
            <w:proofErr w:type="gramEnd"/>
          </w:p>
          <w:p w14:paraId="79EEF9FF"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Data sovereignty </w:t>
            </w:r>
            <w:proofErr w:type="gramStart"/>
            <w:r w:rsidRPr="00194CCB">
              <w:rPr>
                <w:rFonts w:ascii="Segoe UI" w:hAnsi="Segoe UI" w:cs="Segoe UI"/>
                <w:sz w:val="20"/>
                <w:szCs w:val="20"/>
              </w:rPr>
              <w:t>requirements;</w:t>
            </w:r>
            <w:proofErr w:type="gramEnd"/>
          </w:p>
          <w:p w14:paraId="3811AEF8" w14:textId="75DE8F51" w:rsidR="00194CCB" w:rsidRPr="00194CCB" w:rsidRDefault="00194CCB" w:rsidP="00194CCB">
            <w:pPr>
              <w:spacing w:after="0" w:line="276" w:lineRule="auto"/>
              <w:rPr>
                <w:rFonts w:ascii="Segoe UI" w:hAnsi="Segoe UI" w:cs="Segoe UI"/>
                <w:sz w:val="20"/>
                <w:szCs w:val="20"/>
                <w:lang w:eastAsia="en-US"/>
              </w:rPr>
            </w:pPr>
          </w:p>
        </w:tc>
        <w:tc>
          <w:tcPr>
            <w:tcW w:w="2509" w:type="dxa"/>
          </w:tcPr>
          <w:p w14:paraId="343830F8"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On-demand resources </w:t>
            </w:r>
            <w:proofErr w:type="gramStart"/>
            <w:r w:rsidRPr="00194CCB">
              <w:rPr>
                <w:rFonts w:ascii="Segoe UI" w:hAnsi="Segoe UI" w:cs="Segoe UI"/>
                <w:sz w:val="20"/>
                <w:szCs w:val="20"/>
              </w:rPr>
              <w:t>onboarding;</w:t>
            </w:r>
            <w:proofErr w:type="gramEnd"/>
          </w:p>
          <w:p w14:paraId="6ABB74C1"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Meeting market demands</w:t>
            </w:r>
          </w:p>
          <w:p w14:paraId="347B0813"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Business agility – proactive vs. reactive</w:t>
            </w:r>
          </w:p>
          <w:p w14:paraId="6EF19352"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Geo expansion</w:t>
            </w:r>
          </w:p>
          <w:p w14:paraId="79C29473" w14:textId="44ADA980" w:rsidR="00194CCB" w:rsidRPr="00194CCB" w:rsidRDefault="00194CCB" w:rsidP="00194CCB">
            <w:pPr>
              <w:spacing w:after="0" w:line="276" w:lineRule="auto"/>
              <w:rPr>
                <w:rFonts w:ascii="Segoe UI" w:hAnsi="Segoe UI" w:cs="Segoe UI"/>
                <w:sz w:val="20"/>
                <w:szCs w:val="20"/>
                <w:lang w:eastAsia="en-US"/>
              </w:rPr>
            </w:pPr>
            <w:r w:rsidRPr="00194CCB">
              <w:rPr>
                <w:rFonts w:ascii="Segoe UI" w:hAnsi="Segoe UI" w:cs="Segoe UI"/>
                <w:sz w:val="20"/>
                <w:szCs w:val="20"/>
              </w:rPr>
              <w:t>Varying workforces</w:t>
            </w:r>
          </w:p>
        </w:tc>
        <w:tc>
          <w:tcPr>
            <w:tcW w:w="2700" w:type="dxa"/>
          </w:tcPr>
          <w:p w14:paraId="6F0F9849"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Building cloud native </w:t>
            </w:r>
            <w:proofErr w:type="gramStart"/>
            <w:r w:rsidRPr="00194CCB">
              <w:rPr>
                <w:rFonts w:ascii="Segoe UI" w:hAnsi="Segoe UI" w:cs="Segoe UI"/>
                <w:sz w:val="20"/>
                <w:szCs w:val="20"/>
              </w:rPr>
              <w:t>capabilities;</w:t>
            </w:r>
            <w:proofErr w:type="gramEnd"/>
          </w:p>
          <w:p w14:paraId="445224D3"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Extendable for future projects; Improve / Transform customer experiences of</w:t>
            </w:r>
          </w:p>
          <w:p w14:paraId="1E5B99AE"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products or </w:t>
            </w:r>
            <w:proofErr w:type="gramStart"/>
            <w:r w:rsidRPr="00194CCB">
              <w:rPr>
                <w:rFonts w:ascii="Segoe UI" w:hAnsi="Segoe UI" w:cs="Segoe UI"/>
                <w:sz w:val="20"/>
                <w:szCs w:val="20"/>
              </w:rPr>
              <w:t>services;</w:t>
            </w:r>
            <w:proofErr w:type="gramEnd"/>
          </w:p>
          <w:p w14:paraId="7AAE4196" w14:textId="26A58FDF"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Disrupt the market with new products or services;</w:t>
            </w:r>
          </w:p>
        </w:tc>
      </w:tr>
    </w:tbl>
    <w:p w14:paraId="5307850C" w14:textId="6287F732" w:rsidR="00194CCB" w:rsidRDefault="00194CCB" w:rsidP="00194CCB">
      <w:pPr>
        <w:spacing w:after="0" w:line="276" w:lineRule="auto"/>
        <w:jc w:val="both"/>
        <w:rPr>
          <w:rFonts w:cstheme="minorHAnsi"/>
          <w:szCs w:val="20"/>
        </w:rPr>
      </w:pPr>
    </w:p>
    <w:p w14:paraId="44DB5E64" w14:textId="77777777" w:rsidR="00795897" w:rsidRPr="00CD1E7A" w:rsidRDefault="00795897" w:rsidP="002D66C3">
      <w:pPr>
        <w:spacing w:after="0" w:line="276" w:lineRule="auto"/>
        <w:jc w:val="both"/>
        <w:rPr>
          <w:rFonts w:cstheme="minorHAnsi"/>
          <w:szCs w:val="22"/>
        </w:rPr>
      </w:pPr>
      <w:r w:rsidRPr="00CD1E7A">
        <w:rPr>
          <w:rFonts w:cstheme="minorHAnsi"/>
          <w:szCs w:val="22"/>
        </w:rPr>
        <w:t>Your motivations for cloud adoption will likely fall into multiple categories. As you're building the list of motivations, trends will likely emerge. Motivations tend to be associated more with one classification than with others. Use the predominant classification to help guide the development of your cloud adoption strategy.</w:t>
      </w:r>
    </w:p>
    <w:p w14:paraId="2EC10589" w14:textId="77777777" w:rsidR="00795897" w:rsidRPr="00CD1E7A" w:rsidRDefault="00795897" w:rsidP="002D66C3">
      <w:pPr>
        <w:spacing w:before="240" w:after="0" w:line="276" w:lineRule="auto"/>
        <w:jc w:val="both"/>
        <w:rPr>
          <w:rFonts w:cstheme="minorHAnsi"/>
          <w:szCs w:val="22"/>
        </w:rPr>
      </w:pPr>
      <w:r w:rsidRPr="00CD1E7A">
        <w:rPr>
          <w:rFonts w:cstheme="minorHAnsi"/>
          <w:szCs w:val="22"/>
        </w:rPr>
        <w:t>When a response to critical business events is the highest priority, it's important to </w:t>
      </w:r>
      <w:hyperlink r:id="rId13" w:history="1">
        <w:r w:rsidRPr="00CD1E7A">
          <w:rPr>
            <w:rStyle w:val="Hyperlink"/>
            <w:rFonts w:cstheme="minorHAnsi"/>
            <w:szCs w:val="22"/>
          </w:rPr>
          <w:t>get started with migration</w:t>
        </w:r>
      </w:hyperlink>
      <w:r w:rsidRPr="00CD1E7A">
        <w:rPr>
          <w:rFonts w:cstheme="minorHAnsi"/>
          <w:szCs w:val="22"/>
        </w:rPr>
        <w:t> early, often in parallel with strategy and planning efforts. Taking this approach requires a growth mindset and a willingness to iteratively improve processes, based on direct lessons learned.</w:t>
      </w:r>
    </w:p>
    <w:p w14:paraId="3DFE1F21" w14:textId="77777777" w:rsidR="00795897" w:rsidRPr="00CD1E7A" w:rsidRDefault="00795897" w:rsidP="002D66C3">
      <w:pPr>
        <w:spacing w:before="240" w:after="0" w:line="276" w:lineRule="auto"/>
        <w:jc w:val="both"/>
        <w:rPr>
          <w:rFonts w:cstheme="minorBidi"/>
        </w:rPr>
      </w:pPr>
      <w:r w:rsidRPr="095CCE55">
        <w:rPr>
          <w:rFonts w:cstheme="minorBidi"/>
        </w:rPr>
        <w:t>When migration is the highest priority, strategy and planning will play a vital role early in the process. We recommend that you implement the first workload in parallel with planning efforts, to help the team understand and anticipate any learning curves that are associated with cloud adoption.</w:t>
      </w:r>
    </w:p>
    <w:p w14:paraId="58FCFDF8" w14:textId="77777777" w:rsidR="00795897" w:rsidRPr="00CD1E7A" w:rsidRDefault="00795897" w:rsidP="002D66C3">
      <w:pPr>
        <w:spacing w:before="240" w:after="0" w:line="276" w:lineRule="auto"/>
        <w:jc w:val="both"/>
        <w:rPr>
          <w:rFonts w:cstheme="minorHAnsi"/>
          <w:szCs w:val="22"/>
        </w:rPr>
      </w:pPr>
      <w:r w:rsidRPr="00CD1E7A">
        <w:rPr>
          <w:rFonts w:cstheme="minorHAnsi"/>
          <w:szCs w:val="22"/>
        </w:rPr>
        <w:t>When innovation is the highest priority, strategy and planning require additional investments early in the process to ensure balance in the portfolio and wise alignment of the investment made during cloud adoption. For further information and guidance, see </w:t>
      </w:r>
      <w:hyperlink r:id="rId14" w:history="1">
        <w:r w:rsidRPr="00CD1E7A">
          <w:rPr>
            <w:rStyle w:val="Hyperlink"/>
            <w:rFonts w:cstheme="minorHAnsi"/>
            <w:szCs w:val="22"/>
          </w:rPr>
          <w:t>Understand the innovation journey</w:t>
        </w:r>
      </w:hyperlink>
      <w:r w:rsidRPr="00CD1E7A">
        <w:rPr>
          <w:rFonts w:cstheme="minorHAnsi"/>
          <w:szCs w:val="22"/>
        </w:rPr>
        <w:t>.</w:t>
      </w:r>
    </w:p>
    <w:p w14:paraId="554F9C3B" w14:textId="77777777" w:rsidR="009C312B" w:rsidRDefault="00795897" w:rsidP="002D66C3">
      <w:pPr>
        <w:spacing w:after="0" w:line="276" w:lineRule="auto"/>
        <w:jc w:val="both"/>
        <w:rPr>
          <w:rFonts w:cstheme="minorBidi"/>
          <w:color w:val="171717"/>
          <w:shd w:val="clear" w:color="auto" w:fill="FFFFFF"/>
        </w:rPr>
      </w:pPr>
      <w:r w:rsidRPr="59369FC3">
        <w:rPr>
          <w:rFonts w:cstheme="minorBidi"/>
          <w:color w:val="171717"/>
          <w:shd w:val="clear" w:color="auto" w:fill="FFFFFF"/>
        </w:rPr>
        <w:t xml:space="preserve">To ensure wiser decision-making, all participants in the migration process should have a clear awareness of their motivations. </w:t>
      </w:r>
    </w:p>
    <w:p w14:paraId="7CA7E9C8" w14:textId="0A96C6A7" w:rsidR="00795897" w:rsidRPr="002D66C3" w:rsidRDefault="00795897" w:rsidP="009C312B">
      <w:pPr>
        <w:spacing w:before="240" w:after="0" w:line="276" w:lineRule="auto"/>
        <w:jc w:val="both"/>
        <w:rPr>
          <w:rFonts w:ascii="Segoe UI" w:hAnsi="Segoe UI" w:cs="Segoe UI"/>
          <w:sz w:val="20"/>
          <w:szCs w:val="20"/>
        </w:rPr>
      </w:pPr>
      <w:r w:rsidRPr="59369FC3">
        <w:rPr>
          <w:rFonts w:cstheme="minorBidi"/>
          <w:color w:val="171717"/>
          <w:shd w:val="clear" w:color="auto" w:fill="FFFFFF"/>
        </w:rPr>
        <w:t>The following section outlines how customers can guide and effect wiser decisions through consistent, strategic methodologies.</w:t>
      </w:r>
    </w:p>
    <w:p w14:paraId="00E5DEE5" w14:textId="77777777" w:rsidR="002D66C3" w:rsidRPr="002D66C3" w:rsidRDefault="002D66C3" w:rsidP="002D66C3">
      <w:pPr>
        <w:pStyle w:val="Heading3"/>
        <w:ind w:left="720"/>
      </w:pPr>
      <w:bookmarkStart w:id="15" w:name="_Toc40394450"/>
      <w:bookmarkStart w:id="16" w:name="_Toc42608858"/>
      <w:bookmarkStart w:id="17" w:name="_Toc44316291"/>
      <w:r w:rsidRPr="002D66C3">
        <w:t>Cost</w:t>
      </w:r>
      <w:bookmarkEnd w:id="15"/>
      <w:bookmarkEnd w:id="16"/>
      <w:bookmarkEnd w:id="17"/>
    </w:p>
    <w:p w14:paraId="0DA49744"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One of the most consistent business motivations when adopting or migrating to a new technology is </w:t>
      </w:r>
      <w:r w:rsidRPr="002D66C3">
        <w:rPr>
          <w:rFonts w:ascii="Segoe UI" w:hAnsi="Segoe UI" w:cs="Segoe UI"/>
          <w:b/>
          <w:bCs/>
          <w:sz w:val="20"/>
          <w:szCs w:val="20"/>
        </w:rPr>
        <w:t>cost</w:t>
      </w:r>
      <w:r w:rsidRPr="002D66C3">
        <w:rPr>
          <w:rFonts w:ascii="Segoe UI" w:hAnsi="Segoe UI" w:cs="Segoe UI"/>
          <w:sz w:val="20"/>
          <w:szCs w:val="20"/>
        </w:rPr>
        <w:t>.</w:t>
      </w:r>
    </w:p>
    <w:p w14:paraId="7E4BB549"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A well-known scenario goes as follows: how do you maintain and operate a virtualized on-prem data center in a cost-effective manner? The short answer: you cannot. There are numerous complex variables that needs to be considered when maintaining your own data center. Both operational and capital expenses are generally quite steep. Containing enough labor to continuously monitor and manage the infrastructure, coupled with the acquisition of new hardware or hardware refresh, are all elements that raise cost. </w:t>
      </w:r>
    </w:p>
    <w:p w14:paraId="3976B5F5"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Nonetheless, migrating SQL server and adopting a cloud-based data center will make things more cost-effective. More specifically, adopting Azure SQL server significantly reduces average cost, per server, per (up to 75% in some instances), compared to the </w:t>
      </w:r>
      <w:proofErr w:type="gramStart"/>
      <w:r w:rsidRPr="002D66C3">
        <w:rPr>
          <w:rFonts w:ascii="Segoe UI" w:hAnsi="Segoe UI" w:cs="Segoe UI"/>
          <w:sz w:val="20"/>
          <w:szCs w:val="20"/>
        </w:rPr>
        <w:t>on-premise</w:t>
      </w:r>
      <w:proofErr w:type="gramEnd"/>
      <w:r w:rsidRPr="002D66C3">
        <w:rPr>
          <w:rFonts w:ascii="Segoe UI" w:hAnsi="Segoe UI" w:cs="Segoe UI"/>
          <w:sz w:val="20"/>
          <w:szCs w:val="20"/>
        </w:rPr>
        <w:t xml:space="preserve"> SQL server data centers. The reason being: with a multi-session layout, it is possible to have a significantly higher utilization of your resources when sharing a VM compared to build a VM and use it partly.</w:t>
      </w:r>
    </w:p>
    <w:p w14:paraId="1A2F409D"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Azure SQL also eliminates the need for deploying your own management infrastructure since it is provided by Azure– this significantly reduces the required labor cost and additional license fees. All in all, Azure SQL brings down the overall TCO for managing and maintaining your virtualized workloads.</w:t>
      </w:r>
    </w:p>
    <w:p w14:paraId="21CE7AE3" w14:textId="77777777" w:rsidR="002D66C3" w:rsidRPr="002D66C3" w:rsidRDefault="002D66C3" w:rsidP="002D66C3">
      <w:pPr>
        <w:pStyle w:val="Heading3"/>
        <w:ind w:left="720"/>
      </w:pPr>
      <w:bookmarkStart w:id="18" w:name="_Toc40394451"/>
      <w:bookmarkStart w:id="19" w:name="_Toc42608859"/>
      <w:bookmarkStart w:id="20" w:name="_Toc44316292"/>
      <w:r w:rsidRPr="002D66C3">
        <w:t>Security</w:t>
      </w:r>
      <w:bookmarkEnd w:id="18"/>
      <w:bookmarkEnd w:id="19"/>
      <w:bookmarkEnd w:id="20"/>
    </w:p>
    <w:p w14:paraId="094D249E"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Security protocols and compliance issues regarding data or applications are a very common scenario in regulated industries. As such, the need to be quickly assessed but finding a solution is often complex and time consuming.</w:t>
      </w:r>
    </w:p>
    <w:p w14:paraId="6F82862E"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Keeping your data secure, regardless of endpoint devices, is one of Azure SQL’s many strengths. Azure has “reverse connect,” which literally negates the need for inbound traffic and reduces the overall attack surface of your ecosystem. Furthermore, Azure Active Directory authentication makes sure that all connections and user data is isolated for valid users within your ecosystem, making data sovereignty requirements easy to handle. </w:t>
      </w:r>
    </w:p>
    <w:p w14:paraId="7D62892B"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More recently, Windows 7 dropped support, resulting in a wide variety of compliance issues for many businesses. Azure SQL allows to upgrade automatically, cost free (Whenever a new compliance or software upgrade is enforced by Microsoft). The Infrastructure is maintained by </w:t>
      </w:r>
      <w:proofErr w:type="gramStart"/>
      <w:r w:rsidRPr="002D66C3">
        <w:rPr>
          <w:rFonts w:ascii="Segoe UI" w:hAnsi="Segoe UI" w:cs="Segoe UI"/>
          <w:sz w:val="20"/>
          <w:szCs w:val="20"/>
        </w:rPr>
        <w:t>Microsoft</w:t>
      </w:r>
      <w:proofErr w:type="gramEnd"/>
      <w:r w:rsidRPr="002D66C3">
        <w:rPr>
          <w:rFonts w:ascii="Segoe UI" w:hAnsi="Segoe UI" w:cs="Segoe UI"/>
          <w:sz w:val="20"/>
          <w:szCs w:val="20"/>
        </w:rPr>
        <w:t xml:space="preserve"> so businesses do not have to be concerned with gateways or connection brokers.</w:t>
      </w:r>
    </w:p>
    <w:p w14:paraId="48353D91"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If you connect Azure SQL server to your existing Microsoft ecosystem, you can take advantage of Conditional Access, Multi-Factor Authentication, Role-based Access Control present and combine it with Azure’s compliance offerings and extensive team cybersecurity experts – effectively making Azure SQL servers one of the most secure environment on the market.</w:t>
      </w:r>
    </w:p>
    <w:p w14:paraId="3D87C2C3" w14:textId="77777777" w:rsidR="002D66C3" w:rsidRPr="002D66C3" w:rsidRDefault="002D66C3" w:rsidP="002D66C3">
      <w:pPr>
        <w:pStyle w:val="Heading3"/>
        <w:ind w:left="720"/>
      </w:pPr>
      <w:bookmarkStart w:id="21" w:name="_Toc40394452"/>
      <w:bookmarkStart w:id="22" w:name="_Toc42608860"/>
      <w:bookmarkStart w:id="23" w:name="_Toc44316293"/>
      <w:r w:rsidRPr="002D66C3">
        <w:t>Scale</w:t>
      </w:r>
      <w:bookmarkEnd w:id="21"/>
      <w:bookmarkEnd w:id="22"/>
      <w:bookmarkEnd w:id="23"/>
    </w:p>
    <w:p w14:paraId="1C477993"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Scaling your business to accommodate new market demands, geological expansion, or remote workers is a constant scenario.</w:t>
      </w:r>
    </w:p>
    <w:p w14:paraId="7D0FC1DC"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The SQL Cloud Ecosystem, with its ability to scale to any extent, can accommodate most modern-day business challenges. Azure SQL has the capacity to scale resources up or down efficiently and on demand, while also maintaining a seamless, rich end-user client experience. In addition, SQL server’s auto scale compute functionality allows companies to manage various deployment types, across a myriad of deployment planes. Also, Azure makes it possible to tailor specific virtual machines to different user groups that require dissimilar computing requirements.</w:t>
      </w:r>
    </w:p>
    <w:p w14:paraId="608CFD5F"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Currently, Microsoft Azure boasts the largest geographical footprint of any cloud provider with more than 54 Azure Regions. This expansive footprint, in turn, enables an easy transition with new mergers and acquisitions, as well as enabling your remote workforce, irrespective of geographical location.</w:t>
      </w:r>
    </w:p>
    <w:p w14:paraId="1BE10772"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If a business’s data journey requires the reuse of existing investments, such as No-SQL databases, SAP Azure SQL has the inherent ability to support both persistent and non-persistent environments. </w:t>
      </w:r>
    </w:p>
    <w:p w14:paraId="3B7DE737" w14:textId="77777777" w:rsidR="00C51717" w:rsidRPr="00C51717" w:rsidRDefault="00C51717" w:rsidP="00C51717">
      <w:pPr>
        <w:pStyle w:val="Heading3"/>
        <w:ind w:left="720"/>
      </w:pPr>
      <w:bookmarkStart w:id="24" w:name="_Toc40394453"/>
      <w:bookmarkStart w:id="25" w:name="_Toc42608861"/>
      <w:bookmarkStart w:id="26" w:name="_Toc44316294"/>
      <w:r w:rsidRPr="00C51717">
        <w:t>Innovation</w:t>
      </w:r>
      <w:bookmarkEnd w:id="24"/>
      <w:bookmarkEnd w:id="25"/>
      <w:bookmarkEnd w:id="26"/>
    </w:p>
    <w:p w14:paraId="681C001F" w14:textId="77777777" w:rsidR="00C51717" w:rsidRPr="00C51717" w:rsidRDefault="00C51717" w:rsidP="00C51717">
      <w:pPr>
        <w:spacing w:line="276" w:lineRule="auto"/>
        <w:jc w:val="both"/>
        <w:rPr>
          <w:rFonts w:ascii="Segoe UI" w:hAnsi="Segoe UI" w:cs="Segoe UI"/>
          <w:sz w:val="20"/>
          <w:szCs w:val="20"/>
        </w:rPr>
      </w:pPr>
      <w:r w:rsidRPr="00C51717">
        <w:rPr>
          <w:rFonts w:ascii="Segoe UI" w:hAnsi="Segoe UI" w:cs="Segoe UI"/>
          <w:sz w:val="20"/>
          <w:szCs w:val="20"/>
        </w:rPr>
        <w:t xml:space="preserve">Innovative business motivators within our bracket generally focus on business agility and adapting to changing landscapes. </w:t>
      </w:r>
      <w:proofErr w:type="gramStart"/>
      <w:r w:rsidRPr="00C51717">
        <w:rPr>
          <w:rFonts w:ascii="Segoe UI" w:hAnsi="Segoe UI" w:cs="Segoe UI"/>
          <w:sz w:val="20"/>
          <w:szCs w:val="20"/>
        </w:rPr>
        <w:t>In order to</w:t>
      </w:r>
      <w:proofErr w:type="gramEnd"/>
      <w:r w:rsidRPr="00C51717">
        <w:rPr>
          <w:rFonts w:ascii="Segoe UI" w:hAnsi="Segoe UI" w:cs="Segoe UI"/>
          <w:sz w:val="20"/>
          <w:szCs w:val="20"/>
        </w:rPr>
        <w:t xml:space="preserve"> disrupt an existing market or satisfy an increase in demand, businesses need a sustainable and trustable environment. </w:t>
      </w:r>
    </w:p>
    <w:p w14:paraId="153D889F" w14:textId="77777777" w:rsidR="00C51717" w:rsidRPr="00C51717" w:rsidRDefault="00C51717" w:rsidP="00C51717">
      <w:pPr>
        <w:spacing w:after="0" w:line="276" w:lineRule="auto"/>
        <w:jc w:val="both"/>
        <w:rPr>
          <w:rFonts w:ascii="Segoe UI" w:hAnsi="Segoe UI" w:cs="Segoe UI"/>
          <w:sz w:val="20"/>
          <w:szCs w:val="20"/>
        </w:rPr>
      </w:pPr>
      <w:r w:rsidRPr="00C51717">
        <w:rPr>
          <w:rFonts w:ascii="Segoe UI" w:hAnsi="Segoe UI" w:cs="Segoe UI"/>
          <w:sz w:val="20"/>
          <w:szCs w:val="20"/>
        </w:rPr>
        <w:t>The following list includes motivations that cause an IT organization to focus more on an innovate strategy than a migrate strategy.</w:t>
      </w:r>
    </w:p>
    <w:p w14:paraId="74AEE9B1"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Increasing business agility.</w:t>
      </w:r>
    </w:p>
    <w:p w14:paraId="75481266"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Preparing for new technical capabilities.</w:t>
      </w:r>
    </w:p>
    <w:p w14:paraId="68F6D0DB"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Building new technical capabilities.</w:t>
      </w:r>
    </w:p>
    <w:p w14:paraId="5FB760DC"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Scaling to meet market demands.</w:t>
      </w:r>
    </w:p>
    <w:p w14:paraId="190BC911"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Scaling to meet geographic demands.</w:t>
      </w:r>
    </w:p>
    <w:p w14:paraId="742D4F4A"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Improving customer experiences and engagements.</w:t>
      </w:r>
    </w:p>
    <w:p w14:paraId="0947B9FB"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Transforming products or services.</w:t>
      </w:r>
    </w:p>
    <w:p w14:paraId="1FB67B79" w14:textId="77777777" w:rsidR="00C51717" w:rsidRPr="00C51717" w:rsidRDefault="00C51717" w:rsidP="00C51717">
      <w:pPr>
        <w:spacing w:line="276" w:lineRule="auto"/>
        <w:jc w:val="both"/>
        <w:rPr>
          <w:rFonts w:ascii="Segoe UI" w:hAnsi="Segoe UI" w:cs="Segoe UI"/>
          <w:sz w:val="20"/>
          <w:szCs w:val="20"/>
        </w:rPr>
      </w:pPr>
      <w:r w:rsidRPr="00C51717">
        <w:rPr>
          <w:rFonts w:ascii="Segoe UI" w:hAnsi="Segoe UI" w:cs="Segoe UI"/>
          <w:sz w:val="20"/>
          <w:szCs w:val="20"/>
        </w:rPr>
        <w:t>As mentioned earlier, Azure SQL offers a business unparalleled agility with its unlimited scaling potential that can accommodate nearly any workload significantly faster than acquiring the equivalent hardware. Furthermore, Azure SQL offers geographically diversified team access, while, at the same time, keeping cost considerably lower.</w:t>
      </w:r>
    </w:p>
    <w:p w14:paraId="36AB87A8" w14:textId="77777777" w:rsidR="00C51717" w:rsidRPr="00C51717" w:rsidRDefault="00C51717" w:rsidP="00C51717">
      <w:pPr>
        <w:spacing w:line="276" w:lineRule="auto"/>
        <w:contextualSpacing/>
        <w:jc w:val="both"/>
        <w:rPr>
          <w:rFonts w:ascii="Segoe UI" w:hAnsi="Segoe UI" w:cs="Segoe UI"/>
          <w:sz w:val="20"/>
          <w:szCs w:val="20"/>
        </w:rPr>
      </w:pPr>
      <w:r w:rsidRPr="00C51717">
        <w:rPr>
          <w:rFonts w:ascii="Segoe UI" w:hAnsi="Segoe UI" w:cs="Segoe UI"/>
          <w:sz w:val="20"/>
          <w:szCs w:val="20"/>
        </w:rPr>
        <w:t>Leveraging Azure SQL also enables any business and customers the capacity to utilize Azure’s end-to-end monitoring and diagnostic services. These services make the identification of root causes efficient and fast compared</w:t>
      </w:r>
    </w:p>
    <w:p w14:paraId="57CC3973" w14:textId="77777777" w:rsidR="009C312B" w:rsidRPr="009C312B" w:rsidRDefault="009C312B" w:rsidP="009C312B">
      <w:pPr>
        <w:pStyle w:val="Heading2"/>
        <w:spacing w:after="120"/>
      </w:pPr>
      <w:bookmarkStart w:id="27" w:name="_Toc42608862"/>
      <w:bookmarkStart w:id="28" w:name="_Toc44316295"/>
      <w:r w:rsidRPr="009C312B">
        <w:t>Business Outcomes</w:t>
      </w:r>
      <w:bookmarkEnd w:id="27"/>
      <w:bookmarkEnd w:id="28"/>
    </w:p>
    <w:p w14:paraId="2872C303" w14:textId="77777777" w:rsidR="009C312B" w:rsidRPr="009C312B" w:rsidRDefault="009C312B" w:rsidP="009C312B">
      <w:pPr>
        <w:pStyle w:val="BodyText"/>
        <w:spacing w:line="276" w:lineRule="auto"/>
        <w:rPr>
          <w:rFonts w:ascii="Segoe UI" w:hAnsi="Segoe UI" w:cs="Segoe UI"/>
          <w:sz w:val="20"/>
        </w:rPr>
      </w:pPr>
      <w:r w:rsidRPr="009C312B">
        <w:rPr>
          <w:rFonts w:ascii="Segoe UI" w:hAnsi="Segoe UI" w:cs="Segoe UI"/>
          <w:sz w:val="20"/>
        </w:rPr>
        <w:t>The most successful transformation journeys start with a business outcome in mind. Cloud adoption can be a costly and time-consuming effort. Fostering the right level of support from IT and other areas of the business is crucial to success.</w:t>
      </w:r>
    </w:p>
    <w:p w14:paraId="0DDDE1F5" w14:textId="65307C74" w:rsidR="009C312B" w:rsidRDefault="009C312B" w:rsidP="009C312B">
      <w:pPr>
        <w:spacing w:after="0" w:line="276" w:lineRule="auto"/>
        <w:contextualSpacing/>
        <w:jc w:val="both"/>
        <w:rPr>
          <w:rFonts w:ascii="Segoe UI" w:hAnsi="Segoe UI" w:cs="Segoe UI"/>
          <w:sz w:val="20"/>
          <w:szCs w:val="20"/>
        </w:rPr>
      </w:pPr>
      <w:r w:rsidRPr="009C312B">
        <w:rPr>
          <w:rFonts w:ascii="Segoe UI" w:hAnsi="Segoe UI" w:cs="Segoe UI"/>
          <w:sz w:val="20"/>
          <w:szCs w:val="20"/>
        </w:rPr>
        <w:t>During any cloud transformation, the ability to speak in terms of business outcomes supports transparency and cross-functional partnerships. The business outcome framework starts with a simple template to help technically minded individuals document and gain consensus. This template can be used with several business stakeholders to collect a variety of business outcomes, which could each be influenced by a company's transformation journey. Feel free to use this template electronically or, better still, draw it on a whiteboard to engage business leaders and stakeholders in outcome-focused discussions.</w:t>
      </w:r>
      <w:r>
        <w:rPr>
          <w:rFonts w:ascii="Segoe UI" w:hAnsi="Segoe UI" w:cs="Segoe UI"/>
          <w:sz w:val="20"/>
          <w:szCs w:val="20"/>
        </w:rPr>
        <w:t xml:space="preserve"> </w:t>
      </w:r>
      <w:r w:rsidRPr="009C312B">
        <w:rPr>
          <w:rFonts w:ascii="Segoe UI" w:hAnsi="Segoe UI" w:cs="Segoe UI"/>
          <w:sz w:val="20"/>
          <w:szCs w:val="20"/>
        </w:rPr>
        <w:t>To learn more about business outcomes and the business outcome template, see </w:t>
      </w:r>
    </w:p>
    <w:p w14:paraId="618EFD76" w14:textId="77777777" w:rsidR="009C312B" w:rsidRPr="00911F70" w:rsidRDefault="001C4E92" w:rsidP="00860AA6">
      <w:pPr>
        <w:pStyle w:val="ListParagraph"/>
        <w:numPr>
          <w:ilvl w:val="0"/>
          <w:numId w:val="3"/>
        </w:numPr>
        <w:spacing w:after="0" w:line="276" w:lineRule="auto"/>
        <w:jc w:val="both"/>
        <w:rPr>
          <w:rFonts w:ascii="Segoe UI" w:hAnsi="Segoe UI" w:cs="Segoe UI"/>
          <w:sz w:val="20"/>
          <w:szCs w:val="20"/>
        </w:rPr>
      </w:pPr>
      <w:hyperlink r:id="rId15" w:history="1">
        <w:r w:rsidR="009C312B" w:rsidRPr="00911F70">
          <w:rPr>
            <w:rStyle w:val="Hyperlink"/>
            <w:rFonts w:ascii="Segoe UI" w:hAnsi="Segoe UI" w:cs="Segoe UI"/>
            <w:color w:val="auto"/>
            <w:sz w:val="20"/>
            <w:szCs w:val="20"/>
            <w:u w:val="none"/>
          </w:rPr>
          <w:t>Documenting business outcomes</w:t>
        </w:r>
      </w:hyperlink>
      <w:r w:rsidR="009C312B" w:rsidRPr="00911F70">
        <w:rPr>
          <w:rFonts w:ascii="Segoe UI" w:hAnsi="Segoe UI" w:cs="Segoe UI"/>
          <w:sz w:val="20"/>
          <w:szCs w:val="20"/>
        </w:rPr>
        <w:t xml:space="preserve">, or </w:t>
      </w:r>
    </w:p>
    <w:p w14:paraId="5F11EDA5" w14:textId="6AA53C9D" w:rsidR="009C312B" w:rsidRPr="00911F70" w:rsidRDefault="009C312B" w:rsidP="00860AA6">
      <w:pPr>
        <w:pStyle w:val="ListParagraph"/>
        <w:numPr>
          <w:ilvl w:val="0"/>
          <w:numId w:val="3"/>
        </w:numPr>
        <w:spacing w:line="276" w:lineRule="auto"/>
        <w:jc w:val="both"/>
        <w:rPr>
          <w:rFonts w:ascii="Segoe UI" w:hAnsi="Segoe UI" w:cs="Segoe UI"/>
          <w:sz w:val="20"/>
          <w:szCs w:val="20"/>
        </w:rPr>
      </w:pPr>
      <w:r w:rsidRPr="00911F70">
        <w:rPr>
          <w:rStyle w:val="Hyperlink"/>
          <w:rFonts w:ascii="Segoe UI" w:eastAsia="Segoe UI" w:hAnsi="Segoe UI" w:cs="Segoe UI"/>
          <w:color w:val="auto"/>
          <w:sz w:val="20"/>
          <w:szCs w:val="20"/>
          <w:u w:val="none"/>
        </w:rPr>
        <w:t>Download</w:t>
      </w:r>
      <w:r w:rsidRPr="00911F70">
        <w:rPr>
          <w:rFonts w:ascii="Segoe UI" w:hAnsi="Segoe UI" w:cs="Segoe UI"/>
          <w:sz w:val="20"/>
          <w:szCs w:val="20"/>
        </w:rPr>
        <w:t xml:space="preserve"> the </w:t>
      </w:r>
      <w:hyperlink r:id="rId16" w:history="1">
        <w:r w:rsidRPr="00911F70">
          <w:rPr>
            <w:rStyle w:val="Hyperlink"/>
            <w:rFonts w:ascii="Segoe UI" w:hAnsi="Segoe UI" w:cs="Segoe UI"/>
            <w:color w:val="auto"/>
            <w:sz w:val="20"/>
            <w:szCs w:val="20"/>
            <w:u w:val="none"/>
          </w:rPr>
          <w:t>business outcome template</w:t>
        </w:r>
      </w:hyperlink>
      <w:r w:rsidRPr="00911F70">
        <w:rPr>
          <w:rFonts w:ascii="Segoe UI" w:hAnsi="Segoe UI" w:cs="Segoe UI"/>
          <w:sz w:val="20"/>
          <w:szCs w:val="20"/>
        </w:rPr>
        <w:t>.</w:t>
      </w:r>
    </w:p>
    <w:p w14:paraId="15F2BED3" w14:textId="77777777" w:rsidR="009C312B" w:rsidRDefault="009C312B" w:rsidP="009C312B">
      <w:pPr>
        <w:spacing w:after="0" w:line="276" w:lineRule="auto"/>
        <w:contextualSpacing/>
        <w:jc w:val="both"/>
        <w:rPr>
          <w:rFonts w:ascii="Segoe UI" w:hAnsi="Segoe UI" w:cs="Segoe UI"/>
          <w:sz w:val="20"/>
          <w:szCs w:val="20"/>
        </w:rPr>
      </w:pPr>
      <w:r w:rsidRPr="009C312B">
        <w:rPr>
          <w:rFonts w:ascii="Segoe UI" w:hAnsi="Segoe UI" w:cs="Segoe UI"/>
          <w:sz w:val="20"/>
          <w:szCs w:val="20"/>
        </w:rPr>
        <w:t>During any cloud transformation, the ability to speak in terms of business outcomes supports transparency and cross-functional partnerships. The business outcome framework starts with a simple template to help technically minded individuals document and gain consensus. This template can be used with several business stakeholders to collect a variety of business outcomes, which could each be influenced by a company's transformation journey. Feel free to use this template electronically or, better still, draw it on a whiteboard to engage business leaders and stakeholders in outcome-focused discussions.</w:t>
      </w:r>
      <w:r>
        <w:rPr>
          <w:rFonts w:ascii="Segoe UI" w:hAnsi="Segoe UI" w:cs="Segoe UI"/>
          <w:sz w:val="20"/>
          <w:szCs w:val="20"/>
        </w:rPr>
        <w:t xml:space="preserve"> </w:t>
      </w:r>
      <w:r w:rsidRPr="009C312B">
        <w:rPr>
          <w:rFonts w:ascii="Segoe UI" w:hAnsi="Segoe UI" w:cs="Segoe UI"/>
          <w:sz w:val="20"/>
          <w:szCs w:val="20"/>
        </w:rPr>
        <w:t>To learn more about business outcomes and the business outcome template, see </w:t>
      </w:r>
    </w:p>
    <w:p w14:paraId="431AB150" w14:textId="77777777" w:rsidR="009C312B" w:rsidRPr="00911F70" w:rsidRDefault="001C4E92" w:rsidP="00860AA6">
      <w:pPr>
        <w:pStyle w:val="ListParagraph"/>
        <w:numPr>
          <w:ilvl w:val="0"/>
          <w:numId w:val="3"/>
        </w:numPr>
        <w:spacing w:after="0" w:line="276" w:lineRule="auto"/>
        <w:jc w:val="both"/>
        <w:rPr>
          <w:rFonts w:ascii="Segoe UI" w:hAnsi="Segoe UI" w:cs="Segoe UI"/>
          <w:sz w:val="20"/>
          <w:szCs w:val="20"/>
        </w:rPr>
      </w:pPr>
      <w:hyperlink r:id="rId17" w:history="1">
        <w:r w:rsidR="009C312B" w:rsidRPr="00911F70">
          <w:rPr>
            <w:rStyle w:val="Hyperlink"/>
            <w:rFonts w:ascii="Segoe UI" w:eastAsia="Segoe UI" w:hAnsi="Segoe UI" w:cs="Segoe UI"/>
            <w:color w:val="auto"/>
            <w:sz w:val="20"/>
            <w:szCs w:val="20"/>
            <w:u w:val="none"/>
          </w:rPr>
          <w:t>Documenting</w:t>
        </w:r>
        <w:r w:rsidR="009C312B" w:rsidRPr="00911F70">
          <w:rPr>
            <w:rStyle w:val="Hyperlink"/>
            <w:rFonts w:ascii="Segoe UI" w:hAnsi="Segoe UI" w:cs="Segoe UI"/>
            <w:color w:val="auto"/>
            <w:sz w:val="20"/>
            <w:szCs w:val="20"/>
            <w:u w:val="none"/>
          </w:rPr>
          <w:t xml:space="preserve"> business outcomes</w:t>
        </w:r>
      </w:hyperlink>
      <w:r w:rsidR="009C312B" w:rsidRPr="00911F70">
        <w:rPr>
          <w:rFonts w:ascii="Segoe UI" w:hAnsi="Segoe UI" w:cs="Segoe UI"/>
          <w:sz w:val="20"/>
          <w:szCs w:val="20"/>
        </w:rPr>
        <w:t xml:space="preserve">, or </w:t>
      </w:r>
    </w:p>
    <w:p w14:paraId="3FBDA5AF" w14:textId="18DFCC78" w:rsidR="009C312B" w:rsidRPr="00911F70" w:rsidRDefault="009C312B" w:rsidP="00860AA6">
      <w:pPr>
        <w:pStyle w:val="ListParagraph"/>
        <w:numPr>
          <w:ilvl w:val="0"/>
          <w:numId w:val="3"/>
        </w:numPr>
        <w:spacing w:line="276" w:lineRule="auto"/>
        <w:jc w:val="both"/>
        <w:rPr>
          <w:rFonts w:ascii="Segoe UI" w:hAnsi="Segoe UI" w:cs="Segoe UI"/>
          <w:sz w:val="20"/>
          <w:szCs w:val="20"/>
        </w:rPr>
      </w:pPr>
      <w:r w:rsidRPr="00911F70">
        <w:rPr>
          <w:rStyle w:val="Hyperlink"/>
          <w:rFonts w:ascii="Segoe UI" w:eastAsia="Segoe UI" w:hAnsi="Segoe UI" w:cs="Segoe UI"/>
          <w:color w:val="auto"/>
          <w:sz w:val="20"/>
          <w:szCs w:val="20"/>
          <w:u w:val="none"/>
        </w:rPr>
        <w:t>Download</w:t>
      </w:r>
      <w:r w:rsidRPr="00911F70">
        <w:rPr>
          <w:rFonts w:ascii="Segoe UI" w:hAnsi="Segoe UI" w:cs="Segoe UI"/>
          <w:sz w:val="20"/>
          <w:szCs w:val="20"/>
        </w:rPr>
        <w:t xml:space="preserve"> the </w:t>
      </w:r>
      <w:hyperlink r:id="rId18" w:history="1">
        <w:r w:rsidRPr="00911F70">
          <w:rPr>
            <w:rStyle w:val="Hyperlink"/>
            <w:rFonts w:ascii="Segoe UI" w:hAnsi="Segoe UI" w:cs="Segoe UI"/>
            <w:color w:val="auto"/>
            <w:sz w:val="20"/>
            <w:szCs w:val="20"/>
            <w:u w:val="none"/>
          </w:rPr>
          <w:t>business outcome template</w:t>
        </w:r>
      </w:hyperlink>
      <w:r w:rsidRPr="00911F70">
        <w:rPr>
          <w:rFonts w:ascii="Segoe UI" w:hAnsi="Segoe UI" w:cs="Segoe UI"/>
          <w:sz w:val="20"/>
          <w:szCs w:val="20"/>
        </w:rPr>
        <w:t>.</w:t>
      </w:r>
    </w:p>
    <w:p w14:paraId="44C118BA" w14:textId="1E9EF35A" w:rsidR="009C312B" w:rsidRDefault="009C312B" w:rsidP="009C312B">
      <w:pPr>
        <w:spacing w:line="276" w:lineRule="auto"/>
        <w:contextualSpacing/>
        <w:jc w:val="both"/>
        <w:rPr>
          <w:rFonts w:ascii="Segoe UI" w:hAnsi="Segoe UI" w:cs="Segoe UI"/>
          <w:sz w:val="20"/>
          <w:szCs w:val="20"/>
        </w:rPr>
      </w:pPr>
      <w:r w:rsidRPr="009C312B">
        <w:rPr>
          <w:rFonts w:ascii="Segoe UI" w:hAnsi="Segoe UI" w:cs="Segoe UI"/>
          <w:sz w:val="20"/>
          <w:szCs w:val="20"/>
        </w:rPr>
        <w:t>Speaking in business outcomes can feel like a foreign language to many technically minded individuals. To help ease translation, we curate a set of business outcome examples. You can use the following examples to inspire and demonstrate business outcomes that are based on actual transformation journeys.</w:t>
      </w:r>
      <w:r>
        <w:rPr>
          <w:rFonts w:ascii="Segoe UI" w:hAnsi="Segoe UI" w:cs="Segoe UI"/>
          <w:sz w:val="20"/>
          <w:szCs w:val="20"/>
        </w:rPr>
        <w:t xml:space="preserve"> </w:t>
      </w:r>
    </w:p>
    <w:p w14:paraId="0A0BFE0F" w14:textId="77777777" w:rsidR="0073511E" w:rsidRDefault="0073511E" w:rsidP="0073511E">
      <w:pPr>
        <w:spacing w:after="0" w:line="276" w:lineRule="auto"/>
        <w:contextualSpacing/>
        <w:jc w:val="both"/>
        <w:rPr>
          <w:rFonts w:ascii="Segoe UI" w:hAnsi="Segoe UI" w:cs="Segoe UI"/>
          <w:sz w:val="20"/>
          <w:szCs w:val="20"/>
        </w:rPr>
      </w:pPr>
    </w:p>
    <w:p w14:paraId="6BB06C85" w14:textId="67963F6C" w:rsidR="009C312B" w:rsidRPr="009C312B" w:rsidRDefault="009C312B" w:rsidP="009C312B">
      <w:pPr>
        <w:spacing w:before="240" w:line="276" w:lineRule="auto"/>
        <w:contextualSpacing/>
        <w:jc w:val="both"/>
        <w:rPr>
          <w:rFonts w:ascii="Segoe UI" w:hAnsi="Segoe UI" w:cs="Segoe UI"/>
          <w:sz w:val="20"/>
          <w:szCs w:val="20"/>
        </w:rPr>
      </w:pPr>
      <w:r w:rsidRPr="009C312B">
        <w:rPr>
          <w:rFonts w:ascii="Segoe UI" w:hAnsi="Segoe UI" w:cs="Segoe UI"/>
          <w:sz w:val="20"/>
          <w:szCs w:val="20"/>
        </w:rPr>
        <w:t>To help you find business outcomes more easily, we've separated them into the following categories. This approach tends to drive consensus-building conversations across business units.</w:t>
      </w:r>
    </w:p>
    <w:p w14:paraId="12134B42" w14:textId="77777777" w:rsidR="009C312B" w:rsidRPr="009C312B" w:rsidRDefault="009C312B" w:rsidP="009C312B">
      <w:pPr>
        <w:pStyle w:val="Heading3"/>
        <w:ind w:left="720"/>
      </w:pPr>
      <w:bookmarkStart w:id="29" w:name="_Toc42608863"/>
      <w:bookmarkStart w:id="30" w:name="_Toc44316296"/>
      <w:bookmarkStart w:id="31" w:name="_Hlk42437304"/>
      <w:r w:rsidRPr="009C312B">
        <w:t>Fiscal Outcomes</w:t>
      </w:r>
      <w:bookmarkEnd w:id="29"/>
      <w:bookmarkEnd w:id="30"/>
    </w:p>
    <w:bookmarkEnd w:id="31"/>
    <w:p w14:paraId="093AF03B" w14:textId="08908AAE" w:rsidR="009C312B" w:rsidRPr="009C312B" w:rsidRDefault="009C312B" w:rsidP="009C312B">
      <w:pPr>
        <w:spacing w:line="276" w:lineRule="auto"/>
        <w:contextualSpacing/>
        <w:jc w:val="both"/>
        <w:rPr>
          <w:rFonts w:ascii="Segoe UI" w:hAnsi="Segoe UI" w:cs="Segoe UI"/>
          <w:color w:val="171717"/>
          <w:sz w:val="20"/>
          <w:szCs w:val="20"/>
          <w:shd w:val="clear" w:color="auto" w:fill="FFFFFF"/>
        </w:rPr>
      </w:pPr>
      <w:r w:rsidRPr="0073511E">
        <w:rPr>
          <w:rFonts w:ascii="Segoe UI" w:hAnsi="Segoe UI" w:cs="Segoe UI"/>
          <w:sz w:val="20"/>
          <w:szCs w:val="20"/>
          <w:shd w:val="clear" w:color="auto" w:fill="FFFFFF"/>
        </w:rPr>
        <w:t>Financial or fiscal performance is the cleanest business outcome for many business leaders, but not the only one.  View samples of </w:t>
      </w:r>
      <w:hyperlink r:id="rId19" w:history="1">
        <w:r w:rsidRPr="0073511E">
          <w:rPr>
            <w:rStyle w:val="Hyperlink"/>
            <w:rFonts w:ascii="Segoe UI" w:hAnsi="Segoe UI" w:cs="Segoe UI"/>
            <w:color w:val="auto"/>
            <w:sz w:val="20"/>
            <w:szCs w:val="20"/>
            <w:u w:val="none"/>
            <w:shd w:val="clear" w:color="auto" w:fill="FFFFFF"/>
          </w:rPr>
          <w:t>fiscal outcomes</w:t>
        </w:r>
      </w:hyperlink>
      <w:r w:rsidRPr="009C312B">
        <w:rPr>
          <w:rFonts w:ascii="Segoe UI" w:hAnsi="Segoe UI" w:cs="Segoe UI"/>
          <w:color w:val="171717"/>
          <w:sz w:val="20"/>
          <w:szCs w:val="20"/>
          <w:shd w:val="clear" w:color="auto" w:fill="FFFFFF"/>
        </w:rPr>
        <w:t>.</w:t>
      </w:r>
    </w:p>
    <w:p w14:paraId="351EC553" w14:textId="77777777" w:rsidR="009C312B" w:rsidRPr="009C312B" w:rsidRDefault="009C312B" w:rsidP="009C312B">
      <w:pPr>
        <w:pStyle w:val="Heading3"/>
        <w:ind w:left="720"/>
      </w:pPr>
      <w:bookmarkStart w:id="32" w:name="_Toc42608864"/>
      <w:bookmarkStart w:id="33" w:name="_Toc44316297"/>
      <w:r w:rsidRPr="009C312B">
        <w:t>Agility Outcomes</w:t>
      </w:r>
      <w:bookmarkEnd w:id="32"/>
      <w:bookmarkEnd w:id="33"/>
    </w:p>
    <w:p w14:paraId="7884DC56" w14:textId="77777777" w:rsidR="009C312B" w:rsidRPr="009C312B" w:rsidRDefault="009C312B" w:rsidP="0073511E">
      <w:pPr>
        <w:spacing w:line="276" w:lineRule="auto"/>
        <w:contextualSpacing/>
        <w:jc w:val="both"/>
        <w:rPr>
          <w:rFonts w:ascii="Segoe UI" w:hAnsi="Segoe UI" w:cs="Segoe UI"/>
          <w:color w:val="171717"/>
          <w:sz w:val="20"/>
          <w:szCs w:val="20"/>
        </w:rPr>
      </w:pPr>
      <w:r w:rsidRPr="0073511E">
        <w:rPr>
          <w:rFonts w:ascii="Segoe UI" w:hAnsi="Segoe UI" w:cs="Segoe UI"/>
          <w:sz w:val="20"/>
          <w:szCs w:val="20"/>
          <w:shd w:val="clear" w:color="auto" w:fill="FFFFFF"/>
        </w:rPr>
        <w:t>Today's</w:t>
      </w:r>
      <w:r w:rsidRPr="0073511E">
        <w:rPr>
          <w:rFonts w:ascii="Segoe UI" w:hAnsi="Segoe UI" w:cs="Segoe UI"/>
          <w:sz w:val="20"/>
          <w:szCs w:val="20"/>
        </w:rPr>
        <w:t xml:space="preserve"> fast-changing business environment places a premium on time. The ability to respond to and drive market change quickly is the fundamental measure of business agility. View samples of </w:t>
      </w:r>
      <w:hyperlink r:id="rId20" w:history="1">
        <w:r w:rsidRPr="0073511E">
          <w:rPr>
            <w:rStyle w:val="Hyperlink"/>
            <w:rFonts w:ascii="Segoe UI" w:hAnsi="Segoe UI" w:cs="Segoe UI"/>
            <w:color w:val="auto"/>
            <w:sz w:val="20"/>
            <w:szCs w:val="20"/>
            <w:u w:val="none"/>
          </w:rPr>
          <w:t>agility outcomes</w:t>
        </w:r>
      </w:hyperlink>
      <w:r w:rsidRPr="009C312B">
        <w:rPr>
          <w:rFonts w:ascii="Segoe UI" w:hAnsi="Segoe UI" w:cs="Segoe UI"/>
          <w:color w:val="171717"/>
          <w:sz w:val="20"/>
          <w:szCs w:val="20"/>
        </w:rPr>
        <w:t>.</w:t>
      </w:r>
    </w:p>
    <w:p w14:paraId="1C05D19F" w14:textId="77777777" w:rsidR="009C312B" w:rsidRPr="009C312B" w:rsidRDefault="009C312B" w:rsidP="009C312B">
      <w:pPr>
        <w:pStyle w:val="Heading3"/>
        <w:ind w:left="720"/>
      </w:pPr>
      <w:bookmarkStart w:id="34" w:name="_Toc42608865"/>
      <w:bookmarkStart w:id="35" w:name="_Toc44316298"/>
      <w:bookmarkStart w:id="36" w:name="_Hlk42437518"/>
      <w:r w:rsidRPr="009C312B">
        <w:t>Reach Outcomes</w:t>
      </w:r>
      <w:bookmarkEnd w:id="34"/>
      <w:bookmarkEnd w:id="35"/>
    </w:p>
    <w:bookmarkEnd w:id="36"/>
    <w:p w14:paraId="26477656" w14:textId="77777777" w:rsidR="009C312B" w:rsidRPr="009C312B" w:rsidRDefault="009C312B" w:rsidP="0073511E">
      <w:pPr>
        <w:spacing w:line="276" w:lineRule="auto"/>
        <w:contextualSpacing/>
        <w:jc w:val="both"/>
        <w:rPr>
          <w:rFonts w:ascii="Segoe UI" w:hAnsi="Segoe UI" w:cs="Segoe UI"/>
          <w:color w:val="171717"/>
          <w:sz w:val="20"/>
          <w:szCs w:val="20"/>
        </w:rPr>
      </w:pPr>
      <w:r w:rsidRPr="0073511E">
        <w:rPr>
          <w:rFonts w:ascii="Segoe UI" w:hAnsi="Segoe UI" w:cs="Segoe UI"/>
          <w:sz w:val="20"/>
          <w:szCs w:val="20"/>
        </w:rPr>
        <w:t xml:space="preserve">In a </w:t>
      </w:r>
      <w:r w:rsidRPr="0073511E">
        <w:rPr>
          <w:rFonts w:ascii="Segoe UI" w:hAnsi="Segoe UI" w:cs="Segoe UI"/>
          <w:sz w:val="20"/>
          <w:szCs w:val="20"/>
          <w:shd w:val="clear" w:color="auto" w:fill="FFFFFF"/>
        </w:rPr>
        <w:t>constantly</w:t>
      </w:r>
      <w:r w:rsidRPr="0073511E">
        <w:rPr>
          <w:rFonts w:ascii="Segoe UI" w:hAnsi="Segoe UI" w:cs="Segoe UI"/>
          <w:sz w:val="20"/>
          <w:szCs w:val="20"/>
        </w:rPr>
        <w:t xml:space="preserve"> shrinking market, global reach (ability to support global customers and users) can be measured by compliance in geographies that are relevant to the business. View outcomes related to </w:t>
      </w:r>
      <w:hyperlink r:id="rId21" w:history="1">
        <w:r w:rsidRPr="0073511E">
          <w:rPr>
            <w:rStyle w:val="Hyperlink"/>
            <w:rFonts w:ascii="Segoe UI" w:hAnsi="Segoe UI" w:cs="Segoe UI"/>
            <w:color w:val="auto"/>
            <w:sz w:val="20"/>
            <w:szCs w:val="20"/>
            <w:u w:val="none"/>
          </w:rPr>
          <w:t>global reach</w:t>
        </w:r>
      </w:hyperlink>
      <w:r w:rsidRPr="009C312B">
        <w:rPr>
          <w:rFonts w:ascii="Segoe UI" w:hAnsi="Segoe UI" w:cs="Segoe UI"/>
          <w:color w:val="171717"/>
          <w:sz w:val="20"/>
          <w:szCs w:val="20"/>
        </w:rPr>
        <w:t>.</w:t>
      </w:r>
    </w:p>
    <w:p w14:paraId="1E939637" w14:textId="77777777" w:rsidR="009C312B" w:rsidRPr="009C312B" w:rsidRDefault="009C312B" w:rsidP="009C312B">
      <w:pPr>
        <w:pStyle w:val="Heading3"/>
        <w:ind w:left="720"/>
      </w:pPr>
      <w:bookmarkStart w:id="37" w:name="_Toc42608866"/>
      <w:bookmarkStart w:id="38" w:name="_Toc44316299"/>
      <w:r w:rsidRPr="009C312B">
        <w:t>Customer Engagement Outcomes</w:t>
      </w:r>
      <w:bookmarkEnd w:id="37"/>
      <w:bookmarkEnd w:id="38"/>
    </w:p>
    <w:p w14:paraId="1EF66EB6" w14:textId="77777777" w:rsidR="009C312B" w:rsidRPr="009C312B" w:rsidRDefault="009C312B" w:rsidP="0073511E">
      <w:pPr>
        <w:spacing w:line="276" w:lineRule="auto"/>
        <w:contextualSpacing/>
        <w:jc w:val="both"/>
        <w:rPr>
          <w:rFonts w:ascii="Segoe UI" w:hAnsi="Segoe UI" w:cs="Segoe UI"/>
          <w:color w:val="171717"/>
          <w:sz w:val="20"/>
          <w:szCs w:val="20"/>
        </w:rPr>
      </w:pPr>
      <w:r w:rsidRPr="0073511E">
        <w:rPr>
          <w:rFonts w:ascii="Segoe UI" w:hAnsi="Segoe UI" w:cs="Segoe UI"/>
          <w:sz w:val="20"/>
          <w:szCs w:val="20"/>
        </w:rPr>
        <w:t>Social marketplaces are redefining winners and losers at an unheard-of pace. Responding to user needs is a key measure of customer engagement. Learn more about </w:t>
      </w:r>
      <w:hyperlink r:id="rId22" w:history="1">
        <w:r w:rsidRPr="0073511E">
          <w:rPr>
            <w:rStyle w:val="Hyperlink"/>
            <w:rFonts w:ascii="Segoe UI" w:hAnsi="Segoe UI" w:cs="Segoe UI"/>
            <w:color w:val="auto"/>
            <w:sz w:val="20"/>
            <w:szCs w:val="20"/>
            <w:u w:val="none"/>
          </w:rPr>
          <w:t>customer engagement outcomes</w:t>
        </w:r>
      </w:hyperlink>
      <w:r w:rsidRPr="009C312B">
        <w:rPr>
          <w:rFonts w:ascii="Segoe UI" w:hAnsi="Segoe UI" w:cs="Segoe UI"/>
          <w:color w:val="171717"/>
          <w:sz w:val="20"/>
          <w:szCs w:val="20"/>
        </w:rPr>
        <w:t>.</w:t>
      </w:r>
    </w:p>
    <w:p w14:paraId="6F01EE77" w14:textId="77777777" w:rsidR="009C312B" w:rsidRPr="009C312B" w:rsidRDefault="009C312B" w:rsidP="009C312B">
      <w:pPr>
        <w:pStyle w:val="Heading3"/>
        <w:ind w:left="720"/>
      </w:pPr>
      <w:bookmarkStart w:id="39" w:name="_Toc42608867"/>
      <w:bookmarkStart w:id="40" w:name="_Toc44316300"/>
      <w:r w:rsidRPr="009C312B">
        <w:t>Performance Outcomes</w:t>
      </w:r>
      <w:bookmarkEnd w:id="39"/>
      <w:bookmarkEnd w:id="40"/>
    </w:p>
    <w:p w14:paraId="3084AEEF" w14:textId="363C940D" w:rsidR="009C312B" w:rsidRPr="009C312B" w:rsidRDefault="009C312B" w:rsidP="009C312B">
      <w:pPr>
        <w:spacing w:line="276" w:lineRule="auto"/>
        <w:contextualSpacing/>
        <w:jc w:val="both"/>
        <w:rPr>
          <w:rFonts w:ascii="Segoe UI" w:hAnsi="Segoe UI" w:cs="Segoe UI"/>
          <w:sz w:val="20"/>
          <w:szCs w:val="20"/>
        </w:rPr>
      </w:pPr>
      <w:r w:rsidRPr="0073511E">
        <w:rPr>
          <w:rFonts w:ascii="Segoe UI" w:hAnsi="Segoe UI" w:cs="Segoe UI"/>
          <w:sz w:val="20"/>
          <w:szCs w:val="20"/>
        </w:rPr>
        <w:t xml:space="preserve">Performance and reliability are assumed. When either falters, reputation damage can be painful </w:t>
      </w:r>
      <w:r w:rsidR="0073511E" w:rsidRPr="0073511E">
        <w:rPr>
          <w:rFonts w:ascii="Segoe UI" w:hAnsi="Segoe UI" w:cs="Segoe UI"/>
          <w:sz w:val="20"/>
          <w:szCs w:val="20"/>
        </w:rPr>
        <w:t>or</w:t>
      </w:r>
      <w:r w:rsidRPr="0073511E">
        <w:rPr>
          <w:rFonts w:ascii="Segoe UI" w:hAnsi="Segoe UI" w:cs="Segoe UI"/>
          <w:sz w:val="20"/>
          <w:szCs w:val="20"/>
        </w:rPr>
        <w:t xml:space="preserve"> long-lasting.</w:t>
      </w:r>
      <w:r w:rsidR="0073511E">
        <w:rPr>
          <w:rFonts w:ascii="Segoe UI" w:hAnsi="Segoe UI" w:cs="Segoe UI"/>
          <w:sz w:val="20"/>
          <w:szCs w:val="20"/>
        </w:rPr>
        <w:t xml:space="preserve"> </w:t>
      </w:r>
      <w:r w:rsidRPr="0073511E">
        <w:rPr>
          <w:rFonts w:ascii="Segoe UI" w:hAnsi="Segoe UI" w:cs="Segoe UI"/>
          <w:sz w:val="20"/>
          <w:szCs w:val="20"/>
        </w:rPr>
        <w:t>Learn more about </w:t>
      </w:r>
      <w:hyperlink r:id="rId23" w:history="1">
        <w:r w:rsidRPr="0073511E">
          <w:rPr>
            <w:rStyle w:val="Hyperlink"/>
            <w:rFonts w:ascii="Segoe UI" w:hAnsi="Segoe UI" w:cs="Segoe UI"/>
            <w:color w:val="auto"/>
            <w:sz w:val="20"/>
            <w:szCs w:val="20"/>
            <w:u w:val="none"/>
          </w:rPr>
          <w:t>performance outcomes</w:t>
        </w:r>
      </w:hyperlink>
      <w:r w:rsidRPr="0073511E">
        <w:rPr>
          <w:rFonts w:ascii="Segoe UI" w:hAnsi="Segoe UI" w:cs="Segoe UI"/>
          <w:sz w:val="20"/>
          <w:szCs w:val="20"/>
        </w:rPr>
        <w:t>.</w:t>
      </w:r>
      <w:r w:rsidR="0073511E">
        <w:rPr>
          <w:rFonts w:ascii="Segoe UI" w:hAnsi="Segoe UI" w:cs="Segoe UI"/>
          <w:sz w:val="20"/>
          <w:szCs w:val="20"/>
        </w:rPr>
        <w:t xml:space="preserve"> </w:t>
      </w:r>
      <w:r w:rsidRPr="0073511E">
        <w:rPr>
          <w:rFonts w:ascii="Segoe UI" w:hAnsi="Segoe UI" w:cs="Segoe UI"/>
          <w:sz w:val="20"/>
          <w:szCs w:val="20"/>
        </w:rPr>
        <w:t>Each of the business outcomes listed in the preceding categories can help facilitate a focused conversation among your business and technical team members. However, you shouldn't limit your conversations to these generic samples. Understanding the unique needs of your own business, and building outcomes that match, maximizes the value of a cloud transformation</w:t>
      </w:r>
      <w:r w:rsidRPr="009C312B">
        <w:rPr>
          <w:rFonts w:ascii="Segoe UI" w:hAnsi="Segoe UI" w:cs="Segoe UI"/>
          <w:sz w:val="20"/>
          <w:szCs w:val="20"/>
        </w:rPr>
        <w:t>.</w:t>
      </w:r>
    </w:p>
    <w:p w14:paraId="2DB88BB3" w14:textId="77777777" w:rsidR="0073511E" w:rsidRPr="0073511E" w:rsidRDefault="0073511E" w:rsidP="0073511E">
      <w:pPr>
        <w:pStyle w:val="Heading2"/>
        <w:spacing w:after="120"/>
      </w:pPr>
      <w:bookmarkStart w:id="41" w:name="_Toc42608868"/>
      <w:bookmarkStart w:id="42" w:name="_Toc44316301"/>
      <w:bookmarkStart w:id="43" w:name="_Hlk42437922"/>
      <w:r w:rsidRPr="0073511E">
        <w:t>Business Justification</w:t>
      </w:r>
      <w:bookmarkEnd w:id="41"/>
      <w:bookmarkEnd w:id="42"/>
    </w:p>
    <w:bookmarkEnd w:id="43"/>
    <w:p w14:paraId="1BD41ADC" w14:textId="0EA0F295" w:rsidR="0073511E" w:rsidRPr="0073511E" w:rsidRDefault="0073511E" w:rsidP="0073511E">
      <w:pPr>
        <w:pStyle w:val="BodyText"/>
        <w:spacing w:line="276" w:lineRule="auto"/>
        <w:rPr>
          <w:rFonts w:ascii="Segoe UI" w:hAnsi="Segoe UI" w:cs="Segoe UI"/>
          <w:sz w:val="20"/>
        </w:rPr>
      </w:pPr>
      <w:r w:rsidRPr="0073511E">
        <w:rPr>
          <w:rFonts w:ascii="Segoe UI" w:hAnsi="Segoe UI" w:cs="Segoe UI"/>
          <w:sz w:val="20"/>
        </w:rPr>
        <w:t>Cloud migrations can generate early return on investment (ROI) from cloud transformation efforts. But developing a clear business justification with tangible, relevant costs and returns can be a complex process. This section will specifically discuss the following:</w:t>
      </w:r>
    </w:p>
    <w:p w14:paraId="1BFFFF00" w14:textId="663D2970" w:rsidR="0073511E" w:rsidRPr="0073511E" w:rsidRDefault="0073511E" w:rsidP="0073511E">
      <w:pPr>
        <w:pStyle w:val="Heading3"/>
        <w:ind w:left="720"/>
      </w:pPr>
      <w:bookmarkStart w:id="44" w:name="_Toc42608869"/>
      <w:bookmarkStart w:id="45" w:name="_Toc44316302"/>
      <w:r w:rsidRPr="0073511E">
        <w:t>Building business Justification</w:t>
      </w:r>
      <w:bookmarkEnd w:id="44"/>
      <w:bookmarkEnd w:id="45"/>
    </w:p>
    <w:p w14:paraId="46E668E8" w14:textId="77777777" w:rsidR="0073511E" w:rsidRPr="0073511E" w:rsidRDefault="0073511E" w:rsidP="0073511E">
      <w:pPr>
        <w:spacing w:after="0" w:line="276" w:lineRule="auto"/>
        <w:contextualSpacing/>
        <w:jc w:val="both"/>
        <w:rPr>
          <w:rFonts w:ascii="Segoe UI" w:hAnsi="Segoe UI" w:cs="Segoe UI"/>
          <w:sz w:val="20"/>
          <w:szCs w:val="20"/>
        </w:rPr>
      </w:pPr>
      <w:r w:rsidRPr="0073511E">
        <w:rPr>
          <w:rFonts w:ascii="Segoe UI" w:hAnsi="Segoe UI" w:cs="Segoe UI"/>
          <w:sz w:val="20"/>
          <w:szCs w:val="20"/>
        </w:rPr>
        <w:t>The following process defines an approach to developing the business justification for cloud migrations. For more information about the calculations and financial terms, see the article on </w:t>
      </w:r>
      <w:hyperlink r:id="rId24" w:history="1">
        <w:r w:rsidRPr="0073511E">
          <w:rPr>
            <w:rStyle w:val="Hyperlink"/>
            <w:rFonts w:ascii="Segoe UI" w:hAnsi="Segoe UI" w:cs="Segoe UI"/>
            <w:color w:val="auto"/>
            <w:sz w:val="20"/>
            <w:szCs w:val="20"/>
            <w:u w:val="none"/>
          </w:rPr>
          <w:t>financial models</w:t>
        </w:r>
      </w:hyperlink>
      <w:r w:rsidRPr="0073511E">
        <w:rPr>
          <w:rFonts w:ascii="Segoe UI" w:hAnsi="Segoe UI" w:cs="Segoe UI"/>
          <w:sz w:val="20"/>
          <w:szCs w:val="20"/>
        </w:rPr>
        <w:t>.</w:t>
      </w:r>
    </w:p>
    <w:p w14:paraId="3267944E" w14:textId="77777777" w:rsidR="0073511E" w:rsidRDefault="0073511E" w:rsidP="0073511E">
      <w:pPr>
        <w:spacing w:after="0" w:line="276" w:lineRule="auto"/>
        <w:contextualSpacing/>
        <w:jc w:val="both"/>
        <w:rPr>
          <w:rFonts w:ascii="Segoe UI" w:hAnsi="Segoe UI" w:cs="Segoe UI"/>
          <w:sz w:val="20"/>
          <w:szCs w:val="20"/>
        </w:rPr>
      </w:pPr>
    </w:p>
    <w:p w14:paraId="1053782E" w14:textId="431FB4CA" w:rsidR="0073511E" w:rsidRPr="0073511E" w:rsidRDefault="0073511E" w:rsidP="0073511E">
      <w:pPr>
        <w:spacing w:after="0" w:line="276" w:lineRule="auto"/>
        <w:contextualSpacing/>
        <w:jc w:val="both"/>
        <w:rPr>
          <w:rFonts w:ascii="Segoe UI" w:hAnsi="Segoe UI" w:cs="Segoe UI"/>
          <w:sz w:val="20"/>
          <w:szCs w:val="20"/>
        </w:rPr>
      </w:pPr>
      <w:r w:rsidRPr="0073511E">
        <w:rPr>
          <w:rFonts w:ascii="Segoe UI" w:hAnsi="Segoe UI" w:cs="Segoe UI"/>
          <w:sz w:val="20"/>
          <w:szCs w:val="20"/>
        </w:rPr>
        <w:t>At the highest level, the formula for business justification is simple. But the subtle data points required to populate the formula can be difficult to align. On a basic level, the business justification focuses on the return on investment (ROI) associated with the proposed technical change. The generic formula for ROI is:</w:t>
      </w:r>
    </w:p>
    <w:p w14:paraId="150C5B54" w14:textId="05A7907A" w:rsidR="007040F6" w:rsidRDefault="007040F6" w:rsidP="009C312B">
      <w:pPr>
        <w:spacing w:after="0" w:line="276" w:lineRule="auto"/>
        <w:jc w:val="both"/>
        <w:rPr>
          <w:rFonts w:ascii="Segoe UI" w:hAnsi="Segoe UI" w:cs="Segoe UI"/>
          <w:sz w:val="20"/>
          <w:szCs w:val="20"/>
        </w:rPr>
      </w:pPr>
    </w:p>
    <w:tbl>
      <w:tblPr>
        <w:tblStyle w:val="TableGrid"/>
        <w:tblW w:w="0" w:type="auto"/>
        <w:jc w:val="center"/>
        <w:tblLook w:val="04A0" w:firstRow="1" w:lastRow="0" w:firstColumn="1" w:lastColumn="0" w:noHBand="0" w:noVBand="1"/>
      </w:tblPr>
      <w:tblGrid>
        <w:gridCol w:w="9709"/>
      </w:tblGrid>
      <w:tr w:rsidR="0073511E" w:rsidRPr="00E05B31" w14:paraId="32DCB52E" w14:textId="77777777" w:rsidTr="0073511E">
        <w:trPr>
          <w:trHeight w:val="1002"/>
          <w:jc w:val="center"/>
        </w:trPr>
        <w:tc>
          <w:tcPr>
            <w:tcW w:w="9709" w:type="dxa"/>
          </w:tcPr>
          <w:p w14:paraId="114C827A" w14:textId="77777777" w:rsidR="0073511E" w:rsidRPr="00E05B31" w:rsidRDefault="0073511E" w:rsidP="0042233F">
            <w:pPr>
              <w:spacing w:after="0" w:line="259" w:lineRule="auto"/>
              <w:jc w:val="both"/>
              <w:rPr>
                <w:rFonts w:ascii="Calibri" w:hAnsi="Calibri" w:cs="Calibri"/>
                <w:szCs w:val="22"/>
              </w:rPr>
            </w:pPr>
          </w:p>
          <w:p w14:paraId="3F364F92" w14:textId="77777777" w:rsidR="0073511E" w:rsidRPr="00D91EC9" w:rsidRDefault="0073511E" w:rsidP="0042233F">
            <w:pPr>
              <w:spacing w:after="0" w:line="259" w:lineRule="auto"/>
              <w:jc w:val="both"/>
              <w:rPr>
                <w:rFonts w:ascii="Calibri" w:hAnsi="Calibri" w:cs="Calibri"/>
                <w:szCs w:val="22"/>
              </w:rPr>
            </w:pPr>
            <m:oMathPara>
              <m:oMathParaPr>
                <m:jc m:val="center"/>
              </m:oMathParaPr>
              <m:oMath>
                <m:r>
                  <m:rPr>
                    <m:sty m:val="b"/>
                  </m:rPr>
                  <w:rPr>
                    <w:rFonts w:ascii="Cambria Math" w:hAnsi="Cambria Math" w:cs="Calibri"/>
                    <w:szCs w:val="22"/>
                  </w:rPr>
                  <m:t>Return</m:t>
                </m:r>
                <m:r>
                  <m:rPr>
                    <m:sty m:val="p"/>
                  </m:rPr>
                  <w:rPr>
                    <w:rFonts w:ascii="Cambria Math" w:hAnsi="Cambria Math" w:cs="Calibri"/>
                    <w:szCs w:val="22"/>
                  </w:rPr>
                  <m:t xml:space="preserve"> </m:t>
                </m:r>
                <m:r>
                  <m:rPr>
                    <m:sty m:val="b"/>
                  </m:rPr>
                  <w:rPr>
                    <w:rFonts w:ascii="Cambria Math" w:hAnsi="Cambria Math" w:cs="Calibri"/>
                    <w:szCs w:val="22"/>
                  </w:rPr>
                  <m:t>on</m:t>
                </m:r>
                <m:r>
                  <m:rPr>
                    <m:sty m:val="p"/>
                  </m:rPr>
                  <w:rPr>
                    <w:rFonts w:ascii="Cambria Math" w:hAnsi="Cambria Math" w:cs="Calibri"/>
                    <w:szCs w:val="22"/>
                  </w:rPr>
                  <m:t xml:space="preserve"> </m:t>
                </m:r>
                <m:r>
                  <m:rPr>
                    <m:sty m:val="b"/>
                  </m:rPr>
                  <w:rPr>
                    <w:rFonts w:ascii="Cambria Math" w:hAnsi="Cambria Math" w:cs="Calibri"/>
                    <w:szCs w:val="22"/>
                  </w:rPr>
                  <m:t>investment</m:t>
                </m:r>
                <m:d>
                  <m:dPr>
                    <m:ctrlPr>
                      <w:rPr>
                        <w:rFonts w:ascii="Cambria Math" w:hAnsi="Cambria Math" w:cs="Calibri"/>
                        <w:szCs w:val="22"/>
                      </w:rPr>
                    </m:ctrlPr>
                  </m:dPr>
                  <m:e>
                    <m:r>
                      <m:rPr>
                        <m:sty m:val="b"/>
                      </m:rPr>
                      <w:rPr>
                        <w:rFonts w:ascii="Cambria Math" w:hAnsi="Cambria Math" w:cs="Calibri"/>
                        <w:szCs w:val="22"/>
                      </w:rPr>
                      <m:t>ROI</m:t>
                    </m:r>
                  </m:e>
                </m:d>
                <m:r>
                  <m:rPr>
                    <m:sty m:val="p"/>
                  </m:rPr>
                  <w:rPr>
                    <w:rFonts w:ascii="Cambria Math" w:hAnsi="Cambria Math" w:cs="Calibri"/>
                    <w:szCs w:val="22"/>
                  </w:rPr>
                  <m:t xml:space="preserve">=  </m:t>
                </m:r>
                <m:f>
                  <m:fPr>
                    <m:ctrlPr>
                      <w:rPr>
                        <w:rFonts w:ascii="Cambria Math" w:hAnsi="Cambria Math" w:cs="Calibri"/>
                        <w:szCs w:val="22"/>
                      </w:rPr>
                    </m:ctrlPr>
                  </m:fPr>
                  <m:num>
                    <m:r>
                      <m:rPr>
                        <m:sty m:val="b"/>
                      </m:rPr>
                      <w:rPr>
                        <w:rFonts w:ascii="Cambria Math" w:hAnsi="Cambria Math" w:cs="Calibri"/>
                        <w:szCs w:val="22"/>
                      </w:rPr>
                      <m:t>Gain</m:t>
                    </m:r>
                    <m:r>
                      <m:rPr>
                        <m:sty m:val="p"/>
                      </m:rPr>
                      <w:rPr>
                        <w:rFonts w:ascii="Cambria Math" w:hAnsi="Cambria Math" w:cs="Calibri"/>
                        <w:szCs w:val="22"/>
                      </w:rPr>
                      <m:t xml:space="preserve"> </m:t>
                    </m:r>
                    <m:r>
                      <m:rPr>
                        <m:sty m:val="b"/>
                      </m:rPr>
                      <w:rPr>
                        <w:rFonts w:ascii="Cambria Math" w:hAnsi="Cambria Math" w:cs="Calibri"/>
                        <w:szCs w:val="22"/>
                      </w:rPr>
                      <m:t>from</m:t>
                    </m:r>
                    <m:r>
                      <m:rPr>
                        <m:sty m:val="p"/>
                      </m:rPr>
                      <w:rPr>
                        <w:rFonts w:ascii="Cambria Math" w:hAnsi="Cambria Math" w:cs="Calibri"/>
                        <w:szCs w:val="22"/>
                      </w:rPr>
                      <m:t xml:space="preserve"> </m:t>
                    </m:r>
                    <m:r>
                      <m:rPr>
                        <m:sty m:val="b"/>
                      </m:rPr>
                      <w:rPr>
                        <w:rFonts w:ascii="Cambria Math" w:hAnsi="Cambria Math" w:cs="Calibri"/>
                        <w:szCs w:val="22"/>
                      </w:rPr>
                      <m:t>investment</m:t>
                    </m:r>
                    <m:r>
                      <m:rPr>
                        <m:sty m:val="p"/>
                      </m:rPr>
                      <w:rPr>
                        <w:rFonts w:ascii="Cambria Math" w:hAnsi="Cambria Math" w:cs="Calibri"/>
                        <w:szCs w:val="22"/>
                      </w:rPr>
                      <m:t>-</m:t>
                    </m:r>
                    <m:r>
                      <m:rPr>
                        <m:sty m:val="b"/>
                      </m:rPr>
                      <w:rPr>
                        <w:rFonts w:ascii="Cambria Math" w:hAnsi="Cambria Math" w:cs="Calibri"/>
                        <w:szCs w:val="22"/>
                      </w:rPr>
                      <m:t>Intial</m:t>
                    </m:r>
                    <m:r>
                      <m:rPr>
                        <m:sty m:val="p"/>
                      </m:rPr>
                      <w:rPr>
                        <w:rFonts w:ascii="Cambria Math" w:hAnsi="Cambria Math" w:cs="Calibri"/>
                        <w:szCs w:val="22"/>
                      </w:rPr>
                      <m:t xml:space="preserve"> </m:t>
                    </m:r>
                    <m:r>
                      <m:rPr>
                        <m:sty m:val="b"/>
                      </m:rPr>
                      <w:rPr>
                        <w:rFonts w:ascii="Cambria Math" w:hAnsi="Cambria Math" w:cs="Calibri"/>
                        <w:szCs w:val="22"/>
                      </w:rPr>
                      <m:t>investment</m:t>
                    </m:r>
                  </m:num>
                  <m:den>
                    <m:r>
                      <m:rPr>
                        <m:sty m:val="b"/>
                      </m:rPr>
                      <w:rPr>
                        <w:rFonts w:ascii="Cambria Math" w:hAnsi="Cambria Math" w:cs="Calibri"/>
                        <w:szCs w:val="22"/>
                      </w:rPr>
                      <m:t>Initial</m:t>
                    </m:r>
                    <m:r>
                      <m:rPr>
                        <m:sty m:val="p"/>
                      </m:rPr>
                      <w:rPr>
                        <w:rFonts w:ascii="Cambria Math" w:hAnsi="Cambria Math" w:cs="Calibri"/>
                        <w:szCs w:val="22"/>
                      </w:rPr>
                      <m:t xml:space="preserve"> </m:t>
                    </m:r>
                    <m:r>
                      <m:rPr>
                        <m:sty m:val="b"/>
                      </m:rPr>
                      <w:rPr>
                        <w:rFonts w:ascii="Cambria Math" w:hAnsi="Cambria Math" w:cs="Calibri"/>
                        <w:szCs w:val="22"/>
                      </w:rPr>
                      <m:t>Investment</m:t>
                    </m:r>
                  </m:den>
                </m:f>
              </m:oMath>
            </m:oMathPara>
          </w:p>
          <w:p w14:paraId="2197784C" w14:textId="77777777" w:rsidR="0073511E" w:rsidRPr="00D91EC9" w:rsidRDefault="0073511E" w:rsidP="0042233F">
            <w:pPr>
              <w:spacing w:after="0" w:line="276" w:lineRule="auto"/>
              <w:jc w:val="both"/>
              <w:rPr>
                <w:rFonts w:ascii="Calibri" w:hAnsi="Calibri" w:cs="Calibri"/>
                <w:b/>
                <w:bCs/>
                <w:sz w:val="14"/>
                <w:szCs w:val="22"/>
              </w:rPr>
            </w:pPr>
          </w:p>
          <w:p w14:paraId="41F36E56" w14:textId="581F7AAE" w:rsidR="0073511E" w:rsidRPr="00E05B31" w:rsidRDefault="0073511E" w:rsidP="0042233F">
            <w:pPr>
              <w:spacing w:after="0" w:line="360" w:lineRule="auto"/>
              <w:jc w:val="both"/>
              <w:rPr>
                <w:rFonts w:ascii="Calibri" w:hAnsi="Calibri" w:cs="Calibri"/>
                <w:szCs w:val="22"/>
              </w:rPr>
            </w:pPr>
          </w:p>
        </w:tc>
      </w:tr>
    </w:tbl>
    <w:p w14:paraId="085E5085" w14:textId="77777777" w:rsidR="0073511E" w:rsidRDefault="0073511E" w:rsidP="009C312B">
      <w:pPr>
        <w:spacing w:after="0" w:line="276" w:lineRule="auto"/>
        <w:jc w:val="both"/>
        <w:rPr>
          <w:rFonts w:ascii="Segoe UI" w:hAnsi="Segoe UI" w:cs="Segoe UI"/>
          <w:sz w:val="20"/>
          <w:szCs w:val="20"/>
        </w:rPr>
      </w:pPr>
    </w:p>
    <w:p w14:paraId="551838EB" w14:textId="77777777" w:rsidR="0073511E" w:rsidRPr="0073511E" w:rsidRDefault="0073511E" w:rsidP="0073511E">
      <w:pPr>
        <w:spacing w:after="0" w:line="276" w:lineRule="auto"/>
        <w:contextualSpacing/>
        <w:jc w:val="both"/>
        <w:rPr>
          <w:rFonts w:ascii="Segoe UI" w:hAnsi="Segoe UI" w:cs="Segoe UI"/>
          <w:sz w:val="20"/>
          <w:szCs w:val="20"/>
        </w:rPr>
      </w:pPr>
      <w:r w:rsidRPr="0073511E">
        <w:rPr>
          <w:rFonts w:ascii="Segoe UI" w:hAnsi="Segoe UI" w:cs="Segoe UI"/>
          <w:sz w:val="20"/>
          <w:szCs w:val="20"/>
        </w:rPr>
        <w:t>Some additional resources to help you take important considerations into account when working on business justification:</w:t>
      </w:r>
    </w:p>
    <w:p w14:paraId="1D4C75A7" w14:textId="77777777" w:rsidR="0073511E" w:rsidRPr="00911F70"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11F70">
        <w:rPr>
          <w:rStyle w:val="Hyperlink"/>
          <w:rFonts w:ascii="Segoe UI" w:eastAsia="Segoe UI" w:hAnsi="Segoe UI" w:cs="Segoe UI"/>
          <w:color w:val="auto"/>
          <w:sz w:val="20"/>
          <w:szCs w:val="20"/>
          <w:u w:val="none"/>
        </w:rPr>
        <w:t>Cloud providers offer calculators to estimate cloud investments. Microsoft provides the </w:t>
      </w:r>
      <w:hyperlink r:id="rId25" w:history="1">
        <w:r w:rsidRPr="00911F70">
          <w:rPr>
            <w:rStyle w:val="Hyperlink"/>
            <w:rFonts w:ascii="Segoe UI" w:eastAsia="Segoe UI" w:hAnsi="Segoe UI" w:cs="Segoe UI"/>
            <w:color w:val="auto"/>
            <w:sz w:val="20"/>
            <w:szCs w:val="20"/>
            <w:u w:val="none"/>
          </w:rPr>
          <w:t>Azure pricing calculator</w:t>
        </w:r>
      </w:hyperlink>
      <w:r w:rsidRPr="00911F70">
        <w:rPr>
          <w:rStyle w:val="Hyperlink"/>
          <w:rFonts w:ascii="Segoe UI" w:eastAsia="Segoe UI" w:hAnsi="Segoe UI" w:cs="Segoe UI"/>
          <w:color w:val="auto"/>
          <w:sz w:val="20"/>
          <w:szCs w:val="20"/>
          <w:u w:val="none"/>
        </w:rPr>
        <w:t>.</w:t>
      </w:r>
    </w:p>
    <w:p w14:paraId="194A38D3" w14:textId="77777777" w:rsidR="0073511E" w:rsidRPr="00911F70"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11F70">
        <w:rPr>
          <w:rStyle w:val="Hyperlink"/>
          <w:rFonts w:ascii="Segoe UI" w:eastAsia="Segoe UI" w:hAnsi="Segoe UI" w:cs="Segoe UI"/>
          <w:color w:val="auto"/>
          <w:sz w:val="20"/>
          <w:szCs w:val="20"/>
          <w:u w:val="none"/>
        </w:rPr>
        <w:t>Some cloud providers also offer cost-delta calculators. Microsoft provides the </w:t>
      </w:r>
      <w:hyperlink r:id="rId26" w:history="1">
        <w:r w:rsidRPr="00911F70">
          <w:rPr>
            <w:rStyle w:val="Hyperlink"/>
            <w:rFonts w:ascii="Segoe UI" w:eastAsia="Segoe UI" w:hAnsi="Segoe UI" w:cs="Segoe UI"/>
            <w:color w:val="auto"/>
            <w:sz w:val="20"/>
            <w:szCs w:val="20"/>
            <w:u w:val="none"/>
          </w:rPr>
          <w:t>Azure total cost of ownership (TCO) calculator</w:t>
        </w:r>
      </w:hyperlink>
      <w:r w:rsidRPr="00911F70">
        <w:rPr>
          <w:rStyle w:val="Hyperlink"/>
          <w:rFonts w:ascii="Segoe UI" w:eastAsia="Segoe UI" w:hAnsi="Segoe UI" w:cs="Segoe UI"/>
          <w:color w:val="auto"/>
          <w:sz w:val="20"/>
          <w:szCs w:val="20"/>
          <w:u w:val="none"/>
        </w:rPr>
        <w:t>.</w:t>
      </w:r>
    </w:p>
    <w:p w14:paraId="4F72B01F" w14:textId="77777777" w:rsidR="0073511E" w:rsidRPr="00911F70"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11F70">
        <w:rPr>
          <w:rStyle w:val="Hyperlink"/>
          <w:rFonts w:ascii="Segoe UI" w:eastAsia="Segoe UI" w:hAnsi="Segoe UI" w:cs="Segoe UI"/>
          <w:color w:val="auto"/>
          <w:sz w:val="20"/>
          <w:szCs w:val="20"/>
          <w:u w:val="none"/>
        </w:rPr>
        <w:t>For more refined cost structures, consider a </w:t>
      </w:r>
      <w:hyperlink r:id="rId27" w:history="1">
        <w:r w:rsidRPr="00911F70">
          <w:rPr>
            <w:rStyle w:val="Hyperlink"/>
            <w:rFonts w:ascii="Segoe UI" w:eastAsia="Segoe UI" w:hAnsi="Segoe UI" w:cs="Segoe UI"/>
            <w:color w:val="auto"/>
            <w:sz w:val="20"/>
            <w:szCs w:val="20"/>
            <w:u w:val="none"/>
          </w:rPr>
          <w:t>digital estate planning</w:t>
        </w:r>
      </w:hyperlink>
      <w:r w:rsidRPr="00911F70">
        <w:rPr>
          <w:rStyle w:val="Hyperlink"/>
          <w:rFonts w:ascii="Segoe UI" w:eastAsia="Segoe UI" w:hAnsi="Segoe UI" w:cs="Segoe UI"/>
          <w:color w:val="auto"/>
          <w:sz w:val="20"/>
          <w:szCs w:val="20"/>
          <w:u w:val="none"/>
        </w:rPr>
        <w:t> exercise.</w:t>
      </w:r>
    </w:p>
    <w:p w14:paraId="7DDB7B50" w14:textId="77777777" w:rsidR="0073511E" w:rsidRPr="00911F70"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11F70">
        <w:rPr>
          <w:rStyle w:val="Hyperlink"/>
          <w:rFonts w:ascii="Segoe UI" w:eastAsia="Segoe UI" w:hAnsi="Segoe UI" w:cs="Segoe UI"/>
          <w:color w:val="auto"/>
          <w:sz w:val="20"/>
          <w:szCs w:val="20"/>
          <w:u w:val="none"/>
        </w:rPr>
        <w:t>Estimate the cost of migration.</w:t>
      </w:r>
    </w:p>
    <w:p w14:paraId="68169509" w14:textId="77777777" w:rsidR="0073511E" w:rsidRPr="00911F70"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11F70">
        <w:rPr>
          <w:rStyle w:val="Hyperlink"/>
          <w:rFonts w:ascii="Segoe UI" w:eastAsia="Segoe UI" w:hAnsi="Segoe UI" w:cs="Segoe UI"/>
          <w:color w:val="auto"/>
          <w:sz w:val="20"/>
          <w:szCs w:val="20"/>
          <w:u w:val="none"/>
        </w:rPr>
        <w:t>Estimate the cost of any expected training opportunities. </w:t>
      </w:r>
      <w:hyperlink r:id="rId28" w:history="1">
        <w:r w:rsidRPr="00911F70">
          <w:rPr>
            <w:rStyle w:val="Hyperlink"/>
            <w:rFonts w:ascii="Segoe UI" w:eastAsia="Segoe UI" w:hAnsi="Segoe UI" w:cs="Segoe UI"/>
            <w:color w:val="auto"/>
            <w:sz w:val="20"/>
            <w:szCs w:val="20"/>
            <w:u w:val="none"/>
          </w:rPr>
          <w:t>Microsoft Learn</w:t>
        </w:r>
      </w:hyperlink>
      <w:r w:rsidRPr="00911F70">
        <w:rPr>
          <w:rStyle w:val="Hyperlink"/>
          <w:rFonts w:ascii="Segoe UI" w:eastAsia="Segoe UI" w:hAnsi="Segoe UI" w:cs="Segoe UI"/>
          <w:color w:val="auto"/>
          <w:sz w:val="20"/>
          <w:szCs w:val="20"/>
          <w:u w:val="none"/>
        </w:rPr>
        <w:t> might be able to help mitigate those costs.</w:t>
      </w:r>
    </w:p>
    <w:p w14:paraId="4560668A" w14:textId="77777777" w:rsidR="0073511E" w:rsidRPr="00911F70"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11F70">
        <w:rPr>
          <w:rStyle w:val="Hyperlink"/>
          <w:rFonts w:ascii="Segoe UI" w:eastAsia="Segoe UI" w:hAnsi="Segoe UI" w:cs="Segoe UI"/>
          <w:color w:val="auto"/>
          <w:sz w:val="20"/>
          <w:szCs w:val="20"/>
          <w:u w:val="none"/>
        </w:rPr>
        <w:t>At some companies, the time invested by existing staff members might need to be included in the initial costs. Consult the finance office for guidance.</w:t>
      </w:r>
    </w:p>
    <w:p w14:paraId="1E4AA808" w14:textId="77777777" w:rsidR="0073511E" w:rsidRPr="00911F70" w:rsidRDefault="0073511E" w:rsidP="00860AA6">
      <w:pPr>
        <w:pStyle w:val="ListParagraph"/>
        <w:numPr>
          <w:ilvl w:val="0"/>
          <w:numId w:val="3"/>
        </w:numPr>
        <w:spacing w:after="0" w:line="276" w:lineRule="auto"/>
        <w:jc w:val="both"/>
        <w:rPr>
          <w:rFonts w:ascii="Segoe UI" w:hAnsi="Segoe UI" w:cs="Segoe UI"/>
          <w:sz w:val="20"/>
          <w:szCs w:val="20"/>
        </w:rPr>
      </w:pPr>
      <w:r w:rsidRPr="00911F70">
        <w:rPr>
          <w:rStyle w:val="Hyperlink"/>
          <w:rFonts w:ascii="Segoe UI" w:eastAsia="Segoe UI" w:hAnsi="Segoe UI" w:cs="Segoe UI"/>
          <w:color w:val="auto"/>
          <w:sz w:val="20"/>
          <w:szCs w:val="20"/>
          <w:u w:val="none"/>
        </w:rPr>
        <w:t>Discu</w:t>
      </w:r>
      <w:r w:rsidRPr="00911F70">
        <w:rPr>
          <w:rFonts w:ascii="Segoe UI" w:hAnsi="Segoe UI" w:cs="Segoe UI"/>
          <w:sz w:val="20"/>
          <w:szCs w:val="20"/>
        </w:rPr>
        <w:t>ss any additional costs or burden costs with the finance office for validation.</w:t>
      </w:r>
    </w:p>
    <w:p w14:paraId="3DFC5376" w14:textId="77777777" w:rsidR="0073511E" w:rsidRDefault="0073511E" w:rsidP="0073511E">
      <w:pPr>
        <w:spacing w:line="276" w:lineRule="auto"/>
        <w:contextualSpacing/>
        <w:jc w:val="both"/>
        <w:rPr>
          <w:rFonts w:ascii="Segoe UI" w:hAnsi="Segoe UI" w:cs="Segoe UI"/>
          <w:sz w:val="20"/>
          <w:szCs w:val="20"/>
        </w:rPr>
      </w:pPr>
    </w:p>
    <w:p w14:paraId="311D03F6" w14:textId="604479AA" w:rsidR="0073511E" w:rsidRPr="0073511E" w:rsidRDefault="0073511E" w:rsidP="0073511E">
      <w:pPr>
        <w:spacing w:line="276" w:lineRule="auto"/>
        <w:contextualSpacing/>
        <w:jc w:val="both"/>
        <w:rPr>
          <w:rFonts w:ascii="Segoe UI" w:hAnsi="Segoe UI" w:cs="Segoe UI"/>
          <w:sz w:val="20"/>
          <w:szCs w:val="22"/>
        </w:rPr>
      </w:pPr>
      <w:r w:rsidRPr="0073511E">
        <w:rPr>
          <w:rFonts w:ascii="Segoe UI" w:hAnsi="Segoe UI" w:cs="Segoe UI"/>
          <w:sz w:val="20"/>
          <w:szCs w:val="20"/>
        </w:rPr>
        <w:t xml:space="preserve">For more see - </w:t>
      </w:r>
      <w:hyperlink r:id="rId29" w:history="1">
        <w:r w:rsidRPr="0073511E">
          <w:rPr>
            <w:rStyle w:val="Hyperlink"/>
            <w:rFonts w:ascii="Segoe UI" w:hAnsi="Segoe UI" w:cs="Segoe UI"/>
            <w:color w:val="auto"/>
            <w:sz w:val="20"/>
            <w:szCs w:val="22"/>
            <w:u w:val="none"/>
          </w:rPr>
          <w:t>https://docs.microsoft.com/en-us/azure/cloud-adoption-framework/strategy/financial-models</w:t>
        </w:r>
      </w:hyperlink>
    </w:p>
    <w:p w14:paraId="4F9D7973" w14:textId="56887EBE" w:rsidR="00F36759" w:rsidRDefault="00F36759">
      <w:pPr>
        <w:spacing w:after="160" w:line="259" w:lineRule="auto"/>
        <w:rPr>
          <w:rFonts w:ascii="Segoe UI" w:hAnsi="Segoe UI" w:cs="Segoe UI"/>
          <w:sz w:val="20"/>
          <w:szCs w:val="20"/>
        </w:rPr>
      </w:pPr>
      <w:r>
        <w:rPr>
          <w:rFonts w:ascii="Segoe UI" w:hAnsi="Segoe UI" w:cs="Segoe UI"/>
          <w:sz w:val="20"/>
          <w:szCs w:val="20"/>
        </w:rPr>
        <w:br w:type="page"/>
      </w:r>
    </w:p>
    <w:p w14:paraId="46909F8C" w14:textId="77777777" w:rsidR="00F36759" w:rsidRPr="00F36759" w:rsidRDefault="00F36759" w:rsidP="00860AA6">
      <w:pPr>
        <w:pStyle w:val="Heading1"/>
        <w:numPr>
          <w:ilvl w:val="0"/>
          <w:numId w:val="1"/>
        </w:numPr>
        <w:ind w:left="360"/>
      </w:pPr>
      <w:bookmarkStart w:id="46" w:name="_Toc42608870"/>
      <w:bookmarkStart w:id="47" w:name="_Toc44316303"/>
      <w:r w:rsidRPr="00F36759">
        <w:t>Azure Total Cost Ownership Calculator (TCO)</w:t>
      </w:r>
      <w:bookmarkEnd w:id="46"/>
      <w:bookmarkEnd w:id="47"/>
    </w:p>
    <w:p w14:paraId="0212E148" w14:textId="77777777" w:rsidR="00F36759" w:rsidRPr="00F36759" w:rsidRDefault="00F36759" w:rsidP="00860AA6">
      <w:pPr>
        <w:pStyle w:val="ListParagraph"/>
        <w:keepNext/>
        <w:keepLines/>
        <w:numPr>
          <w:ilvl w:val="0"/>
          <w:numId w:val="4"/>
        </w:numPr>
        <w:spacing w:before="240"/>
        <w:contextualSpacing w:val="0"/>
        <w:outlineLvl w:val="0"/>
        <w:rPr>
          <w:rFonts w:ascii="Segoe UI Light" w:eastAsiaTheme="majorEastAsia" w:hAnsi="Segoe UI Light" w:cstheme="majorBidi"/>
          <w:b/>
          <w:vanish/>
          <w:color w:val="0B5294" w:themeColor="accent1" w:themeShade="BF"/>
          <w:sz w:val="36"/>
          <w:szCs w:val="32"/>
        </w:rPr>
      </w:pPr>
      <w:bookmarkStart w:id="48" w:name="_Toc43469752"/>
      <w:bookmarkStart w:id="49" w:name="_Toc44316266"/>
      <w:bookmarkStart w:id="50" w:name="_Toc44316304"/>
      <w:bookmarkStart w:id="51" w:name="_Toc42249215"/>
      <w:bookmarkStart w:id="52" w:name="_Toc42608871"/>
      <w:bookmarkEnd w:id="48"/>
      <w:bookmarkEnd w:id="49"/>
      <w:bookmarkEnd w:id="50"/>
    </w:p>
    <w:p w14:paraId="5D804DBB" w14:textId="77777777" w:rsidR="00F36759" w:rsidRPr="00F36759" w:rsidRDefault="00F36759" w:rsidP="00860AA6">
      <w:pPr>
        <w:pStyle w:val="ListParagraph"/>
        <w:keepNext/>
        <w:keepLines/>
        <w:numPr>
          <w:ilvl w:val="0"/>
          <w:numId w:val="4"/>
        </w:numPr>
        <w:spacing w:before="240"/>
        <w:contextualSpacing w:val="0"/>
        <w:outlineLvl w:val="0"/>
        <w:rPr>
          <w:rFonts w:ascii="Segoe UI Light" w:eastAsiaTheme="majorEastAsia" w:hAnsi="Segoe UI Light" w:cstheme="majorBidi"/>
          <w:b/>
          <w:vanish/>
          <w:color w:val="0B5294" w:themeColor="accent1" w:themeShade="BF"/>
          <w:sz w:val="36"/>
          <w:szCs w:val="32"/>
        </w:rPr>
      </w:pPr>
      <w:bookmarkStart w:id="53" w:name="_Toc43469753"/>
      <w:bookmarkStart w:id="54" w:name="_Toc44316267"/>
      <w:bookmarkStart w:id="55" w:name="_Toc44316305"/>
      <w:bookmarkEnd w:id="53"/>
      <w:bookmarkEnd w:id="54"/>
      <w:bookmarkEnd w:id="55"/>
    </w:p>
    <w:p w14:paraId="35459C7F" w14:textId="29592F82" w:rsidR="00F36759" w:rsidRPr="00F36759" w:rsidRDefault="00F36759" w:rsidP="00860AA6">
      <w:pPr>
        <w:pStyle w:val="Heading2"/>
        <w:numPr>
          <w:ilvl w:val="1"/>
          <w:numId w:val="4"/>
        </w:numPr>
      </w:pPr>
      <w:bookmarkStart w:id="56" w:name="_Toc44316306"/>
      <w:r w:rsidRPr="00F36759">
        <w:t>Overview</w:t>
      </w:r>
      <w:bookmarkEnd w:id="51"/>
      <w:bookmarkEnd w:id="52"/>
      <w:bookmarkEnd w:id="56"/>
    </w:p>
    <w:p w14:paraId="4A91776C" w14:textId="3195F06F" w:rsidR="00F36759" w:rsidRPr="003A028E" w:rsidRDefault="001C4E92" w:rsidP="003A028E">
      <w:pPr>
        <w:spacing w:line="276" w:lineRule="auto"/>
        <w:jc w:val="both"/>
        <w:rPr>
          <w:rFonts w:ascii="Segoe UI" w:hAnsi="Segoe UI" w:cs="Segoe UI"/>
          <w:sz w:val="20"/>
          <w:szCs w:val="20"/>
        </w:rPr>
      </w:pPr>
      <w:hyperlink r:id="rId30" w:history="1">
        <w:r w:rsidR="00F36759" w:rsidRPr="003A028E">
          <w:rPr>
            <w:rStyle w:val="Hyperlink"/>
            <w:rFonts w:ascii="Segoe UI" w:hAnsi="Segoe UI" w:cs="Segoe UI"/>
            <w:color w:val="auto"/>
            <w:sz w:val="20"/>
            <w:szCs w:val="20"/>
            <w:u w:val="none"/>
          </w:rPr>
          <w:t>Azure Total Cost of Ownership (TCO)</w:t>
        </w:r>
      </w:hyperlink>
      <w:r w:rsidR="00F36759" w:rsidRPr="003A028E">
        <w:rPr>
          <w:rFonts w:ascii="Segoe UI" w:hAnsi="Segoe UI" w:cs="Segoe UI"/>
          <w:sz w:val="20"/>
          <w:szCs w:val="20"/>
        </w:rPr>
        <w:t xml:space="preserve"> is the cost of a product or service plus any operating costs. You can use TCO to weigh risk against reward when acquiring services, hardware, or applications. TCO calculations are key to strategic procurement and ensuring the greatest possible return on investment (ROI).</w:t>
      </w:r>
      <w:r w:rsidR="003A028E" w:rsidRPr="003A028E">
        <w:rPr>
          <w:rFonts w:ascii="Segoe UI" w:hAnsi="Segoe UI" w:cs="Segoe UI"/>
          <w:sz w:val="20"/>
          <w:szCs w:val="20"/>
        </w:rPr>
        <w:t xml:space="preserve"> </w:t>
      </w:r>
      <w:r w:rsidR="00F36759" w:rsidRPr="003A028E">
        <w:rPr>
          <w:rFonts w:ascii="Segoe UI" w:hAnsi="Segoe UI" w:cs="Segoe UI"/>
          <w:sz w:val="20"/>
          <w:szCs w:val="20"/>
        </w:rPr>
        <w:t xml:space="preserve">To calculate TCO, you need to use a variety of tools and processes which can help you assign dollar amounts to intangibles. When calculating TCO for </w:t>
      </w:r>
      <w:proofErr w:type="gramStart"/>
      <w:r w:rsidR="00F36759" w:rsidRPr="003A028E">
        <w:rPr>
          <w:rFonts w:ascii="Segoe UI" w:hAnsi="Segoe UI" w:cs="Segoe UI"/>
          <w:sz w:val="20"/>
          <w:szCs w:val="20"/>
        </w:rPr>
        <w:t>on-premise</w:t>
      </w:r>
      <w:proofErr w:type="gramEnd"/>
      <w:r w:rsidR="00F36759" w:rsidRPr="003A028E">
        <w:rPr>
          <w:rFonts w:ascii="Segoe UI" w:hAnsi="Segoe UI" w:cs="Segoe UI"/>
          <w:sz w:val="20"/>
          <w:szCs w:val="20"/>
        </w:rPr>
        <w:t xml:space="preserve"> purchases, you should take into account facility and labor costs. For public clouds, it can be easier to estimate TCO because all aspects of the computing services are provided and priced by the cloud provider.</w:t>
      </w:r>
    </w:p>
    <w:p w14:paraId="499F486B" w14:textId="77777777" w:rsidR="00F36759" w:rsidRPr="003A028E" w:rsidRDefault="00F36759" w:rsidP="003A028E">
      <w:pPr>
        <w:spacing w:after="0" w:line="276" w:lineRule="auto"/>
        <w:rPr>
          <w:rFonts w:ascii="Segoe UI" w:hAnsi="Segoe UI" w:cs="Segoe UI"/>
          <w:b/>
          <w:sz w:val="20"/>
          <w:szCs w:val="20"/>
        </w:rPr>
      </w:pPr>
      <w:r w:rsidRPr="003A028E">
        <w:rPr>
          <w:rFonts w:ascii="Segoe UI" w:hAnsi="Segoe UI" w:cs="Segoe UI"/>
          <w:b/>
          <w:sz w:val="20"/>
          <w:szCs w:val="20"/>
        </w:rPr>
        <w:t>Pros:</w:t>
      </w:r>
    </w:p>
    <w:p w14:paraId="7EAA1712" w14:textId="77777777" w:rsidR="00F36759" w:rsidRPr="003A028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3A028E">
        <w:rPr>
          <w:rStyle w:val="Hyperlink"/>
          <w:rFonts w:ascii="Segoe UI" w:eastAsia="Segoe UI" w:hAnsi="Segoe UI" w:cs="Segoe UI"/>
          <w:color w:val="auto"/>
          <w:sz w:val="20"/>
          <w:szCs w:val="20"/>
          <w:u w:val="none"/>
        </w:rPr>
        <w:t>Granularity of inputs</w:t>
      </w:r>
    </w:p>
    <w:p w14:paraId="5E440473" w14:textId="77777777" w:rsidR="00F36759" w:rsidRPr="003A028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3A028E">
        <w:rPr>
          <w:rStyle w:val="Hyperlink"/>
          <w:rFonts w:ascii="Segoe UI" w:eastAsia="Segoe UI" w:hAnsi="Segoe UI" w:cs="Segoe UI"/>
          <w:color w:val="auto"/>
          <w:sz w:val="20"/>
          <w:szCs w:val="20"/>
          <w:u w:val="none"/>
        </w:rPr>
        <w:t>You can modify the values the report uses (i.e. IT Labor Costs), but only within the Assumptions (not within the export)</w:t>
      </w:r>
    </w:p>
    <w:p w14:paraId="4C7051F0" w14:textId="7AABF29E" w:rsidR="003A028E" w:rsidRPr="003A028E" w:rsidRDefault="00F36759" w:rsidP="00860AA6">
      <w:pPr>
        <w:pStyle w:val="ListParagraph"/>
        <w:numPr>
          <w:ilvl w:val="0"/>
          <w:numId w:val="3"/>
        </w:numPr>
        <w:spacing w:line="276" w:lineRule="auto"/>
        <w:jc w:val="both"/>
        <w:rPr>
          <w:rFonts w:ascii="Segoe UI" w:eastAsia="Segoe UI" w:hAnsi="Segoe UI" w:cs="Segoe UI"/>
          <w:sz w:val="20"/>
          <w:szCs w:val="20"/>
        </w:rPr>
      </w:pPr>
      <w:r w:rsidRPr="003A028E">
        <w:rPr>
          <w:rStyle w:val="Hyperlink"/>
          <w:rFonts w:ascii="Segoe UI" w:eastAsia="Segoe UI" w:hAnsi="Segoe UI" w:cs="Segoe UI"/>
          <w:color w:val="auto"/>
          <w:sz w:val="20"/>
          <w:szCs w:val="20"/>
          <w:u w:val="none"/>
        </w:rPr>
        <w:t>Good summarization and visuals to present to Management level</w:t>
      </w:r>
    </w:p>
    <w:p w14:paraId="2412327C" w14:textId="1D4A74D2" w:rsidR="00F36759" w:rsidRPr="003A028E" w:rsidRDefault="00F36759" w:rsidP="003A028E">
      <w:pPr>
        <w:spacing w:after="0" w:line="276" w:lineRule="auto"/>
        <w:rPr>
          <w:rFonts w:ascii="Segoe UI" w:hAnsi="Segoe UI" w:cs="Segoe UI"/>
          <w:b/>
          <w:sz w:val="20"/>
          <w:szCs w:val="20"/>
        </w:rPr>
      </w:pPr>
      <w:r w:rsidRPr="003A028E">
        <w:rPr>
          <w:rFonts w:ascii="Segoe UI" w:hAnsi="Segoe UI" w:cs="Segoe UI"/>
          <w:b/>
          <w:sz w:val="20"/>
          <w:szCs w:val="20"/>
        </w:rPr>
        <w:t>Cons:</w:t>
      </w:r>
    </w:p>
    <w:p w14:paraId="69278135"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You need to input multiple fields and multiple lines to assess a complete environment (therefore accurate input is time-consuming)</w:t>
      </w:r>
    </w:p>
    <w:p w14:paraId="2B94B701"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The Excel export does not re-adjust the calculations if you edit the values</w:t>
      </w:r>
    </w:p>
    <w:p w14:paraId="033D78A9" w14:textId="77777777" w:rsidR="00F36759" w:rsidRPr="003A028E" w:rsidRDefault="00F36759" w:rsidP="00860AA6">
      <w:pPr>
        <w:pStyle w:val="ListParagraph"/>
        <w:numPr>
          <w:ilvl w:val="0"/>
          <w:numId w:val="3"/>
        </w:numPr>
        <w:spacing w:after="0" w:line="276" w:lineRule="auto"/>
        <w:jc w:val="both"/>
        <w:rPr>
          <w:rFonts w:ascii="Segoe UI" w:hAnsi="Segoe UI" w:cs="Segoe UI"/>
          <w:sz w:val="20"/>
          <w:szCs w:val="20"/>
        </w:rPr>
      </w:pPr>
      <w:r w:rsidRPr="008C406F">
        <w:rPr>
          <w:rStyle w:val="Hyperlink"/>
          <w:rFonts w:ascii="Segoe UI" w:eastAsia="Segoe UI" w:hAnsi="Segoe UI" w:cs="Segoe UI"/>
          <w:color w:val="auto"/>
          <w:sz w:val="20"/>
          <w:szCs w:val="22"/>
          <w:u w:val="none"/>
        </w:rPr>
        <w:t>Unable</w:t>
      </w:r>
      <w:r w:rsidRPr="003A028E">
        <w:rPr>
          <w:rStyle w:val="Hyperlink"/>
          <w:rFonts w:ascii="Segoe UI" w:eastAsia="Segoe UI" w:hAnsi="Segoe UI" w:cs="Segoe UI"/>
          <w:color w:val="auto"/>
          <w:sz w:val="20"/>
          <w:szCs w:val="20"/>
          <w:u w:val="none"/>
        </w:rPr>
        <w:t xml:space="preserve"> to</w:t>
      </w:r>
      <w:r w:rsidRPr="003A028E">
        <w:rPr>
          <w:rFonts w:ascii="Segoe UI" w:hAnsi="Segoe UI" w:cs="Segoe UI"/>
          <w:sz w:val="20"/>
          <w:szCs w:val="20"/>
        </w:rPr>
        <w:t xml:space="preserve"> save current session/state to complete at a later point in time</w:t>
      </w:r>
    </w:p>
    <w:p w14:paraId="684A8FF5" w14:textId="473ABFE9" w:rsidR="00F36759" w:rsidRPr="003A028E" w:rsidRDefault="00F36759" w:rsidP="003A028E">
      <w:pPr>
        <w:spacing w:before="240" w:line="276" w:lineRule="auto"/>
        <w:rPr>
          <w:rFonts w:ascii="Segoe UI" w:hAnsi="Segoe UI" w:cs="Segoe UI"/>
          <w:sz w:val="20"/>
          <w:szCs w:val="20"/>
        </w:rPr>
      </w:pPr>
      <w:r w:rsidRPr="003A028E">
        <w:rPr>
          <w:rFonts w:ascii="Segoe UI" w:hAnsi="Segoe UI" w:cs="Segoe UI"/>
          <w:sz w:val="20"/>
          <w:szCs w:val="20"/>
        </w:rPr>
        <w:t xml:space="preserve">Azure TCO has three stages Assessment, Assumptions and viewing Report. All three stages are </w:t>
      </w:r>
      <w:r w:rsidR="003A028E" w:rsidRPr="003A028E">
        <w:rPr>
          <w:rFonts w:ascii="Segoe UI" w:hAnsi="Segoe UI" w:cs="Segoe UI"/>
          <w:sz w:val="20"/>
          <w:szCs w:val="20"/>
        </w:rPr>
        <w:t>discussed</w:t>
      </w:r>
      <w:r w:rsidRPr="003A028E">
        <w:rPr>
          <w:rFonts w:ascii="Segoe UI" w:hAnsi="Segoe UI" w:cs="Segoe UI"/>
          <w:sz w:val="20"/>
          <w:szCs w:val="20"/>
        </w:rPr>
        <w:t xml:space="preserve"> below in detail </w:t>
      </w:r>
    </w:p>
    <w:p w14:paraId="0F819C6D" w14:textId="77777777" w:rsidR="00F36759" w:rsidRPr="003A028E" w:rsidRDefault="00F36759" w:rsidP="00860AA6">
      <w:pPr>
        <w:pStyle w:val="Heading2"/>
        <w:numPr>
          <w:ilvl w:val="1"/>
          <w:numId w:val="4"/>
        </w:numPr>
      </w:pPr>
      <w:bookmarkStart w:id="57" w:name="_Toc42249216"/>
      <w:bookmarkStart w:id="58" w:name="_Toc42608872"/>
      <w:bookmarkStart w:id="59" w:name="_Toc44316307"/>
      <w:r w:rsidRPr="003A028E">
        <w:t>Define Workloads</w:t>
      </w:r>
      <w:bookmarkEnd w:id="57"/>
      <w:bookmarkEnd w:id="58"/>
      <w:bookmarkEnd w:id="59"/>
    </w:p>
    <w:p w14:paraId="04ADADE8" w14:textId="77777777" w:rsidR="00F36759" w:rsidRPr="003A028E" w:rsidRDefault="00F36759" w:rsidP="003A028E">
      <w:pPr>
        <w:spacing w:line="276" w:lineRule="auto"/>
        <w:jc w:val="both"/>
        <w:rPr>
          <w:rStyle w:val="Hyperlink"/>
          <w:rFonts w:ascii="Segoe UI" w:hAnsi="Segoe UI" w:cs="Segoe UI"/>
          <w:color w:val="auto"/>
          <w:sz w:val="20"/>
          <w:szCs w:val="20"/>
          <w:u w:val="none"/>
        </w:rPr>
      </w:pPr>
      <w:r w:rsidRPr="003A028E">
        <w:rPr>
          <w:rStyle w:val="Hyperlink"/>
          <w:rFonts w:ascii="Segoe UI" w:hAnsi="Segoe UI" w:cs="Segoe UI"/>
          <w:color w:val="auto"/>
          <w:sz w:val="20"/>
          <w:szCs w:val="20"/>
          <w:u w:val="none"/>
        </w:rPr>
        <w:t>In this stage providing detail information of on-premises will help us get precise estimation from TCO. Details includes networking, servers, storage, and databases. This information can take time to gather if you don’t already have it available. If you have multiple set-ups or possible configurations, you need to run the TCO Calculator multiple times. Unfortunately, this tool cannot save a session so make sure to save the report before moving on to the next configuration.</w:t>
      </w:r>
    </w:p>
    <w:p w14:paraId="15F54DC3" w14:textId="77777777" w:rsidR="00F36759" w:rsidRPr="003A028E" w:rsidRDefault="00F36759" w:rsidP="00F36759">
      <w:pPr>
        <w:pStyle w:val="Heading3"/>
        <w:keepLines w:val="0"/>
        <w:tabs>
          <w:tab w:val="clear" w:pos="900"/>
        </w:tabs>
        <w:spacing w:after="60"/>
        <w:ind w:left="709"/>
      </w:pPr>
      <w:bookmarkStart w:id="60" w:name="_Toc42249217"/>
      <w:bookmarkStart w:id="61" w:name="_Toc42608873"/>
      <w:bookmarkStart w:id="62" w:name="_Toc44316308"/>
      <w:r w:rsidRPr="003A028E">
        <w:t>Servers</w:t>
      </w:r>
      <w:bookmarkEnd w:id="60"/>
      <w:bookmarkEnd w:id="61"/>
      <w:bookmarkEnd w:id="62"/>
      <w:r w:rsidRPr="003A028E">
        <w:t xml:space="preserve"> </w:t>
      </w:r>
    </w:p>
    <w:p w14:paraId="7EB4F951" w14:textId="77777777" w:rsidR="00F36759" w:rsidRPr="008C406F" w:rsidRDefault="00F36759" w:rsidP="008C406F">
      <w:pPr>
        <w:pStyle w:val="BodyText"/>
        <w:spacing w:before="0" w:after="0" w:line="276" w:lineRule="auto"/>
        <w:rPr>
          <w:rFonts w:ascii="Segoe UI" w:hAnsi="Segoe UI" w:cs="Segoe UI"/>
          <w:b/>
          <w:sz w:val="20"/>
        </w:rPr>
      </w:pPr>
      <w:r w:rsidRPr="008C406F">
        <w:rPr>
          <w:rFonts w:ascii="Segoe UI" w:hAnsi="Segoe UI" w:cs="Segoe UI"/>
          <w:sz w:val="20"/>
        </w:rPr>
        <w:t>The first information to fill out in assessment is about on-premises server infrastructure. Explanation of every field in server section is as follows:</w:t>
      </w:r>
    </w:p>
    <w:p w14:paraId="7FCDA390"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 xml:space="preserve">Workload: On-premises workload type Web App or Windows/Linux Server </w:t>
      </w:r>
    </w:p>
    <w:p w14:paraId="0F08D75B" w14:textId="540BF18C"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 xml:space="preserve">Environment: Specifying if the workload runs or physical server or </w:t>
      </w:r>
      <w:r w:rsidR="008C406F" w:rsidRPr="008C406F">
        <w:rPr>
          <w:rStyle w:val="Hyperlink"/>
          <w:rFonts w:ascii="Segoe UI" w:eastAsia="Segoe UI" w:hAnsi="Segoe UI" w:cs="Segoe UI"/>
          <w:color w:val="auto"/>
          <w:sz w:val="20"/>
          <w:szCs w:val="18"/>
          <w:u w:val="none"/>
        </w:rPr>
        <w:t>Virtualized</w:t>
      </w:r>
      <w:r w:rsidRPr="008C406F">
        <w:rPr>
          <w:rStyle w:val="Hyperlink"/>
          <w:rFonts w:ascii="Segoe UI" w:eastAsia="Segoe UI" w:hAnsi="Segoe UI" w:cs="Segoe UI"/>
          <w:color w:val="auto"/>
          <w:sz w:val="20"/>
          <w:szCs w:val="22"/>
          <w:u w:val="none"/>
        </w:rPr>
        <w:t xml:space="preserve"> Server </w:t>
      </w:r>
    </w:p>
    <w:p w14:paraId="613A8444"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Operating System: OS installed on the servers Windows or Linux</w:t>
      </w:r>
    </w:p>
    <w:p w14:paraId="1CF1061D"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Servers: Number of servers for that workload</w:t>
      </w:r>
    </w:p>
    <w:p w14:paraId="65843F1B"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 xml:space="preserve">Procs per server: Number of Processor per server </w:t>
      </w:r>
    </w:p>
    <w:p w14:paraId="1D75CDF8"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Core per Procs: Number of Core per Processor</w:t>
      </w:r>
    </w:p>
    <w:p w14:paraId="4B6B70CB"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 xml:space="preserve">RAM: Amount of RAM in GB per server </w:t>
      </w:r>
    </w:p>
    <w:p w14:paraId="73D30372"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 xml:space="preserve">Optimize by:  Specifies whether compute or memory is more important to the workload. If an Azure Virtual Machine does not exactly fit your specifications, the Calculator will seek to match cores or memory based on your specification. </w:t>
      </w:r>
    </w:p>
    <w:p w14:paraId="0138153E"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 xml:space="preserve">Auto Scaling: Only check the box if the workload is required to be scaled on demand. </w:t>
      </w:r>
    </w:p>
    <w:p w14:paraId="5F93A37E" w14:textId="77777777" w:rsidR="00F36759" w:rsidRPr="008C406F" w:rsidRDefault="00F36759" w:rsidP="008C406F">
      <w:pPr>
        <w:pStyle w:val="BodyText"/>
        <w:spacing w:before="0" w:after="0" w:line="276" w:lineRule="auto"/>
        <w:rPr>
          <w:rFonts w:ascii="Segoe UI" w:hAnsi="Segoe UI" w:cs="Segoe UI"/>
          <w:sz w:val="20"/>
        </w:rPr>
      </w:pPr>
    </w:p>
    <w:p w14:paraId="3DF40CEA" w14:textId="77777777" w:rsidR="00F36759" w:rsidRPr="008C406F" w:rsidRDefault="00F36759" w:rsidP="008C406F">
      <w:pPr>
        <w:pStyle w:val="BodyText"/>
        <w:spacing w:before="0" w:after="0" w:line="276" w:lineRule="auto"/>
        <w:jc w:val="center"/>
        <w:rPr>
          <w:rFonts w:ascii="Segoe UI" w:hAnsi="Segoe UI" w:cs="Segoe UI"/>
          <w:sz w:val="20"/>
        </w:rPr>
      </w:pPr>
      <w:r w:rsidRPr="008C406F">
        <w:rPr>
          <w:rFonts w:ascii="Segoe UI" w:hAnsi="Segoe UI" w:cs="Segoe UI"/>
          <w:noProof/>
          <w:sz w:val="20"/>
        </w:rPr>
        <w:drawing>
          <wp:inline distT="0" distB="0" distL="0" distR="0" wp14:anchorId="3973CA4E" wp14:editId="2A24DC84">
            <wp:extent cx="6743700" cy="1547495"/>
            <wp:effectExtent l="0" t="0" r="0" b="0"/>
            <wp:docPr id="187362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6743700" cy="1547495"/>
                    </a:xfrm>
                    <a:prstGeom prst="rect">
                      <a:avLst/>
                    </a:prstGeom>
                  </pic:spPr>
                </pic:pic>
              </a:graphicData>
            </a:graphic>
          </wp:inline>
        </w:drawing>
      </w:r>
    </w:p>
    <w:p w14:paraId="56A040C7" w14:textId="77777777"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sz w:val="20"/>
        </w:rPr>
        <w:tab/>
      </w:r>
    </w:p>
    <w:p w14:paraId="5CE1EEFA" w14:textId="77777777"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b/>
          <w:sz w:val="20"/>
        </w:rPr>
        <w:t xml:space="preserve">Example: </w:t>
      </w:r>
      <w:r w:rsidRPr="008C406F">
        <w:rPr>
          <w:rFonts w:ascii="Segoe UI" w:hAnsi="Segoe UI" w:cs="Segoe UI"/>
          <w:sz w:val="20"/>
        </w:rPr>
        <w:t xml:space="preserve">In the above image we have named our workload as “App ABC”. The workload type is a Web Application which runs on physical server. We have installed Windows OS on </w:t>
      </w:r>
      <w:proofErr w:type="gramStart"/>
      <w:r w:rsidRPr="008C406F">
        <w:rPr>
          <w:rFonts w:ascii="Segoe UI" w:hAnsi="Segoe UI" w:cs="Segoe UI"/>
          <w:sz w:val="20"/>
        </w:rPr>
        <w:t>those server</w:t>
      </w:r>
      <w:proofErr w:type="gramEnd"/>
      <w:r w:rsidRPr="008C406F">
        <w:rPr>
          <w:rFonts w:ascii="Segoe UI" w:hAnsi="Segoe UI" w:cs="Segoe UI"/>
          <w:sz w:val="20"/>
        </w:rPr>
        <w:t xml:space="preserve"> so we have selected Windows in the above image. Next step is to specify the number of servers required for that application which in our case was 5. We currently have 3 processors per server each with 6 </w:t>
      </w:r>
      <w:proofErr w:type="gramStart"/>
      <w:r w:rsidRPr="008C406F">
        <w:rPr>
          <w:rFonts w:ascii="Segoe UI" w:hAnsi="Segoe UI" w:cs="Segoe UI"/>
          <w:sz w:val="20"/>
        </w:rPr>
        <w:t>core</w:t>
      </w:r>
      <w:proofErr w:type="gramEnd"/>
      <w:r w:rsidRPr="008C406F">
        <w:rPr>
          <w:rFonts w:ascii="Segoe UI" w:hAnsi="Segoe UI" w:cs="Segoe UI"/>
          <w:sz w:val="20"/>
        </w:rPr>
        <w:t>. Required RAM for this application is 40 GB and selecting CPU as optimization method. Once we have filled all our information TCO will estimate the expenses for the equivalent environment in Azure.</w:t>
      </w:r>
    </w:p>
    <w:p w14:paraId="6299E11B" w14:textId="77777777" w:rsidR="00F36759" w:rsidRPr="00A6563E" w:rsidRDefault="00F36759" w:rsidP="00A6563E">
      <w:pPr>
        <w:pStyle w:val="Heading3"/>
        <w:keepLines w:val="0"/>
        <w:tabs>
          <w:tab w:val="clear" w:pos="900"/>
        </w:tabs>
        <w:spacing w:after="60"/>
        <w:ind w:left="709"/>
      </w:pPr>
      <w:bookmarkStart w:id="63" w:name="_Toc42249218"/>
      <w:bookmarkStart w:id="64" w:name="_Toc42608874"/>
      <w:bookmarkStart w:id="65" w:name="_Toc44316309"/>
      <w:r w:rsidRPr="00A6563E">
        <w:t>Databases</w:t>
      </w:r>
      <w:bookmarkEnd w:id="63"/>
      <w:bookmarkEnd w:id="64"/>
      <w:bookmarkEnd w:id="65"/>
    </w:p>
    <w:p w14:paraId="445DC56A" w14:textId="77777777"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sz w:val="20"/>
        </w:rPr>
        <w:t xml:space="preserve">In this section all the information regarding on-premises databases as well as Azure SQL Database to which you want to migrate is required. </w:t>
      </w:r>
      <w:r w:rsidRPr="001157AF">
        <w:rPr>
          <w:rFonts w:ascii="Segoe UI" w:hAnsi="Segoe UI" w:cs="Segoe UI"/>
          <w:sz w:val="20"/>
        </w:rPr>
        <w:t>User needs to add the following details for each database.</w:t>
      </w:r>
      <w:r w:rsidRPr="008C406F">
        <w:rPr>
          <w:rFonts w:ascii="Segoe UI" w:hAnsi="Segoe UI" w:cs="Segoe UI"/>
          <w:sz w:val="20"/>
        </w:rPr>
        <w:t xml:space="preserve"> Explanation of every field in source database (single) section is as follows:</w:t>
      </w:r>
    </w:p>
    <w:p w14:paraId="5C6B4FF8" w14:textId="2303E518"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Database: Database engine</w:t>
      </w:r>
      <w:r w:rsidR="00A6563E">
        <w:rPr>
          <w:rStyle w:val="Hyperlink"/>
          <w:rFonts w:ascii="Segoe UI" w:eastAsia="Segoe UI" w:hAnsi="Segoe UI" w:cs="Segoe UI"/>
          <w:color w:val="auto"/>
          <w:sz w:val="20"/>
          <w:szCs w:val="20"/>
          <w:u w:val="none"/>
        </w:rPr>
        <w:t xml:space="preserve"> </w:t>
      </w:r>
      <w:r w:rsidRPr="00A6563E">
        <w:rPr>
          <w:rStyle w:val="Hyperlink"/>
          <w:rFonts w:ascii="Segoe UI" w:eastAsia="Segoe UI" w:hAnsi="Segoe UI" w:cs="Segoe UI"/>
          <w:color w:val="auto"/>
          <w:sz w:val="20"/>
          <w:szCs w:val="20"/>
          <w:u w:val="none"/>
        </w:rPr>
        <w:t>(MS SQL Server/MySQL/PostgreSQL) used in on-premises environment.</w:t>
      </w:r>
    </w:p>
    <w:p w14:paraId="1BE7BC7B" w14:textId="677885CF"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License: If using MS SQL Server Database engine then License information</w:t>
      </w:r>
      <w:r w:rsidR="00A6563E">
        <w:rPr>
          <w:rStyle w:val="Hyperlink"/>
          <w:rFonts w:ascii="Segoe UI" w:eastAsia="Segoe UI" w:hAnsi="Segoe UI" w:cs="Segoe UI"/>
          <w:color w:val="auto"/>
          <w:sz w:val="20"/>
          <w:szCs w:val="20"/>
          <w:u w:val="none"/>
        </w:rPr>
        <w:t xml:space="preserve"> </w:t>
      </w:r>
      <w:r w:rsidRPr="00A6563E">
        <w:rPr>
          <w:rStyle w:val="Hyperlink"/>
          <w:rFonts w:ascii="Segoe UI" w:eastAsia="Segoe UI" w:hAnsi="Segoe UI" w:cs="Segoe UI"/>
          <w:color w:val="auto"/>
          <w:sz w:val="20"/>
          <w:szCs w:val="20"/>
          <w:u w:val="none"/>
        </w:rPr>
        <w:t xml:space="preserve">(Enterprise/Standard) is needed. </w:t>
      </w:r>
    </w:p>
    <w:p w14:paraId="243676EE" w14:textId="73CC548E"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 xml:space="preserve">Environment: Specifying if the workload runs or physical server or </w:t>
      </w:r>
      <w:r w:rsidR="00A6563E" w:rsidRPr="00A6563E">
        <w:rPr>
          <w:rStyle w:val="Hyperlink"/>
          <w:rFonts w:ascii="Segoe UI" w:eastAsia="Segoe UI" w:hAnsi="Segoe UI" w:cs="Segoe UI"/>
          <w:color w:val="auto"/>
          <w:sz w:val="20"/>
          <w:szCs w:val="20"/>
          <w:u w:val="none"/>
        </w:rPr>
        <w:t>Virtualized</w:t>
      </w:r>
      <w:r w:rsidRPr="00A6563E">
        <w:rPr>
          <w:rStyle w:val="Hyperlink"/>
          <w:rFonts w:ascii="Segoe UI" w:eastAsia="Segoe UI" w:hAnsi="Segoe UI" w:cs="Segoe UI"/>
          <w:color w:val="auto"/>
          <w:sz w:val="20"/>
          <w:szCs w:val="20"/>
          <w:u w:val="none"/>
        </w:rPr>
        <w:t xml:space="preserve"> Server </w:t>
      </w:r>
    </w:p>
    <w:p w14:paraId="587D3D6F"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Operating System: OS installed on the servers Windows or Linux</w:t>
      </w:r>
    </w:p>
    <w:p w14:paraId="57AAB546"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Servers: Number of servers for that workload</w:t>
      </w:r>
    </w:p>
    <w:p w14:paraId="4AF91220"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 xml:space="preserve">Procs per server: Number of Processor per server </w:t>
      </w:r>
    </w:p>
    <w:p w14:paraId="50392B58"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Core per Procs: Number of Core per Processor</w:t>
      </w:r>
    </w:p>
    <w:p w14:paraId="3C40A104"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 xml:space="preserve">RAM: Amount of RAM in GB per server </w:t>
      </w:r>
    </w:p>
    <w:p w14:paraId="166DEC53"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 xml:space="preserve">Optimize by:  Specifies whether compute or memory is more important to the workload. If an Azure Virtual Machine does not exactly fit your specifications, the Calculator will seek to match cores or memory based on your specification. </w:t>
      </w:r>
    </w:p>
    <w:p w14:paraId="120FE5C6"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SQL Server 2008/2008 R2: Specifies if the on-premises database environment is SQL Server 2008/2008 R2. This will model the financial effects of the end of extended support which begins July 2019.</w:t>
      </w:r>
    </w:p>
    <w:p w14:paraId="06EEAA8F" w14:textId="77777777"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sz w:val="20"/>
        </w:rPr>
        <w:t>Fields of Destination Databases or Azure Databases:</w:t>
      </w:r>
    </w:p>
    <w:p w14:paraId="0D11EA52"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A6563E">
        <w:rPr>
          <w:rStyle w:val="Hyperlink"/>
          <w:rFonts w:ascii="Segoe UI" w:eastAsia="Segoe UI" w:hAnsi="Segoe UI" w:cs="Segoe UI"/>
          <w:color w:val="auto"/>
          <w:sz w:val="20"/>
          <w:szCs w:val="22"/>
          <w:u w:val="none"/>
        </w:rPr>
        <w:t>Service: Azure database service(s) available given your on-premises environment.</w:t>
      </w:r>
    </w:p>
    <w:p w14:paraId="03571260" w14:textId="4C16D55B"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A6563E">
        <w:rPr>
          <w:rStyle w:val="Hyperlink"/>
          <w:rFonts w:ascii="Segoe UI" w:eastAsia="Segoe UI" w:hAnsi="Segoe UI" w:cs="Segoe UI"/>
          <w:color w:val="auto"/>
          <w:sz w:val="20"/>
          <w:szCs w:val="22"/>
          <w:u w:val="none"/>
        </w:rPr>
        <w:t>Max DB Size</w:t>
      </w:r>
      <w:r w:rsidR="00A6563E">
        <w:rPr>
          <w:rStyle w:val="Hyperlink"/>
          <w:rFonts w:ascii="Segoe UI" w:eastAsia="Segoe UI" w:hAnsi="Segoe UI" w:cs="Segoe UI"/>
          <w:color w:val="auto"/>
          <w:sz w:val="20"/>
          <w:szCs w:val="22"/>
          <w:u w:val="none"/>
        </w:rPr>
        <w:t xml:space="preserve"> </w:t>
      </w:r>
      <w:r w:rsidRPr="00A6563E">
        <w:rPr>
          <w:rStyle w:val="Hyperlink"/>
          <w:rFonts w:ascii="Segoe UI" w:eastAsia="Segoe UI" w:hAnsi="Segoe UI" w:cs="Segoe UI"/>
          <w:color w:val="auto"/>
          <w:sz w:val="20"/>
          <w:szCs w:val="22"/>
          <w:u w:val="none"/>
        </w:rPr>
        <w:t>(GB): Maximum size of on-premises Database.</w:t>
      </w:r>
    </w:p>
    <w:p w14:paraId="3E68A466"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A6563E">
        <w:rPr>
          <w:rStyle w:val="Hyperlink"/>
          <w:rFonts w:ascii="Segoe UI" w:eastAsia="Segoe UI" w:hAnsi="Segoe UI" w:cs="Segoe UI"/>
          <w:color w:val="auto"/>
          <w:sz w:val="20"/>
          <w:szCs w:val="22"/>
          <w:u w:val="none"/>
        </w:rPr>
        <w:t>Max Concurrent Logins: Maximum number of concurrent logins to the on-premises database</w:t>
      </w:r>
    </w:p>
    <w:p w14:paraId="4F77A762" w14:textId="77777777"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noProof/>
          <w:sz w:val="20"/>
        </w:rPr>
        <w:drawing>
          <wp:inline distT="0" distB="0" distL="0" distR="0" wp14:anchorId="632C870C" wp14:editId="3E45C20F">
            <wp:extent cx="6743700" cy="2329180"/>
            <wp:effectExtent l="0" t="0" r="0" b="0"/>
            <wp:docPr id="288628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2">
                      <a:extLst>
                        <a:ext uri="{28A0092B-C50C-407E-A947-70E740481C1C}">
                          <a14:useLocalDpi xmlns:a14="http://schemas.microsoft.com/office/drawing/2010/main" val="0"/>
                        </a:ext>
                      </a:extLst>
                    </a:blip>
                    <a:stretch>
                      <a:fillRect/>
                    </a:stretch>
                  </pic:blipFill>
                  <pic:spPr>
                    <a:xfrm>
                      <a:off x="0" y="0"/>
                      <a:ext cx="6743700" cy="2329180"/>
                    </a:xfrm>
                    <a:prstGeom prst="rect">
                      <a:avLst/>
                    </a:prstGeom>
                  </pic:spPr>
                </pic:pic>
              </a:graphicData>
            </a:graphic>
          </wp:inline>
        </w:drawing>
      </w:r>
    </w:p>
    <w:p w14:paraId="3C5D3BA2" w14:textId="77777777" w:rsidR="00F36759" w:rsidRPr="008C406F" w:rsidRDefault="00F36759" w:rsidP="008C406F">
      <w:pPr>
        <w:pStyle w:val="BodyText"/>
        <w:spacing w:before="0" w:after="0" w:line="276" w:lineRule="auto"/>
        <w:rPr>
          <w:rFonts w:ascii="Segoe UI" w:hAnsi="Segoe UI" w:cs="Segoe UI"/>
          <w:sz w:val="20"/>
        </w:rPr>
      </w:pPr>
    </w:p>
    <w:p w14:paraId="3A70DC1A" w14:textId="6CDD8CF2"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b/>
          <w:sz w:val="20"/>
        </w:rPr>
        <w:t xml:space="preserve">Example: </w:t>
      </w:r>
      <w:r w:rsidRPr="008C406F">
        <w:rPr>
          <w:rFonts w:ascii="Segoe UI" w:hAnsi="Segoe UI" w:cs="Segoe UI"/>
          <w:sz w:val="20"/>
        </w:rPr>
        <w:t xml:space="preserve">In the above image we have named our source Database as “App 1 DB”. The Database engine is a Microsoft SQL Server enterprise edition running on physical server with windows OS. We have </w:t>
      </w:r>
      <w:r w:rsidR="00A6563E" w:rsidRPr="008C406F">
        <w:rPr>
          <w:rFonts w:ascii="Segoe UI" w:hAnsi="Segoe UI" w:cs="Segoe UI"/>
          <w:sz w:val="20"/>
        </w:rPr>
        <w:t>specified</w:t>
      </w:r>
      <w:r w:rsidRPr="008C406F">
        <w:rPr>
          <w:rFonts w:ascii="Segoe UI" w:hAnsi="Segoe UI" w:cs="Segoe UI"/>
          <w:sz w:val="20"/>
        </w:rPr>
        <w:t xml:space="preserve"> the number of servers required for this workload which in our case was 1. We currently have 3 processors per server each with 6 </w:t>
      </w:r>
      <w:r w:rsidR="00A6563E" w:rsidRPr="008C406F">
        <w:rPr>
          <w:rFonts w:ascii="Segoe UI" w:hAnsi="Segoe UI" w:cs="Segoe UI"/>
          <w:sz w:val="20"/>
        </w:rPr>
        <w:t>cores</w:t>
      </w:r>
      <w:r w:rsidRPr="008C406F">
        <w:rPr>
          <w:rFonts w:ascii="Segoe UI" w:hAnsi="Segoe UI" w:cs="Segoe UI"/>
          <w:sz w:val="20"/>
        </w:rPr>
        <w:t xml:space="preserve">. Required RAM for this application is 10 GB and selecting CPU as optimization method. In the Destination Database we are planning to migrate to Azure SQL Database. </w:t>
      </w:r>
      <w:proofErr w:type="gramStart"/>
      <w:r w:rsidRPr="008C406F">
        <w:rPr>
          <w:rFonts w:ascii="Segoe UI" w:hAnsi="Segoe UI" w:cs="Segoe UI"/>
          <w:sz w:val="20"/>
        </w:rPr>
        <w:t>Next</w:t>
      </w:r>
      <w:proofErr w:type="gramEnd"/>
      <w:r w:rsidRPr="008C406F">
        <w:rPr>
          <w:rFonts w:ascii="Segoe UI" w:hAnsi="Segoe UI" w:cs="Segoe UI"/>
          <w:sz w:val="20"/>
        </w:rPr>
        <w:t xml:space="preserve"> we have </w:t>
      </w:r>
      <w:r w:rsidR="00A6563E" w:rsidRPr="008C406F">
        <w:rPr>
          <w:rFonts w:ascii="Segoe UI" w:hAnsi="Segoe UI" w:cs="Segoe UI"/>
          <w:sz w:val="20"/>
        </w:rPr>
        <w:t>specified</w:t>
      </w:r>
      <w:r w:rsidRPr="008C406F">
        <w:rPr>
          <w:rFonts w:ascii="Segoe UI" w:hAnsi="Segoe UI" w:cs="Segoe UI"/>
          <w:sz w:val="20"/>
        </w:rPr>
        <w:t xml:space="preserve"> 100 GB as maximum on-premises Database Size and 1000 as Maximum concurrent logins. Once we have filled all our information TCO will estimate the expenses for the equivalent environment in Azure SQL Database</w:t>
      </w:r>
    </w:p>
    <w:p w14:paraId="16B89D47" w14:textId="77777777" w:rsidR="00F36759" w:rsidRPr="00A6563E" w:rsidRDefault="00F36759" w:rsidP="00A6563E">
      <w:pPr>
        <w:pStyle w:val="Heading3"/>
        <w:keepLines w:val="0"/>
        <w:tabs>
          <w:tab w:val="clear" w:pos="900"/>
        </w:tabs>
        <w:spacing w:after="60"/>
        <w:ind w:left="709"/>
      </w:pPr>
      <w:bookmarkStart w:id="66" w:name="_Toc42249219"/>
      <w:bookmarkStart w:id="67" w:name="_Toc42608875"/>
      <w:bookmarkStart w:id="68" w:name="_Toc44316310"/>
      <w:r w:rsidRPr="00A6563E">
        <w:t>Storage</w:t>
      </w:r>
      <w:bookmarkEnd w:id="66"/>
      <w:bookmarkEnd w:id="67"/>
      <w:bookmarkEnd w:id="68"/>
    </w:p>
    <w:p w14:paraId="43765960" w14:textId="77777777" w:rsidR="00F36759" w:rsidRPr="008C406F" w:rsidRDefault="00F36759" w:rsidP="00A6563E">
      <w:pPr>
        <w:pStyle w:val="BodyText"/>
        <w:spacing w:after="0" w:line="276" w:lineRule="auto"/>
        <w:rPr>
          <w:rFonts w:ascii="Segoe UI" w:hAnsi="Segoe UI" w:cs="Segoe UI"/>
          <w:sz w:val="20"/>
        </w:rPr>
      </w:pPr>
      <w:r w:rsidRPr="008C406F">
        <w:rPr>
          <w:rFonts w:ascii="Segoe UI" w:hAnsi="Segoe UI" w:cs="Segoe UI"/>
          <w:sz w:val="20"/>
        </w:rPr>
        <w:t xml:space="preserve">Final Important Section before Networking is Storage where we need to specify all the details of on-premises storage infrastructure. </w:t>
      </w:r>
    </w:p>
    <w:p w14:paraId="2E4F94A3" w14:textId="6FA66CA2"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A6563E">
        <w:rPr>
          <w:rStyle w:val="Hyperlink"/>
          <w:rFonts w:ascii="Segoe UI" w:eastAsia="Segoe UI" w:hAnsi="Segoe UI" w:cs="Segoe UI"/>
          <w:color w:val="auto"/>
          <w:sz w:val="20"/>
          <w:szCs w:val="22"/>
          <w:u w:val="none"/>
        </w:rPr>
        <w:t xml:space="preserve">Storage Type: Type of Storage being used on-prem. If you select local </w:t>
      </w:r>
      <w:r w:rsidR="00AF7282" w:rsidRPr="00A6563E">
        <w:rPr>
          <w:rStyle w:val="Hyperlink"/>
          <w:rFonts w:ascii="Segoe UI" w:eastAsia="Segoe UI" w:hAnsi="Segoe UI" w:cs="Segoe UI"/>
          <w:color w:val="auto"/>
          <w:sz w:val="20"/>
          <w:szCs w:val="22"/>
          <w:u w:val="none"/>
        </w:rPr>
        <w:t>disk,</w:t>
      </w:r>
      <w:r w:rsidRPr="00A6563E">
        <w:rPr>
          <w:rStyle w:val="Hyperlink"/>
          <w:rFonts w:ascii="Segoe UI" w:eastAsia="Segoe UI" w:hAnsi="Segoe UI" w:cs="Segoe UI"/>
          <w:color w:val="auto"/>
          <w:sz w:val="20"/>
          <w:szCs w:val="22"/>
          <w:u w:val="none"/>
        </w:rPr>
        <w:t xml:space="preserve"> then you </w:t>
      </w:r>
      <w:proofErr w:type="gramStart"/>
      <w:r w:rsidRPr="00A6563E">
        <w:rPr>
          <w:rStyle w:val="Hyperlink"/>
          <w:rFonts w:ascii="Segoe UI" w:eastAsia="Segoe UI" w:hAnsi="Segoe UI" w:cs="Segoe UI"/>
          <w:color w:val="auto"/>
          <w:sz w:val="20"/>
          <w:szCs w:val="22"/>
          <w:u w:val="none"/>
        </w:rPr>
        <w:t>have to</w:t>
      </w:r>
      <w:proofErr w:type="gramEnd"/>
      <w:r w:rsidRPr="00A6563E">
        <w:rPr>
          <w:rStyle w:val="Hyperlink"/>
          <w:rFonts w:ascii="Segoe UI" w:eastAsia="Segoe UI" w:hAnsi="Segoe UI" w:cs="Segoe UI"/>
          <w:color w:val="auto"/>
          <w:sz w:val="20"/>
          <w:szCs w:val="22"/>
          <w:u w:val="none"/>
        </w:rPr>
        <w:t xml:space="preserve"> mention the disk type (SSD/HDD)</w:t>
      </w:r>
    </w:p>
    <w:p w14:paraId="3E06061C"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A6563E">
        <w:rPr>
          <w:rStyle w:val="Hyperlink"/>
          <w:rFonts w:ascii="Segoe UI" w:eastAsia="Segoe UI" w:hAnsi="Segoe UI" w:cs="Segoe UI"/>
          <w:color w:val="auto"/>
          <w:sz w:val="20"/>
          <w:szCs w:val="22"/>
          <w:u w:val="none"/>
        </w:rPr>
        <w:t>Accessibility: Percentage of data being access frequently</w:t>
      </w:r>
    </w:p>
    <w:p w14:paraId="0825324C"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A6563E">
        <w:rPr>
          <w:rStyle w:val="Hyperlink"/>
          <w:rFonts w:ascii="Segoe UI" w:eastAsia="Segoe UI" w:hAnsi="Segoe UI" w:cs="Segoe UI"/>
          <w:color w:val="auto"/>
          <w:sz w:val="20"/>
          <w:szCs w:val="22"/>
          <w:u w:val="none"/>
        </w:rPr>
        <w:t>Capacity: Amount of primary storage used on-premises</w:t>
      </w:r>
    </w:p>
    <w:p w14:paraId="16074416"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A6563E">
        <w:rPr>
          <w:rStyle w:val="Hyperlink"/>
          <w:rFonts w:ascii="Segoe UI" w:eastAsia="Segoe UI" w:hAnsi="Segoe UI" w:cs="Segoe UI"/>
          <w:color w:val="auto"/>
          <w:sz w:val="20"/>
          <w:szCs w:val="22"/>
          <w:u w:val="none"/>
        </w:rPr>
        <w:t>Backup: Amount of backup storage used on-premises</w:t>
      </w:r>
    </w:p>
    <w:p w14:paraId="2FCBB57E"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A6563E">
        <w:rPr>
          <w:rStyle w:val="Hyperlink"/>
          <w:rFonts w:ascii="Segoe UI" w:eastAsia="Segoe UI" w:hAnsi="Segoe UI" w:cs="Segoe UI"/>
          <w:color w:val="auto"/>
          <w:sz w:val="20"/>
          <w:szCs w:val="22"/>
          <w:u w:val="none"/>
        </w:rPr>
        <w:t>Archive: Amount of archive storage used on-premises</w:t>
      </w:r>
    </w:p>
    <w:p w14:paraId="34FE70C6" w14:textId="77777777" w:rsidR="00F36759" w:rsidRPr="008C406F" w:rsidRDefault="00F36759" w:rsidP="008C406F">
      <w:pPr>
        <w:pStyle w:val="BodyText"/>
        <w:spacing w:line="276" w:lineRule="auto"/>
        <w:rPr>
          <w:rFonts w:ascii="Segoe UI" w:hAnsi="Segoe UI" w:cs="Segoe UI"/>
          <w:sz w:val="20"/>
        </w:rPr>
      </w:pPr>
    </w:p>
    <w:p w14:paraId="20393925" w14:textId="77777777" w:rsidR="00F36759" w:rsidRPr="008C406F" w:rsidRDefault="00F36759" w:rsidP="008C406F">
      <w:pPr>
        <w:pStyle w:val="BodyText"/>
        <w:spacing w:line="276" w:lineRule="auto"/>
        <w:rPr>
          <w:rFonts w:ascii="Segoe UI" w:hAnsi="Segoe UI" w:cs="Segoe UI"/>
          <w:sz w:val="20"/>
        </w:rPr>
      </w:pPr>
      <w:r w:rsidRPr="008C406F">
        <w:rPr>
          <w:rFonts w:ascii="Segoe UI" w:hAnsi="Segoe UI" w:cs="Segoe UI"/>
          <w:noProof/>
          <w:sz w:val="20"/>
        </w:rPr>
        <w:drawing>
          <wp:inline distT="0" distB="0" distL="0" distR="0" wp14:anchorId="1532861B" wp14:editId="4E4F6651">
            <wp:extent cx="6743700" cy="1275715"/>
            <wp:effectExtent l="0" t="0" r="0" b="635"/>
            <wp:docPr id="452214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3">
                      <a:extLst>
                        <a:ext uri="{28A0092B-C50C-407E-A947-70E740481C1C}">
                          <a14:useLocalDpi xmlns:a14="http://schemas.microsoft.com/office/drawing/2010/main" val="0"/>
                        </a:ext>
                      </a:extLst>
                    </a:blip>
                    <a:stretch>
                      <a:fillRect/>
                    </a:stretch>
                  </pic:blipFill>
                  <pic:spPr>
                    <a:xfrm>
                      <a:off x="0" y="0"/>
                      <a:ext cx="6743700" cy="1275715"/>
                    </a:xfrm>
                    <a:prstGeom prst="rect">
                      <a:avLst/>
                    </a:prstGeom>
                  </pic:spPr>
                </pic:pic>
              </a:graphicData>
            </a:graphic>
          </wp:inline>
        </w:drawing>
      </w:r>
    </w:p>
    <w:p w14:paraId="4E51F26B" w14:textId="5D9E3478" w:rsidR="00F36759" w:rsidRPr="008C406F" w:rsidRDefault="00F36759" w:rsidP="008C406F">
      <w:pPr>
        <w:pStyle w:val="BodyText"/>
        <w:spacing w:line="276" w:lineRule="auto"/>
        <w:rPr>
          <w:rFonts w:ascii="Segoe UI" w:hAnsi="Segoe UI" w:cs="Segoe UI"/>
          <w:sz w:val="20"/>
        </w:rPr>
      </w:pPr>
      <w:r w:rsidRPr="008C406F">
        <w:rPr>
          <w:rFonts w:ascii="Segoe UI" w:hAnsi="Segoe UI" w:cs="Segoe UI"/>
          <w:b/>
          <w:sz w:val="20"/>
        </w:rPr>
        <w:t xml:space="preserve">Example: </w:t>
      </w:r>
      <w:r w:rsidRPr="008C406F">
        <w:rPr>
          <w:rFonts w:ascii="Segoe UI" w:hAnsi="Segoe UI" w:cs="Segoe UI"/>
          <w:sz w:val="20"/>
        </w:rPr>
        <w:t xml:space="preserve">In the above image we have named on-premises storage as “App 1”. </w:t>
      </w:r>
      <w:r w:rsidRPr="008C406F">
        <w:rPr>
          <w:rFonts w:ascii="Segoe UI" w:hAnsi="Segoe UI" w:cs="Segoe UI"/>
          <w:sz w:val="20"/>
          <w:shd w:val="clear" w:color="auto" w:fill="FFFFFF"/>
        </w:rPr>
        <w:t xml:space="preserve">The type of storage use on-premises is Blob storage with 100% accessibility, 100TB capacity and 50 TB Backup Capacity. For this </w:t>
      </w:r>
      <w:r w:rsidR="00AF7282" w:rsidRPr="008C406F">
        <w:rPr>
          <w:rFonts w:ascii="Segoe UI" w:hAnsi="Segoe UI" w:cs="Segoe UI"/>
          <w:sz w:val="20"/>
          <w:shd w:val="clear" w:color="auto" w:fill="FFFFFF"/>
        </w:rPr>
        <w:t>example,</w:t>
      </w:r>
      <w:r w:rsidRPr="008C406F">
        <w:rPr>
          <w:rFonts w:ascii="Segoe UI" w:hAnsi="Segoe UI" w:cs="Segoe UI"/>
          <w:sz w:val="20"/>
          <w:shd w:val="clear" w:color="auto" w:fill="FFFFFF"/>
        </w:rPr>
        <w:t xml:space="preserve"> we don’t have archive storage on-premises. </w:t>
      </w:r>
      <w:r w:rsidRPr="008C406F">
        <w:rPr>
          <w:rFonts w:ascii="Segoe UI" w:hAnsi="Segoe UI" w:cs="Segoe UI"/>
          <w:sz w:val="20"/>
        </w:rPr>
        <w:t xml:space="preserve">Once we have filled all our information TCO will estimate the expenses for the equivalent environment in Azure. </w:t>
      </w:r>
    </w:p>
    <w:p w14:paraId="38CDD2A1" w14:textId="77777777" w:rsidR="00F36759" w:rsidRPr="00A6563E" w:rsidRDefault="00F36759" w:rsidP="00A6563E">
      <w:pPr>
        <w:pStyle w:val="Heading3"/>
        <w:keepLines w:val="0"/>
        <w:tabs>
          <w:tab w:val="clear" w:pos="900"/>
        </w:tabs>
        <w:spacing w:after="60"/>
        <w:ind w:left="709"/>
      </w:pPr>
      <w:bookmarkStart w:id="69" w:name="_Toc42249220"/>
      <w:bookmarkStart w:id="70" w:name="_Toc42608876"/>
      <w:bookmarkStart w:id="71" w:name="_Toc44316311"/>
      <w:r w:rsidRPr="00A6563E">
        <w:t>Networking</w:t>
      </w:r>
      <w:bookmarkEnd w:id="69"/>
      <w:bookmarkEnd w:id="70"/>
      <w:bookmarkEnd w:id="71"/>
      <w:r w:rsidRPr="00A6563E">
        <w:t xml:space="preserve"> </w:t>
      </w:r>
    </w:p>
    <w:p w14:paraId="31115323" w14:textId="77777777" w:rsidR="00F36759" w:rsidRPr="008C406F" w:rsidRDefault="00F36759" w:rsidP="008C406F">
      <w:pPr>
        <w:pStyle w:val="BodyText"/>
        <w:spacing w:line="276" w:lineRule="auto"/>
        <w:rPr>
          <w:rFonts w:ascii="Segoe UI" w:hAnsi="Segoe UI" w:cs="Segoe UI"/>
          <w:sz w:val="20"/>
        </w:rPr>
      </w:pPr>
      <w:r w:rsidRPr="008C406F">
        <w:rPr>
          <w:rFonts w:ascii="Segoe UI" w:hAnsi="Segoe UI" w:cs="Segoe UI"/>
          <w:sz w:val="20"/>
        </w:rPr>
        <w:t xml:space="preserve">This section only requires the information about monthly consumption of network bandwidth. </w:t>
      </w:r>
    </w:p>
    <w:p w14:paraId="00AF2B2D" w14:textId="77777777" w:rsidR="00F36759" w:rsidRPr="008C406F" w:rsidRDefault="00F36759" w:rsidP="008C406F">
      <w:pPr>
        <w:pStyle w:val="BodyText"/>
        <w:spacing w:line="276" w:lineRule="auto"/>
        <w:rPr>
          <w:rFonts w:ascii="Segoe UI" w:hAnsi="Segoe UI" w:cs="Segoe UI"/>
          <w:sz w:val="20"/>
        </w:rPr>
      </w:pPr>
      <w:r w:rsidRPr="008C406F">
        <w:rPr>
          <w:rFonts w:ascii="Segoe UI" w:hAnsi="Segoe UI" w:cs="Segoe UI"/>
          <w:noProof/>
          <w:sz w:val="20"/>
        </w:rPr>
        <w:drawing>
          <wp:inline distT="0" distB="0" distL="0" distR="0" wp14:anchorId="57150738" wp14:editId="5CC2C85B">
            <wp:extent cx="6610724" cy="2361062"/>
            <wp:effectExtent l="0" t="0" r="0" b="1270"/>
            <wp:docPr id="532128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4">
                      <a:extLst>
                        <a:ext uri="{28A0092B-C50C-407E-A947-70E740481C1C}">
                          <a14:useLocalDpi xmlns:a14="http://schemas.microsoft.com/office/drawing/2010/main" val="0"/>
                        </a:ext>
                      </a:extLst>
                    </a:blip>
                    <a:stretch>
                      <a:fillRect/>
                    </a:stretch>
                  </pic:blipFill>
                  <pic:spPr>
                    <a:xfrm>
                      <a:off x="0" y="0"/>
                      <a:ext cx="6610724" cy="2361062"/>
                    </a:xfrm>
                    <a:prstGeom prst="rect">
                      <a:avLst/>
                    </a:prstGeom>
                  </pic:spPr>
                </pic:pic>
              </a:graphicData>
            </a:graphic>
          </wp:inline>
        </w:drawing>
      </w:r>
    </w:p>
    <w:p w14:paraId="5B181F6F" w14:textId="77777777" w:rsidR="00F36759" w:rsidRPr="008C406F" w:rsidRDefault="00F36759" w:rsidP="008C406F">
      <w:pPr>
        <w:pStyle w:val="BodyText"/>
        <w:spacing w:line="276" w:lineRule="auto"/>
        <w:rPr>
          <w:rFonts w:ascii="Segoe UI" w:hAnsi="Segoe UI" w:cs="Segoe UI"/>
          <w:sz w:val="20"/>
        </w:rPr>
      </w:pPr>
      <w:r w:rsidRPr="008C406F">
        <w:rPr>
          <w:rFonts w:ascii="Segoe UI" w:hAnsi="Segoe UI" w:cs="Segoe UI"/>
          <w:b/>
          <w:sz w:val="20"/>
        </w:rPr>
        <w:t xml:space="preserve">Example: </w:t>
      </w:r>
      <w:r w:rsidRPr="008C406F">
        <w:rPr>
          <w:rFonts w:ascii="Segoe UI" w:hAnsi="Segoe UI" w:cs="Segoe UI"/>
          <w:sz w:val="20"/>
        </w:rPr>
        <w:t>Continuing our example we will specify 150 GB monthly network bandwidth for on-premises workload.</w:t>
      </w:r>
    </w:p>
    <w:p w14:paraId="477AC71B" w14:textId="77777777" w:rsidR="00F36759" w:rsidRPr="008C406F" w:rsidRDefault="00F36759" w:rsidP="008C406F">
      <w:pPr>
        <w:pStyle w:val="BodyText"/>
        <w:spacing w:before="0" w:after="0" w:line="276" w:lineRule="auto"/>
        <w:rPr>
          <w:rFonts w:ascii="Segoe UI" w:hAnsi="Segoe UI" w:cs="Segoe UI"/>
          <w:b/>
          <w:sz w:val="20"/>
        </w:rPr>
      </w:pPr>
    </w:p>
    <w:p w14:paraId="4C353DAF" w14:textId="77777777" w:rsidR="00F36759" w:rsidRPr="00A6563E" w:rsidRDefault="00F36759" w:rsidP="00860AA6">
      <w:pPr>
        <w:pStyle w:val="Heading2"/>
        <w:numPr>
          <w:ilvl w:val="1"/>
          <w:numId w:val="4"/>
        </w:numPr>
      </w:pPr>
      <w:bookmarkStart w:id="72" w:name="_Toc42249221"/>
      <w:bookmarkStart w:id="73" w:name="_Toc42608877"/>
      <w:bookmarkStart w:id="74" w:name="_Toc44316312"/>
      <w:r w:rsidRPr="00A6563E">
        <w:t>Assumptions</w:t>
      </w:r>
      <w:bookmarkEnd w:id="72"/>
      <w:bookmarkEnd w:id="73"/>
      <w:bookmarkEnd w:id="74"/>
    </w:p>
    <w:p w14:paraId="6E38462F" w14:textId="77777777" w:rsidR="00F36759" w:rsidRPr="008C406F" w:rsidRDefault="00F36759" w:rsidP="00A6563E">
      <w:pPr>
        <w:spacing w:after="0" w:line="276" w:lineRule="auto"/>
        <w:rPr>
          <w:rFonts w:ascii="Segoe UI" w:hAnsi="Segoe UI" w:cs="Segoe UI"/>
          <w:sz w:val="20"/>
          <w:szCs w:val="20"/>
        </w:rPr>
      </w:pPr>
      <w:r w:rsidRPr="008C406F">
        <w:rPr>
          <w:rFonts w:ascii="Segoe UI" w:hAnsi="Segoe UI" w:cs="Segoe UI"/>
          <w:sz w:val="20"/>
          <w:szCs w:val="20"/>
        </w:rPr>
        <w:t xml:space="preserve">After providing all the on-premises detail the next important step is review the assumption page. This page lists known options for the components and configurations you provided broken down by headings. Under each heading full details of your current system are included. Azure has predefined costs for the on-premises resources which needs to be review and make changes to any that are incorrect. IT budgeting Spreadsheets can be useful in this scenario. The following are the important topics to review and update as per your company standards. </w:t>
      </w:r>
    </w:p>
    <w:p w14:paraId="7FE9621F"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Software Assurance coverage (provides Azure Hybrid Benefit)</w:t>
      </w:r>
    </w:p>
    <w:p w14:paraId="37663294"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Geo-redundant storage (GRS)</w:t>
      </w:r>
    </w:p>
    <w:p w14:paraId="66AF2038"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Virtual Machine costs</w:t>
      </w:r>
    </w:p>
    <w:p w14:paraId="6773F6FB"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Electricity costs</w:t>
      </w:r>
    </w:p>
    <w:p w14:paraId="66D6F7F0"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Storage costs</w:t>
      </w:r>
    </w:p>
    <w:p w14:paraId="5FF29C96" w14:textId="4A9ED063"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IT labor C</w:t>
      </w:r>
      <w:r w:rsidR="00A6563E">
        <w:rPr>
          <w:rStyle w:val="Hyperlink"/>
          <w:rFonts w:ascii="Segoe UI" w:eastAsia="Segoe UI" w:hAnsi="Segoe UI" w:cs="Segoe UI"/>
          <w:color w:val="auto"/>
          <w:sz w:val="20"/>
          <w:szCs w:val="20"/>
          <w:u w:val="none"/>
        </w:rPr>
        <w:t>o</w:t>
      </w:r>
      <w:r w:rsidRPr="00A6563E">
        <w:rPr>
          <w:rStyle w:val="Hyperlink"/>
          <w:rFonts w:ascii="Segoe UI" w:eastAsia="Segoe UI" w:hAnsi="Segoe UI" w:cs="Segoe UI"/>
          <w:color w:val="auto"/>
          <w:sz w:val="20"/>
          <w:szCs w:val="20"/>
          <w:u w:val="none"/>
        </w:rPr>
        <w:t>sts</w:t>
      </w:r>
    </w:p>
    <w:p w14:paraId="796DFDA1" w14:textId="6535D46F" w:rsidR="00F36759" w:rsidRPr="008C406F" w:rsidRDefault="00F36759" w:rsidP="00A6563E">
      <w:pPr>
        <w:spacing w:before="240" w:line="276" w:lineRule="auto"/>
        <w:rPr>
          <w:rFonts w:ascii="Segoe UI" w:hAnsi="Segoe UI" w:cs="Segoe UI"/>
          <w:b/>
          <w:sz w:val="20"/>
          <w:szCs w:val="20"/>
        </w:rPr>
      </w:pPr>
      <w:r w:rsidRPr="008C406F">
        <w:rPr>
          <w:rFonts w:ascii="Segoe UI" w:hAnsi="Segoe UI" w:cs="Segoe UI"/>
          <w:bCs/>
          <w:sz w:val="20"/>
          <w:szCs w:val="20"/>
        </w:rPr>
        <w:t>Microsoft follows industry averages accredited by Nucleus Research. It’s recommended to</w:t>
      </w:r>
      <w:r w:rsidRPr="008C406F">
        <w:rPr>
          <w:rFonts w:ascii="Segoe UI" w:hAnsi="Segoe UI" w:cs="Segoe UI"/>
          <w:b/>
          <w:sz w:val="20"/>
          <w:szCs w:val="20"/>
        </w:rPr>
        <w:t xml:space="preserve"> </w:t>
      </w:r>
      <w:r w:rsidRPr="008C406F">
        <w:rPr>
          <w:rFonts w:ascii="Segoe UI" w:hAnsi="Segoe UI" w:cs="Segoe UI"/>
          <w:sz w:val="20"/>
          <w:szCs w:val="20"/>
        </w:rPr>
        <w:t>continue with those assumptions as such.</w:t>
      </w:r>
    </w:p>
    <w:p w14:paraId="0BA81336" w14:textId="77777777" w:rsidR="00F36759" w:rsidRPr="00A6563E" w:rsidRDefault="00F36759" w:rsidP="00860AA6">
      <w:pPr>
        <w:pStyle w:val="Heading2"/>
        <w:numPr>
          <w:ilvl w:val="1"/>
          <w:numId w:val="4"/>
        </w:numPr>
      </w:pPr>
      <w:bookmarkStart w:id="75" w:name="_Toc42249222"/>
      <w:bookmarkStart w:id="76" w:name="_Toc42608878"/>
      <w:bookmarkStart w:id="77" w:name="_Toc44316313"/>
      <w:r w:rsidRPr="00A6563E">
        <w:t>Report</w:t>
      </w:r>
      <w:bookmarkEnd w:id="75"/>
      <w:bookmarkEnd w:id="76"/>
      <w:bookmarkEnd w:id="77"/>
      <w:r w:rsidRPr="00A6563E">
        <w:t xml:space="preserve"> </w:t>
      </w:r>
    </w:p>
    <w:p w14:paraId="70EF1DB3"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sz w:val="20"/>
          <w:szCs w:val="20"/>
        </w:rPr>
        <w:t>After confirming that your details are correct, you can run the calculations. You can then review your estimated costs for Azure resources and services.</w:t>
      </w:r>
    </w:p>
    <w:p w14:paraId="20535198" w14:textId="77777777" w:rsidR="00F36759" w:rsidRPr="008C406F" w:rsidRDefault="00F36759" w:rsidP="008C406F">
      <w:pPr>
        <w:spacing w:line="276" w:lineRule="auto"/>
        <w:rPr>
          <w:rFonts w:ascii="Segoe UI" w:hAnsi="Segoe UI" w:cs="Segoe UI"/>
          <w:sz w:val="20"/>
          <w:szCs w:val="20"/>
        </w:rPr>
      </w:pPr>
      <w:r w:rsidRPr="00A6563E">
        <w:rPr>
          <w:rFonts w:ascii="Segoe UI" w:hAnsi="Segoe UI" w:cs="Segoe UI"/>
          <w:b/>
          <w:bCs/>
          <w:sz w:val="20"/>
          <w:szCs w:val="20"/>
        </w:rPr>
        <w:t>Example</w:t>
      </w:r>
      <w:r w:rsidRPr="008C406F">
        <w:rPr>
          <w:rFonts w:ascii="Segoe UI" w:hAnsi="Segoe UI" w:cs="Segoe UI"/>
          <w:sz w:val="20"/>
          <w:szCs w:val="20"/>
        </w:rPr>
        <w:t>: In the below generated report we are looking at 3-year timeframe which TCO will forecast the savings for next 3 years in region “West US”. You can select any region across the world depends on business needs.</w:t>
      </w:r>
    </w:p>
    <w:p w14:paraId="376DE78C"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drawing>
          <wp:inline distT="0" distB="0" distL="0" distR="0" wp14:anchorId="378D432B" wp14:editId="4156A8FB">
            <wp:extent cx="6743700" cy="1576070"/>
            <wp:effectExtent l="0" t="0" r="0" b="5080"/>
            <wp:docPr id="1995066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5">
                      <a:extLst>
                        <a:ext uri="{28A0092B-C50C-407E-A947-70E740481C1C}">
                          <a14:useLocalDpi xmlns:a14="http://schemas.microsoft.com/office/drawing/2010/main" val="0"/>
                        </a:ext>
                      </a:extLst>
                    </a:blip>
                    <a:stretch>
                      <a:fillRect/>
                    </a:stretch>
                  </pic:blipFill>
                  <pic:spPr>
                    <a:xfrm>
                      <a:off x="0" y="0"/>
                      <a:ext cx="6743700" cy="1576070"/>
                    </a:xfrm>
                    <a:prstGeom prst="rect">
                      <a:avLst/>
                    </a:prstGeom>
                  </pic:spPr>
                </pic:pic>
              </a:graphicData>
            </a:graphic>
          </wp:inline>
        </w:drawing>
      </w:r>
    </w:p>
    <w:p w14:paraId="0E58A999"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drawing>
          <wp:inline distT="0" distB="0" distL="0" distR="0" wp14:anchorId="349D6F4A" wp14:editId="16C33603">
            <wp:extent cx="6743700" cy="2881630"/>
            <wp:effectExtent l="0" t="0" r="0" b="0"/>
            <wp:docPr id="5364760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6">
                      <a:extLst>
                        <a:ext uri="{28A0092B-C50C-407E-A947-70E740481C1C}">
                          <a14:useLocalDpi xmlns:a14="http://schemas.microsoft.com/office/drawing/2010/main" val="0"/>
                        </a:ext>
                      </a:extLst>
                    </a:blip>
                    <a:stretch>
                      <a:fillRect/>
                    </a:stretch>
                  </pic:blipFill>
                  <pic:spPr>
                    <a:xfrm>
                      <a:off x="0" y="0"/>
                      <a:ext cx="6743700" cy="2881630"/>
                    </a:xfrm>
                    <a:prstGeom prst="rect">
                      <a:avLst/>
                    </a:prstGeom>
                  </pic:spPr>
                </pic:pic>
              </a:graphicData>
            </a:graphic>
          </wp:inline>
        </w:drawing>
      </w:r>
    </w:p>
    <w:p w14:paraId="7A6F0DD9"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drawing>
          <wp:inline distT="0" distB="0" distL="0" distR="0" wp14:anchorId="59FBD98B" wp14:editId="2DD59C23">
            <wp:extent cx="6743700" cy="3338195"/>
            <wp:effectExtent l="0" t="0" r="0" b="0"/>
            <wp:docPr id="19457476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37">
                      <a:extLst>
                        <a:ext uri="{28A0092B-C50C-407E-A947-70E740481C1C}">
                          <a14:useLocalDpi xmlns:a14="http://schemas.microsoft.com/office/drawing/2010/main" val="0"/>
                        </a:ext>
                      </a:extLst>
                    </a:blip>
                    <a:stretch>
                      <a:fillRect/>
                    </a:stretch>
                  </pic:blipFill>
                  <pic:spPr>
                    <a:xfrm>
                      <a:off x="0" y="0"/>
                      <a:ext cx="6743700" cy="3338195"/>
                    </a:xfrm>
                    <a:prstGeom prst="rect">
                      <a:avLst/>
                    </a:prstGeom>
                  </pic:spPr>
                </pic:pic>
              </a:graphicData>
            </a:graphic>
          </wp:inline>
        </w:drawing>
      </w:r>
    </w:p>
    <w:p w14:paraId="117331AD"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drawing>
          <wp:inline distT="0" distB="0" distL="0" distR="0" wp14:anchorId="76D3C11B" wp14:editId="34A41335">
            <wp:extent cx="6743700" cy="3453765"/>
            <wp:effectExtent l="0" t="0" r="0" b="0"/>
            <wp:docPr id="8895035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38">
                      <a:extLst>
                        <a:ext uri="{28A0092B-C50C-407E-A947-70E740481C1C}">
                          <a14:useLocalDpi xmlns:a14="http://schemas.microsoft.com/office/drawing/2010/main" val="0"/>
                        </a:ext>
                      </a:extLst>
                    </a:blip>
                    <a:stretch>
                      <a:fillRect/>
                    </a:stretch>
                  </pic:blipFill>
                  <pic:spPr>
                    <a:xfrm>
                      <a:off x="0" y="0"/>
                      <a:ext cx="6743700" cy="3453765"/>
                    </a:xfrm>
                    <a:prstGeom prst="rect">
                      <a:avLst/>
                    </a:prstGeom>
                  </pic:spPr>
                </pic:pic>
              </a:graphicData>
            </a:graphic>
          </wp:inline>
        </w:drawing>
      </w:r>
    </w:p>
    <w:p w14:paraId="0B45666F"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drawing>
          <wp:inline distT="0" distB="0" distL="0" distR="0" wp14:anchorId="1581AF66" wp14:editId="2B32990C">
            <wp:extent cx="6743700" cy="2331085"/>
            <wp:effectExtent l="0" t="0" r="0" b="0"/>
            <wp:docPr id="791228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9">
                      <a:extLst>
                        <a:ext uri="{28A0092B-C50C-407E-A947-70E740481C1C}">
                          <a14:useLocalDpi xmlns:a14="http://schemas.microsoft.com/office/drawing/2010/main" val="0"/>
                        </a:ext>
                      </a:extLst>
                    </a:blip>
                    <a:stretch>
                      <a:fillRect/>
                    </a:stretch>
                  </pic:blipFill>
                  <pic:spPr>
                    <a:xfrm>
                      <a:off x="0" y="0"/>
                      <a:ext cx="6743700" cy="2331085"/>
                    </a:xfrm>
                    <a:prstGeom prst="rect">
                      <a:avLst/>
                    </a:prstGeom>
                  </pic:spPr>
                </pic:pic>
              </a:graphicData>
            </a:graphic>
          </wp:inline>
        </w:drawing>
      </w:r>
    </w:p>
    <w:p w14:paraId="007766BA"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drawing>
          <wp:inline distT="0" distB="0" distL="0" distR="0" wp14:anchorId="4F2635A7" wp14:editId="07E52EC6">
            <wp:extent cx="6743700" cy="706755"/>
            <wp:effectExtent l="0" t="0" r="0" b="0"/>
            <wp:docPr id="419752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40">
                      <a:extLst>
                        <a:ext uri="{28A0092B-C50C-407E-A947-70E740481C1C}">
                          <a14:useLocalDpi xmlns:a14="http://schemas.microsoft.com/office/drawing/2010/main" val="0"/>
                        </a:ext>
                      </a:extLst>
                    </a:blip>
                    <a:stretch>
                      <a:fillRect/>
                    </a:stretch>
                  </pic:blipFill>
                  <pic:spPr>
                    <a:xfrm>
                      <a:off x="0" y="0"/>
                      <a:ext cx="6743700" cy="706755"/>
                    </a:xfrm>
                    <a:prstGeom prst="rect">
                      <a:avLst/>
                    </a:prstGeom>
                  </pic:spPr>
                </pic:pic>
              </a:graphicData>
            </a:graphic>
          </wp:inline>
        </w:drawing>
      </w:r>
    </w:p>
    <w:sectPr w:rsidR="00F36759" w:rsidRPr="008C406F" w:rsidSect="0073647D">
      <w:headerReference w:type="even" r:id="rId41"/>
      <w:headerReference w:type="default" r:id="rId42"/>
      <w:footerReference w:type="even" r:id="rId43"/>
      <w:footerReference w:type="default" r:id="rId44"/>
      <w:headerReference w:type="first" r:id="rId45"/>
      <w:footerReference w:type="first" r:id="rId46"/>
      <w:pgSz w:w="12240" w:h="15840" w:code="1"/>
      <w:pgMar w:top="1338" w:right="902" w:bottom="964" w:left="907" w:header="720"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8CC0E" w14:textId="77777777" w:rsidR="001C4E92" w:rsidRDefault="001C4E92" w:rsidP="00863FDA">
      <w:pPr>
        <w:spacing w:after="0"/>
      </w:pPr>
      <w:r>
        <w:separator/>
      </w:r>
    </w:p>
  </w:endnote>
  <w:endnote w:type="continuationSeparator" w:id="0">
    <w:p w14:paraId="62F0F05E" w14:textId="77777777" w:rsidR="001C4E92" w:rsidRDefault="001C4E92" w:rsidP="00863FDA">
      <w:pPr>
        <w:spacing w:after="0"/>
      </w:pPr>
      <w:r>
        <w:continuationSeparator/>
      </w:r>
    </w:p>
  </w:endnote>
  <w:endnote w:type="continuationNotice" w:id="1">
    <w:p w14:paraId="160E04D9" w14:textId="77777777" w:rsidR="001C4E92" w:rsidRDefault="001C4E9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FED4E" w14:textId="77777777" w:rsidR="000E29C9" w:rsidRDefault="000E29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0182354"/>
      <w:docPartObj>
        <w:docPartGallery w:val="Page Numbers (Bottom of Page)"/>
        <w:docPartUnique/>
      </w:docPartObj>
    </w:sdtPr>
    <w:sdtEndPr>
      <w:rPr>
        <w:color w:val="7F7F7F" w:themeColor="background1" w:themeShade="7F"/>
        <w:spacing w:val="60"/>
      </w:rPr>
    </w:sdtEndPr>
    <w:sdtContent>
      <w:p w14:paraId="6EB3DE61" w14:textId="3F442965" w:rsidR="00795897" w:rsidRDefault="00795897" w:rsidP="001025ED">
        <w:pPr>
          <w:pStyle w:val="Footer"/>
          <w:tabs>
            <w:tab w:val="clear" w:pos="9360"/>
            <w:tab w:val="right" w:pos="10260"/>
          </w:tabs>
        </w:pPr>
        <w:r w:rsidRPr="001702EE">
          <w:t>SQL Migration Strategy</w:t>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0AE31" w14:textId="77777777" w:rsidR="000E29C9" w:rsidRDefault="000E2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C5448" w14:textId="77777777" w:rsidR="001C4E92" w:rsidRDefault="001C4E92" w:rsidP="00863FDA">
      <w:pPr>
        <w:spacing w:after="0"/>
      </w:pPr>
      <w:r>
        <w:separator/>
      </w:r>
    </w:p>
  </w:footnote>
  <w:footnote w:type="continuationSeparator" w:id="0">
    <w:p w14:paraId="48B705FE" w14:textId="77777777" w:rsidR="001C4E92" w:rsidRDefault="001C4E92" w:rsidP="00863FDA">
      <w:pPr>
        <w:spacing w:after="0"/>
      </w:pPr>
      <w:r>
        <w:continuationSeparator/>
      </w:r>
    </w:p>
  </w:footnote>
  <w:footnote w:type="continuationNotice" w:id="1">
    <w:p w14:paraId="7CBB98B0" w14:textId="77777777" w:rsidR="001C4E92" w:rsidRDefault="001C4E9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39D15" w14:textId="77777777" w:rsidR="000E29C9" w:rsidRDefault="000E29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2745A" w14:textId="303436C9" w:rsidR="00795897" w:rsidRDefault="00795897">
    <w:pPr>
      <w:pStyle w:val="Header"/>
    </w:pPr>
    <w:r w:rsidRPr="00B22145">
      <w:rPr>
        <w:noProof/>
      </w:rPr>
      <w:drawing>
        <wp:anchor distT="0" distB="0" distL="114300" distR="114300" simplePos="0" relativeHeight="251658240" behindDoc="0" locked="0" layoutInCell="1" allowOverlap="1" wp14:anchorId="38141698" wp14:editId="24ECD03B">
          <wp:simplePos x="0" y="0"/>
          <wp:positionH relativeFrom="column">
            <wp:posOffset>0</wp:posOffset>
          </wp:positionH>
          <wp:positionV relativeFrom="paragraph">
            <wp:posOffset>-129540</wp:posOffset>
          </wp:positionV>
          <wp:extent cx="1262270" cy="269828"/>
          <wp:effectExtent l="0" t="0" r="0" b="0"/>
          <wp:wrapTopAndBottom/>
          <wp:docPr id="1766391170" name="Picture 1766391170"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5F49A" w14:textId="77777777" w:rsidR="000E29C9" w:rsidRDefault="000E2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71523"/>
    <w:multiLevelType w:val="multilevel"/>
    <w:tmpl w:val="C018E1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26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34E0D9A"/>
    <w:multiLevelType w:val="hybridMultilevel"/>
    <w:tmpl w:val="1892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545A5"/>
    <w:multiLevelType w:val="multilevel"/>
    <w:tmpl w:val="931AEA20"/>
    <w:lvl w:ilvl="0">
      <w:start w:val="1"/>
      <w:numFmt w:val="decimal"/>
      <w:lvlText w:val="%1."/>
      <w:lvlJc w:val="left"/>
      <w:pPr>
        <w:ind w:left="126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34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060" w:hanging="2160"/>
      </w:pPr>
      <w:rPr>
        <w:rFonts w:hint="default"/>
      </w:rPr>
    </w:lvl>
    <w:lvl w:ilvl="8">
      <w:start w:val="1"/>
      <w:numFmt w:val="decimal"/>
      <w:isLgl/>
      <w:lvlText w:val="%1.%2.%3.%4.%5.%6.%7.%8.%9."/>
      <w:lvlJc w:val="left"/>
      <w:pPr>
        <w:ind w:left="3420" w:hanging="2520"/>
      </w:pPr>
      <w:rPr>
        <w:rFonts w:hint="default"/>
      </w:r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E0"/>
    <w:rsid w:val="00000DC9"/>
    <w:rsid w:val="000022F1"/>
    <w:rsid w:val="0000364C"/>
    <w:rsid w:val="000042C1"/>
    <w:rsid w:val="00004EB6"/>
    <w:rsid w:val="00005B62"/>
    <w:rsid w:val="00005E76"/>
    <w:rsid w:val="000074BF"/>
    <w:rsid w:val="0001015F"/>
    <w:rsid w:val="0001058D"/>
    <w:rsid w:val="00013C76"/>
    <w:rsid w:val="0001533A"/>
    <w:rsid w:val="00016829"/>
    <w:rsid w:val="00021D95"/>
    <w:rsid w:val="00021FDB"/>
    <w:rsid w:val="000226C7"/>
    <w:rsid w:val="0002280B"/>
    <w:rsid w:val="000260CC"/>
    <w:rsid w:val="00027BD1"/>
    <w:rsid w:val="000307EF"/>
    <w:rsid w:val="000315A2"/>
    <w:rsid w:val="00032DCF"/>
    <w:rsid w:val="00032FA3"/>
    <w:rsid w:val="00034DEB"/>
    <w:rsid w:val="00034F52"/>
    <w:rsid w:val="000353A5"/>
    <w:rsid w:val="00037A4E"/>
    <w:rsid w:val="00037C64"/>
    <w:rsid w:val="00040E81"/>
    <w:rsid w:val="00042EA5"/>
    <w:rsid w:val="00043028"/>
    <w:rsid w:val="00044FD0"/>
    <w:rsid w:val="0004503E"/>
    <w:rsid w:val="00047F32"/>
    <w:rsid w:val="000507ED"/>
    <w:rsid w:val="000537CF"/>
    <w:rsid w:val="000547AB"/>
    <w:rsid w:val="00054A29"/>
    <w:rsid w:val="00054C14"/>
    <w:rsid w:val="000568CD"/>
    <w:rsid w:val="0005776A"/>
    <w:rsid w:val="00057BDE"/>
    <w:rsid w:val="00061842"/>
    <w:rsid w:val="0006220C"/>
    <w:rsid w:val="00062668"/>
    <w:rsid w:val="00062714"/>
    <w:rsid w:val="00067BBF"/>
    <w:rsid w:val="000702DB"/>
    <w:rsid w:val="00071104"/>
    <w:rsid w:val="00071E2E"/>
    <w:rsid w:val="00075964"/>
    <w:rsid w:val="0007631F"/>
    <w:rsid w:val="00076405"/>
    <w:rsid w:val="000769C7"/>
    <w:rsid w:val="00080AD7"/>
    <w:rsid w:val="00080D9D"/>
    <w:rsid w:val="00082402"/>
    <w:rsid w:val="00082D16"/>
    <w:rsid w:val="00083891"/>
    <w:rsid w:val="0008574C"/>
    <w:rsid w:val="000858E8"/>
    <w:rsid w:val="000866C9"/>
    <w:rsid w:val="00086B8F"/>
    <w:rsid w:val="0008757F"/>
    <w:rsid w:val="00090238"/>
    <w:rsid w:val="00090C5A"/>
    <w:rsid w:val="0009150E"/>
    <w:rsid w:val="0009318D"/>
    <w:rsid w:val="00095198"/>
    <w:rsid w:val="00095AB8"/>
    <w:rsid w:val="0009715B"/>
    <w:rsid w:val="000A0171"/>
    <w:rsid w:val="000A1038"/>
    <w:rsid w:val="000A3A88"/>
    <w:rsid w:val="000A3B57"/>
    <w:rsid w:val="000A5764"/>
    <w:rsid w:val="000A5F51"/>
    <w:rsid w:val="000B0FA6"/>
    <w:rsid w:val="000B1E8F"/>
    <w:rsid w:val="000B1E95"/>
    <w:rsid w:val="000B40AE"/>
    <w:rsid w:val="000B5765"/>
    <w:rsid w:val="000B57CB"/>
    <w:rsid w:val="000B711D"/>
    <w:rsid w:val="000B7E1A"/>
    <w:rsid w:val="000C014A"/>
    <w:rsid w:val="000C1120"/>
    <w:rsid w:val="000C30A3"/>
    <w:rsid w:val="000C49B0"/>
    <w:rsid w:val="000C6BA7"/>
    <w:rsid w:val="000C7DCD"/>
    <w:rsid w:val="000D1226"/>
    <w:rsid w:val="000D3FA4"/>
    <w:rsid w:val="000D5099"/>
    <w:rsid w:val="000D7910"/>
    <w:rsid w:val="000E1E22"/>
    <w:rsid w:val="000E2224"/>
    <w:rsid w:val="000E29B1"/>
    <w:rsid w:val="000E29C9"/>
    <w:rsid w:val="000E3629"/>
    <w:rsid w:val="000E7F92"/>
    <w:rsid w:val="000F1A39"/>
    <w:rsid w:val="000F1B73"/>
    <w:rsid w:val="000F213F"/>
    <w:rsid w:val="000F3574"/>
    <w:rsid w:val="000F59F2"/>
    <w:rsid w:val="000F612D"/>
    <w:rsid w:val="001025ED"/>
    <w:rsid w:val="00102BB2"/>
    <w:rsid w:val="00103CEF"/>
    <w:rsid w:val="001047CC"/>
    <w:rsid w:val="00105AB4"/>
    <w:rsid w:val="00106100"/>
    <w:rsid w:val="00106CAD"/>
    <w:rsid w:val="0011158D"/>
    <w:rsid w:val="001126B9"/>
    <w:rsid w:val="00112B0F"/>
    <w:rsid w:val="0011382E"/>
    <w:rsid w:val="00113947"/>
    <w:rsid w:val="00114B18"/>
    <w:rsid w:val="00114B63"/>
    <w:rsid w:val="0011523D"/>
    <w:rsid w:val="001157AF"/>
    <w:rsid w:val="00117610"/>
    <w:rsid w:val="00117EA1"/>
    <w:rsid w:val="001203F9"/>
    <w:rsid w:val="00120691"/>
    <w:rsid w:val="00123561"/>
    <w:rsid w:val="001238D9"/>
    <w:rsid w:val="00123D17"/>
    <w:rsid w:val="0012506F"/>
    <w:rsid w:val="00125540"/>
    <w:rsid w:val="001255FF"/>
    <w:rsid w:val="0012670E"/>
    <w:rsid w:val="00131A91"/>
    <w:rsid w:val="0013343B"/>
    <w:rsid w:val="00133AC6"/>
    <w:rsid w:val="00133C6C"/>
    <w:rsid w:val="001345E3"/>
    <w:rsid w:val="00134CE7"/>
    <w:rsid w:val="00134F3E"/>
    <w:rsid w:val="001357E1"/>
    <w:rsid w:val="0013719E"/>
    <w:rsid w:val="001375C2"/>
    <w:rsid w:val="00137EA4"/>
    <w:rsid w:val="00140FEA"/>
    <w:rsid w:val="00141FB5"/>
    <w:rsid w:val="00143CBA"/>
    <w:rsid w:val="00143E81"/>
    <w:rsid w:val="00144258"/>
    <w:rsid w:val="00146091"/>
    <w:rsid w:val="001463C3"/>
    <w:rsid w:val="00150E5B"/>
    <w:rsid w:val="001514CF"/>
    <w:rsid w:val="001517F5"/>
    <w:rsid w:val="001519D8"/>
    <w:rsid w:val="00151BBA"/>
    <w:rsid w:val="00153023"/>
    <w:rsid w:val="00153163"/>
    <w:rsid w:val="00153468"/>
    <w:rsid w:val="001551B8"/>
    <w:rsid w:val="00155E9A"/>
    <w:rsid w:val="00157977"/>
    <w:rsid w:val="001604AA"/>
    <w:rsid w:val="00160FD5"/>
    <w:rsid w:val="00161D2A"/>
    <w:rsid w:val="0016230A"/>
    <w:rsid w:val="0016397C"/>
    <w:rsid w:val="00166A62"/>
    <w:rsid w:val="001702EE"/>
    <w:rsid w:val="00170C02"/>
    <w:rsid w:val="00173B81"/>
    <w:rsid w:val="00173E30"/>
    <w:rsid w:val="00175491"/>
    <w:rsid w:val="0017640A"/>
    <w:rsid w:val="00180D83"/>
    <w:rsid w:val="00181954"/>
    <w:rsid w:val="001819BE"/>
    <w:rsid w:val="00181EF2"/>
    <w:rsid w:val="00182447"/>
    <w:rsid w:val="00182B84"/>
    <w:rsid w:val="00183391"/>
    <w:rsid w:val="001835C6"/>
    <w:rsid w:val="00183F5A"/>
    <w:rsid w:val="00185CD3"/>
    <w:rsid w:val="00185FAD"/>
    <w:rsid w:val="001876D2"/>
    <w:rsid w:val="00191072"/>
    <w:rsid w:val="00193387"/>
    <w:rsid w:val="0019355A"/>
    <w:rsid w:val="001945BC"/>
    <w:rsid w:val="00194999"/>
    <w:rsid w:val="00194C8C"/>
    <w:rsid w:val="00194CCB"/>
    <w:rsid w:val="00197C2B"/>
    <w:rsid w:val="001A0F72"/>
    <w:rsid w:val="001A2216"/>
    <w:rsid w:val="001A24E4"/>
    <w:rsid w:val="001A2B1F"/>
    <w:rsid w:val="001A322F"/>
    <w:rsid w:val="001A3525"/>
    <w:rsid w:val="001A7378"/>
    <w:rsid w:val="001A7481"/>
    <w:rsid w:val="001A7BA0"/>
    <w:rsid w:val="001B064A"/>
    <w:rsid w:val="001B249B"/>
    <w:rsid w:val="001B4F64"/>
    <w:rsid w:val="001B52D0"/>
    <w:rsid w:val="001B5400"/>
    <w:rsid w:val="001B66D0"/>
    <w:rsid w:val="001B7E06"/>
    <w:rsid w:val="001C19E6"/>
    <w:rsid w:val="001C27E6"/>
    <w:rsid w:val="001C35A4"/>
    <w:rsid w:val="001C4E92"/>
    <w:rsid w:val="001C5E61"/>
    <w:rsid w:val="001C6F6C"/>
    <w:rsid w:val="001C7469"/>
    <w:rsid w:val="001D5C26"/>
    <w:rsid w:val="001D62B9"/>
    <w:rsid w:val="001D7592"/>
    <w:rsid w:val="001D7AF6"/>
    <w:rsid w:val="001D7C2E"/>
    <w:rsid w:val="001E031E"/>
    <w:rsid w:val="001E0E7C"/>
    <w:rsid w:val="001E102B"/>
    <w:rsid w:val="001E1193"/>
    <w:rsid w:val="001E1E5F"/>
    <w:rsid w:val="001E3732"/>
    <w:rsid w:val="001E3E61"/>
    <w:rsid w:val="001E51D9"/>
    <w:rsid w:val="001F00AC"/>
    <w:rsid w:val="001F06F8"/>
    <w:rsid w:val="001F11F7"/>
    <w:rsid w:val="001F11F8"/>
    <w:rsid w:val="001F3942"/>
    <w:rsid w:val="001F52EF"/>
    <w:rsid w:val="0020009F"/>
    <w:rsid w:val="0020060D"/>
    <w:rsid w:val="00200A20"/>
    <w:rsid w:val="00200C90"/>
    <w:rsid w:val="0020301F"/>
    <w:rsid w:val="00203D8F"/>
    <w:rsid w:val="0020650C"/>
    <w:rsid w:val="00206947"/>
    <w:rsid w:val="0021000F"/>
    <w:rsid w:val="0021049E"/>
    <w:rsid w:val="00211948"/>
    <w:rsid w:val="002122E0"/>
    <w:rsid w:val="0021380F"/>
    <w:rsid w:val="00214586"/>
    <w:rsid w:val="00215175"/>
    <w:rsid w:val="002161AF"/>
    <w:rsid w:val="002163BA"/>
    <w:rsid w:val="0022016A"/>
    <w:rsid w:val="002206CC"/>
    <w:rsid w:val="002207C6"/>
    <w:rsid w:val="00220A0A"/>
    <w:rsid w:val="00221779"/>
    <w:rsid w:val="00221824"/>
    <w:rsid w:val="0022506F"/>
    <w:rsid w:val="00230E2F"/>
    <w:rsid w:val="00231844"/>
    <w:rsid w:val="00231943"/>
    <w:rsid w:val="00232C2C"/>
    <w:rsid w:val="00234BFA"/>
    <w:rsid w:val="00235AC5"/>
    <w:rsid w:val="002366DD"/>
    <w:rsid w:val="00237823"/>
    <w:rsid w:val="00237EC9"/>
    <w:rsid w:val="00241299"/>
    <w:rsid w:val="00241822"/>
    <w:rsid w:val="00241CFA"/>
    <w:rsid w:val="00241EF8"/>
    <w:rsid w:val="002459A0"/>
    <w:rsid w:val="00246168"/>
    <w:rsid w:val="0024634F"/>
    <w:rsid w:val="00246C20"/>
    <w:rsid w:val="00250F60"/>
    <w:rsid w:val="00251962"/>
    <w:rsid w:val="00251CD1"/>
    <w:rsid w:val="0025264F"/>
    <w:rsid w:val="0025357D"/>
    <w:rsid w:val="002536AC"/>
    <w:rsid w:val="002537E5"/>
    <w:rsid w:val="00253BBD"/>
    <w:rsid w:val="00254C7D"/>
    <w:rsid w:val="0025535E"/>
    <w:rsid w:val="00256B50"/>
    <w:rsid w:val="00257163"/>
    <w:rsid w:val="0025735F"/>
    <w:rsid w:val="00261A9E"/>
    <w:rsid w:val="00262932"/>
    <w:rsid w:val="002631F2"/>
    <w:rsid w:val="00263447"/>
    <w:rsid w:val="00264786"/>
    <w:rsid w:val="00264BEE"/>
    <w:rsid w:val="0026504D"/>
    <w:rsid w:val="002652C7"/>
    <w:rsid w:val="00265F38"/>
    <w:rsid w:val="002725D3"/>
    <w:rsid w:val="00273CE6"/>
    <w:rsid w:val="00274724"/>
    <w:rsid w:val="00274889"/>
    <w:rsid w:val="00274B25"/>
    <w:rsid w:val="00274F21"/>
    <w:rsid w:val="00275C94"/>
    <w:rsid w:val="0027790E"/>
    <w:rsid w:val="00280C06"/>
    <w:rsid w:val="00281E1C"/>
    <w:rsid w:val="002828DF"/>
    <w:rsid w:val="00285976"/>
    <w:rsid w:val="00286856"/>
    <w:rsid w:val="00292528"/>
    <w:rsid w:val="002925C8"/>
    <w:rsid w:val="00292E94"/>
    <w:rsid w:val="00292F33"/>
    <w:rsid w:val="00293E81"/>
    <w:rsid w:val="00294D79"/>
    <w:rsid w:val="0029766D"/>
    <w:rsid w:val="002A06E9"/>
    <w:rsid w:val="002A0B12"/>
    <w:rsid w:val="002A1DA2"/>
    <w:rsid w:val="002A2219"/>
    <w:rsid w:val="002A28E8"/>
    <w:rsid w:val="002A4054"/>
    <w:rsid w:val="002A4EF5"/>
    <w:rsid w:val="002B01EA"/>
    <w:rsid w:val="002B0484"/>
    <w:rsid w:val="002B21BB"/>
    <w:rsid w:val="002B2D48"/>
    <w:rsid w:val="002B4708"/>
    <w:rsid w:val="002B53BB"/>
    <w:rsid w:val="002B660C"/>
    <w:rsid w:val="002B75E1"/>
    <w:rsid w:val="002C0543"/>
    <w:rsid w:val="002C0640"/>
    <w:rsid w:val="002C1675"/>
    <w:rsid w:val="002C4844"/>
    <w:rsid w:val="002C4FBC"/>
    <w:rsid w:val="002C50B8"/>
    <w:rsid w:val="002D012D"/>
    <w:rsid w:val="002D02F6"/>
    <w:rsid w:val="002D0412"/>
    <w:rsid w:val="002D07B7"/>
    <w:rsid w:val="002D12DC"/>
    <w:rsid w:val="002D206A"/>
    <w:rsid w:val="002D2478"/>
    <w:rsid w:val="002D27D9"/>
    <w:rsid w:val="002D29A9"/>
    <w:rsid w:val="002D398D"/>
    <w:rsid w:val="002D39C8"/>
    <w:rsid w:val="002D65AE"/>
    <w:rsid w:val="002D66C3"/>
    <w:rsid w:val="002D67DE"/>
    <w:rsid w:val="002E1815"/>
    <w:rsid w:val="002E1CB9"/>
    <w:rsid w:val="002E3E7C"/>
    <w:rsid w:val="002E7394"/>
    <w:rsid w:val="002E7FED"/>
    <w:rsid w:val="002F0290"/>
    <w:rsid w:val="002F1891"/>
    <w:rsid w:val="002F276C"/>
    <w:rsid w:val="002F2807"/>
    <w:rsid w:val="002F2B44"/>
    <w:rsid w:val="002F3CAF"/>
    <w:rsid w:val="002F4768"/>
    <w:rsid w:val="002F49C7"/>
    <w:rsid w:val="002F5044"/>
    <w:rsid w:val="002F569C"/>
    <w:rsid w:val="002F65C8"/>
    <w:rsid w:val="002F7AA2"/>
    <w:rsid w:val="00300FD6"/>
    <w:rsid w:val="0030101E"/>
    <w:rsid w:val="00301AAF"/>
    <w:rsid w:val="003027D6"/>
    <w:rsid w:val="00303CDB"/>
    <w:rsid w:val="0030670A"/>
    <w:rsid w:val="003067AD"/>
    <w:rsid w:val="00311C91"/>
    <w:rsid w:val="00312EF2"/>
    <w:rsid w:val="00315DDF"/>
    <w:rsid w:val="0031687E"/>
    <w:rsid w:val="00317CB0"/>
    <w:rsid w:val="00317EBE"/>
    <w:rsid w:val="00320530"/>
    <w:rsid w:val="00320E41"/>
    <w:rsid w:val="00321171"/>
    <w:rsid w:val="003217FE"/>
    <w:rsid w:val="00321D2B"/>
    <w:rsid w:val="003228C9"/>
    <w:rsid w:val="00322E21"/>
    <w:rsid w:val="00323C1E"/>
    <w:rsid w:val="00325553"/>
    <w:rsid w:val="00326C2E"/>
    <w:rsid w:val="00326CF6"/>
    <w:rsid w:val="00330BEA"/>
    <w:rsid w:val="003311DA"/>
    <w:rsid w:val="0033154C"/>
    <w:rsid w:val="00331A47"/>
    <w:rsid w:val="003336E6"/>
    <w:rsid w:val="00334B42"/>
    <w:rsid w:val="00337420"/>
    <w:rsid w:val="003417F1"/>
    <w:rsid w:val="00341A8F"/>
    <w:rsid w:val="0034319E"/>
    <w:rsid w:val="00343FCE"/>
    <w:rsid w:val="003441D1"/>
    <w:rsid w:val="00344AB3"/>
    <w:rsid w:val="003460BC"/>
    <w:rsid w:val="003504E9"/>
    <w:rsid w:val="0035060B"/>
    <w:rsid w:val="00350BBF"/>
    <w:rsid w:val="00351370"/>
    <w:rsid w:val="00353FA0"/>
    <w:rsid w:val="00355F4B"/>
    <w:rsid w:val="00361C09"/>
    <w:rsid w:val="003625F7"/>
    <w:rsid w:val="003636E5"/>
    <w:rsid w:val="003656BE"/>
    <w:rsid w:val="0036671B"/>
    <w:rsid w:val="00367326"/>
    <w:rsid w:val="0036737B"/>
    <w:rsid w:val="00367934"/>
    <w:rsid w:val="00371378"/>
    <w:rsid w:val="00374177"/>
    <w:rsid w:val="00374738"/>
    <w:rsid w:val="00374C53"/>
    <w:rsid w:val="00376897"/>
    <w:rsid w:val="00376FBE"/>
    <w:rsid w:val="00377829"/>
    <w:rsid w:val="003810BE"/>
    <w:rsid w:val="00383B0B"/>
    <w:rsid w:val="00385DF5"/>
    <w:rsid w:val="003864B7"/>
    <w:rsid w:val="00386739"/>
    <w:rsid w:val="00387C9B"/>
    <w:rsid w:val="0039042E"/>
    <w:rsid w:val="00390805"/>
    <w:rsid w:val="00391A6B"/>
    <w:rsid w:val="003930D4"/>
    <w:rsid w:val="003936C2"/>
    <w:rsid w:val="003940A3"/>
    <w:rsid w:val="00395782"/>
    <w:rsid w:val="0039601D"/>
    <w:rsid w:val="003964CC"/>
    <w:rsid w:val="0039677B"/>
    <w:rsid w:val="00396E83"/>
    <w:rsid w:val="003A0111"/>
    <w:rsid w:val="003A028E"/>
    <w:rsid w:val="003A084D"/>
    <w:rsid w:val="003A145A"/>
    <w:rsid w:val="003A14E2"/>
    <w:rsid w:val="003A4A72"/>
    <w:rsid w:val="003B18CA"/>
    <w:rsid w:val="003B35B9"/>
    <w:rsid w:val="003B3E81"/>
    <w:rsid w:val="003B5D9C"/>
    <w:rsid w:val="003B7779"/>
    <w:rsid w:val="003C1C75"/>
    <w:rsid w:val="003C32F9"/>
    <w:rsid w:val="003C4D89"/>
    <w:rsid w:val="003C513F"/>
    <w:rsid w:val="003C6BFD"/>
    <w:rsid w:val="003C781A"/>
    <w:rsid w:val="003C7FDA"/>
    <w:rsid w:val="003D15D4"/>
    <w:rsid w:val="003D78EA"/>
    <w:rsid w:val="003E394E"/>
    <w:rsid w:val="003E3B9F"/>
    <w:rsid w:val="003E49AA"/>
    <w:rsid w:val="003E4F69"/>
    <w:rsid w:val="003E581E"/>
    <w:rsid w:val="003E5DD6"/>
    <w:rsid w:val="003F117B"/>
    <w:rsid w:val="003F1B2D"/>
    <w:rsid w:val="003F1C97"/>
    <w:rsid w:val="003F2678"/>
    <w:rsid w:val="003F304D"/>
    <w:rsid w:val="003F41B2"/>
    <w:rsid w:val="00400EB1"/>
    <w:rsid w:val="00401D90"/>
    <w:rsid w:val="00402BEB"/>
    <w:rsid w:val="00403B13"/>
    <w:rsid w:val="00403B1A"/>
    <w:rsid w:val="00403EB7"/>
    <w:rsid w:val="00407559"/>
    <w:rsid w:val="0041001C"/>
    <w:rsid w:val="0041228F"/>
    <w:rsid w:val="0041321C"/>
    <w:rsid w:val="00413E5E"/>
    <w:rsid w:val="004142CC"/>
    <w:rsid w:val="00414B0D"/>
    <w:rsid w:val="00414CDC"/>
    <w:rsid w:val="004159EB"/>
    <w:rsid w:val="00416689"/>
    <w:rsid w:val="004169B6"/>
    <w:rsid w:val="00421DD2"/>
    <w:rsid w:val="0042288A"/>
    <w:rsid w:val="00423213"/>
    <w:rsid w:val="0042401D"/>
    <w:rsid w:val="0042426E"/>
    <w:rsid w:val="00424A28"/>
    <w:rsid w:val="004324C9"/>
    <w:rsid w:val="0043471E"/>
    <w:rsid w:val="004352B0"/>
    <w:rsid w:val="004407DD"/>
    <w:rsid w:val="00441AFF"/>
    <w:rsid w:val="00443BF3"/>
    <w:rsid w:val="00444AB2"/>
    <w:rsid w:val="00445993"/>
    <w:rsid w:val="00446689"/>
    <w:rsid w:val="0045090C"/>
    <w:rsid w:val="0045146A"/>
    <w:rsid w:val="00452973"/>
    <w:rsid w:val="004529CD"/>
    <w:rsid w:val="00454088"/>
    <w:rsid w:val="004564D4"/>
    <w:rsid w:val="00456837"/>
    <w:rsid w:val="004608B6"/>
    <w:rsid w:val="00460A08"/>
    <w:rsid w:val="0046205E"/>
    <w:rsid w:val="00465210"/>
    <w:rsid w:val="00466CAA"/>
    <w:rsid w:val="004678EF"/>
    <w:rsid w:val="00467F17"/>
    <w:rsid w:val="00471ACB"/>
    <w:rsid w:val="00472748"/>
    <w:rsid w:val="004746AA"/>
    <w:rsid w:val="00475AFB"/>
    <w:rsid w:val="00475B73"/>
    <w:rsid w:val="004779D1"/>
    <w:rsid w:val="00477A6F"/>
    <w:rsid w:val="004806BA"/>
    <w:rsid w:val="00482DF2"/>
    <w:rsid w:val="004846E2"/>
    <w:rsid w:val="004847D9"/>
    <w:rsid w:val="004853F5"/>
    <w:rsid w:val="00486244"/>
    <w:rsid w:val="0048765A"/>
    <w:rsid w:val="0049065E"/>
    <w:rsid w:val="00491120"/>
    <w:rsid w:val="00492E27"/>
    <w:rsid w:val="00492EC3"/>
    <w:rsid w:val="00493530"/>
    <w:rsid w:val="004A064B"/>
    <w:rsid w:val="004A19C2"/>
    <w:rsid w:val="004A3145"/>
    <w:rsid w:val="004A347A"/>
    <w:rsid w:val="004A4D74"/>
    <w:rsid w:val="004A6AF2"/>
    <w:rsid w:val="004A732D"/>
    <w:rsid w:val="004A740A"/>
    <w:rsid w:val="004B0BE8"/>
    <w:rsid w:val="004B0D10"/>
    <w:rsid w:val="004B1EEB"/>
    <w:rsid w:val="004B28F1"/>
    <w:rsid w:val="004B31DA"/>
    <w:rsid w:val="004B3506"/>
    <w:rsid w:val="004B3F2D"/>
    <w:rsid w:val="004B4194"/>
    <w:rsid w:val="004B44D2"/>
    <w:rsid w:val="004C040A"/>
    <w:rsid w:val="004C0C99"/>
    <w:rsid w:val="004C0E33"/>
    <w:rsid w:val="004C0E4D"/>
    <w:rsid w:val="004C11C0"/>
    <w:rsid w:val="004C231C"/>
    <w:rsid w:val="004C4478"/>
    <w:rsid w:val="004C5B62"/>
    <w:rsid w:val="004D0649"/>
    <w:rsid w:val="004D296B"/>
    <w:rsid w:val="004D29F5"/>
    <w:rsid w:val="004D31FC"/>
    <w:rsid w:val="004D4518"/>
    <w:rsid w:val="004D46C9"/>
    <w:rsid w:val="004D4714"/>
    <w:rsid w:val="004D6C40"/>
    <w:rsid w:val="004D7A7B"/>
    <w:rsid w:val="004E014F"/>
    <w:rsid w:val="004E0655"/>
    <w:rsid w:val="004E0EB5"/>
    <w:rsid w:val="004E139F"/>
    <w:rsid w:val="004E1B15"/>
    <w:rsid w:val="004E1BAD"/>
    <w:rsid w:val="004E3C4C"/>
    <w:rsid w:val="004E5127"/>
    <w:rsid w:val="004E61DA"/>
    <w:rsid w:val="004E74FB"/>
    <w:rsid w:val="004F06C2"/>
    <w:rsid w:val="004F0DB8"/>
    <w:rsid w:val="004F1CEF"/>
    <w:rsid w:val="004F396F"/>
    <w:rsid w:val="004F4DB8"/>
    <w:rsid w:val="004F5619"/>
    <w:rsid w:val="004F7EBC"/>
    <w:rsid w:val="0050012A"/>
    <w:rsid w:val="00500A42"/>
    <w:rsid w:val="00501B6A"/>
    <w:rsid w:val="00501E70"/>
    <w:rsid w:val="00504A00"/>
    <w:rsid w:val="0050602E"/>
    <w:rsid w:val="00506776"/>
    <w:rsid w:val="00506B3D"/>
    <w:rsid w:val="00513C08"/>
    <w:rsid w:val="00513EDF"/>
    <w:rsid w:val="00522291"/>
    <w:rsid w:val="00522AC7"/>
    <w:rsid w:val="00522C6F"/>
    <w:rsid w:val="005233D5"/>
    <w:rsid w:val="00525481"/>
    <w:rsid w:val="00525A4B"/>
    <w:rsid w:val="00525B78"/>
    <w:rsid w:val="0052613A"/>
    <w:rsid w:val="00527B00"/>
    <w:rsid w:val="005306A4"/>
    <w:rsid w:val="0053211A"/>
    <w:rsid w:val="005325BC"/>
    <w:rsid w:val="005355B2"/>
    <w:rsid w:val="00535B00"/>
    <w:rsid w:val="00535FC9"/>
    <w:rsid w:val="00536692"/>
    <w:rsid w:val="00536811"/>
    <w:rsid w:val="0053720A"/>
    <w:rsid w:val="00537BD1"/>
    <w:rsid w:val="0054060C"/>
    <w:rsid w:val="00540E90"/>
    <w:rsid w:val="005410C8"/>
    <w:rsid w:val="00542B6A"/>
    <w:rsid w:val="00542C4E"/>
    <w:rsid w:val="005438A5"/>
    <w:rsid w:val="00543E7E"/>
    <w:rsid w:val="00543F00"/>
    <w:rsid w:val="0054519B"/>
    <w:rsid w:val="00545D32"/>
    <w:rsid w:val="00547F63"/>
    <w:rsid w:val="00553390"/>
    <w:rsid w:val="00553704"/>
    <w:rsid w:val="00553DD3"/>
    <w:rsid w:val="00554112"/>
    <w:rsid w:val="0055595A"/>
    <w:rsid w:val="00555D43"/>
    <w:rsid w:val="00556BD8"/>
    <w:rsid w:val="005570B6"/>
    <w:rsid w:val="005579AC"/>
    <w:rsid w:val="0056047C"/>
    <w:rsid w:val="00561100"/>
    <w:rsid w:val="005612DF"/>
    <w:rsid w:val="00562163"/>
    <w:rsid w:val="005637D9"/>
    <w:rsid w:val="00563FBC"/>
    <w:rsid w:val="0056686C"/>
    <w:rsid w:val="0057171F"/>
    <w:rsid w:val="00571DA9"/>
    <w:rsid w:val="0057200E"/>
    <w:rsid w:val="00572D03"/>
    <w:rsid w:val="0057511A"/>
    <w:rsid w:val="005754C9"/>
    <w:rsid w:val="00577792"/>
    <w:rsid w:val="00577E64"/>
    <w:rsid w:val="00577F4A"/>
    <w:rsid w:val="00580E80"/>
    <w:rsid w:val="005832BE"/>
    <w:rsid w:val="00583F3B"/>
    <w:rsid w:val="00586CA3"/>
    <w:rsid w:val="00591B12"/>
    <w:rsid w:val="0059415B"/>
    <w:rsid w:val="0059622A"/>
    <w:rsid w:val="00597B30"/>
    <w:rsid w:val="00597B58"/>
    <w:rsid w:val="005A019C"/>
    <w:rsid w:val="005A02B9"/>
    <w:rsid w:val="005A07C4"/>
    <w:rsid w:val="005A2203"/>
    <w:rsid w:val="005A39A9"/>
    <w:rsid w:val="005A3D33"/>
    <w:rsid w:val="005A6B97"/>
    <w:rsid w:val="005A6BA0"/>
    <w:rsid w:val="005B031E"/>
    <w:rsid w:val="005B30E4"/>
    <w:rsid w:val="005B5593"/>
    <w:rsid w:val="005B5BC3"/>
    <w:rsid w:val="005B5EC3"/>
    <w:rsid w:val="005B6E56"/>
    <w:rsid w:val="005C14DD"/>
    <w:rsid w:val="005C1CF6"/>
    <w:rsid w:val="005C247B"/>
    <w:rsid w:val="005C2BB8"/>
    <w:rsid w:val="005C3B06"/>
    <w:rsid w:val="005C4CEA"/>
    <w:rsid w:val="005C558C"/>
    <w:rsid w:val="005C73BD"/>
    <w:rsid w:val="005C7781"/>
    <w:rsid w:val="005C7D6E"/>
    <w:rsid w:val="005D023F"/>
    <w:rsid w:val="005D03BB"/>
    <w:rsid w:val="005D046C"/>
    <w:rsid w:val="005D05DC"/>
    <w:rsid w:val="005D22B2"/>
    <w:rsid w:val="005D6381"/>
    <w:rsid w:val="005D7A02"/>
    <w:rsid w:val="005E076E"/>
    <w:rsid w:val="005E0B7E"/>
    <w:rsid w:val="005E1846"/>
    <w:rsid w:val="005E33C0"/>
    <w:rsid w:val="005E5986"/>
    <w:rsid w:val="005F2BB7"/>
    <w:rsid w:val="005F3B77"/>
    <w:rsid w:val="005F413B"/>
    <w:rsid w:val="005F4398"/>
    <w:rsid w:val="005F5310"/>
    <w:rsid w:val="005F541C"/>
    <w:rsid w:val="005F5C1D"/>
    <w:rsid w:val="005F5EBE"/>
    <w:rsid w:val="005F6EEC"/>
    <w:rsid w:val="005F6F73"/>
    <w:rsid w:val="0060150B"/>
    <w:rsid w:val="00602E98"/>
    <w:rsid w:val="00602F85"/>
    <w:rsid w:val="00604877"/>
    <w:rsid w:val="00610F66"/>
    <w:rsid w:val="00611DEC"/>
    <w:rsid w:val="006126C1"/>
    <w:rsid w:val="006137E9"/>
    <w:rsid w:val="00613F74"/>
    <w:rsid w:val="0061556D"/>
    <w:rsid w:val="00615DC3"/>
    <w:rsid w:val="0061775B"/>
    <w:rsid w:val="0061779C"/>
    <w:rsid w:val="00617C60"/>
    <w:rsid w:val="00617F89"/>
    <w:rsid w:val="00620937"/>
    <w:rsid w:val="00621D69"/>
    <w:rsid w:val="0062265F"/>
    <w:rsid w:val="00622877"/>
    <w:rsid w:val="00622DCD"/>
    <w:rsid w:val="006256BC"/>
    <w:rsid w:val="00626DB9"/>
    <w:rsid w:val="0062765F"/>
    <w:rsid w:val="00632E0D"/>
    <w:rsid w:val="006336DC"/>
    <w:rsid w:val="00634D4B"/>
    <w:rsid w:val="00634E25"/>
    <w:rsid w:val="006375F8"/>
    <w:rsid w:val="00640685"/>
    <w:rsid w:val="006409EE"/>
    <w:rsid w:val="0064377B"/>
    <w:rsid w:val="00643862"/>
    <w:rsid w:val="00645DA1"/>
    <w:rsid w:val="0064655B"/>
    <w:rsid w:val="00650D1E"/>
    <w:rsid w:val="006511B4"/>
    <w:rsid w:val="006524E0"/>
    <w:rsid w:val="00652781"/>
    <w:rsid w:val="00652CE0"/>
    <w:rsid w:val="00654702"/>
    <w:rsid w:val="00654D02"/>
    <w:rsid w:val="00655669"/>
    <w:rsid w:val="006559D3"/>
    <w:rsid w:val="00655A03"/>
    <w:rsid w:val="00661628"/>
    <w:rsid w:val="00667626"/>
    <w:rsid w:val="00667E77"/>
    <w:rsid w:val="0067064F"/>
    <w:rsid w:val="00670916"/>
    <w:rsid w:val="00672D3B"/>
    <w:rsid w:val="00673F16"/>
    <w:rsid w:val="006745E0"/>
    <w:rsid w:val="00674A14"/>
    <w:rsid w:val="0067571F"/>
    <w:rsid w:val="0067635C"/>
    <w:rsid w:val="00676F6F"/>
    <w:rsid w:val="00682BB3"/>
    <w:rsid w:val="00683783"/>
    <w:rsid w:val="006851F4"/>
    <w:rsid w:val="00685213"/>
    <w:rsid w:val="00687A23"/>
    <w:rsid w:val="00690612"/>
    <w:rsid w:val="00690F53"/>
    <w:rsid w:val="00691AB7"/>
    <w:rsid w:val="0069441A"/>
    <w:rsid w:val="0069691B"/>
    <w:rsid w:val="006A0E78"/>
    <w:rsid w:val="006A1A91"/>
    <w:rsid w:val="006A35FA"/>
    <w:rsid w:val="006A40FD"/>
    <w:rsid w:val="006A482D"/>
    <w:rsid w:val="006A4C24"/>
    <w:rsid w:val="006B0250"/>
    <w:rsid w:val="006B1DCD"/>
    <w:rsid w:val="006B2845"/>
    <w:rsid w:val="006B2E9E"/>
    <w:rsid w:val="006B318A"/>
    <w:rsid w:val="006B7B91"/>
    <w:rsid w:val="006C199F"/>
    <w:rsid w:val="006C5C81"/>
    <w:rsid w:val="006D4EAF"/>
    <w:rsid w:val="006D5203"/>
    <w:rsid w:val="006D61C3"/>
    <w:rsid w:val="006D7810"/>
    <w:rsid w:val="006E26CF"/>
    <w:rsid w:val="006E3458"/>
    <w:rsid w:val="006E37BE"/>
    <w:rsid w:val="006E405C"/>
    <w:rsid w:val="006E4A48"/>
    <w:rsid w:val="006E57C1"/>
    <w:rsid w:val="006E59CB"/>
    <w:rsid w:val="006E5DAB"/>
    <w:rsid w:val="006E75C4"/>
    <w:rsid w:val="006E75EB"/>
    <w:rsid w:val="006F08AB"/>
    <w:rsid w:val="006F17A2"/>
    <w:rsid w:val="006F201B"/>
    <w:rsid w:val="006F28B4"/>
    <w:rsid w:val="006F442E"/>
    <w:rsid w:val="006F4BE7"/>
    <w:rsid w:val="006F5B8F"/>
    <w:rsid w:val="006F73C6"/>
    <w:rsid w:val="0070008C"/>
    <w:rsid w:val="00700213"/>
    <w:rsid w:val="007009F0"/>
    <w:rsid w:val="00700C45"/>
    <w:rsid w:val="00700F12"/>
    <w:rsid w:val="007039E1"/>
    <w:rsid w:val="00703C64"/>
    <w:rsid w:val="007040F6"/>
    <w:rsid w:val="007048CB"/>
    <w:rsid w:val="007058D5"/>
    <w:rsid w:val="00706C57"/>
    <w:rsid w:val="0070770F"/>
    <w:rsid w:val="007078E7"/>
    <w:rsid w:val="0071069E"/>
    <w:rsid w:val="0071124D"/>
    <w:rsid w:val="007119DF"/>
    <w:rsid w:val="00711B75"/>
    <w:rsid w:val="007152A8"/>
    <w:rsid w:val="00715C11"/>
    <w:rsid w:val="00720293"/>
    <w:rsid w:val="00720782"/>
    <w:rsid w:val="007217E7"/>
    <w:rsid w:val="0072780C"/>
    <w:rsid w:val="00727BED"/>
    <w:rsid w:val="00733E38"/>
    <w:rsid w:val="00734AAA"/>
    <w:rsid w:val="0073511E"/>
    <w:rsid w:val="0073569E"/>
    <w:rsid w:val="007362D7"/>
    <w:rsid w:val="0073647D"/>
    <w:rsid w:val="00737976"/>
    <w:rsid w:val="00741B0B"/>
    <w:rsid w:val="007423EF"/>
    <w:rsid w:val="00742923"/>
    <w:rsid w:val="00742F50"/>
    <w:rsid w:val="00743013"/>
    <w:rsid w:val="00743091"/>
    <w:rsid w:val="00745589"/>
    <w:rsid w:val="00747FAC"/>
    <w:rsid w:val="0075069A"/>
    <w:rsid w:val="007510D5"/>
    <w:rsid w:val="00751126"/>
    <w:rsid w:val="00751E97"/>
    <w:rsid w:val="007533A3"/>
    <w:rsid w:val="00754B90"/>
    <w:rsid w:val="00754C86"/>
    <w:rsid w:val="007556E8"/>
    <w:rsid w:val="00756B3A"/>
    <w:rsid w:val="00757C78"/>
    <w:rsid w:val="00757DE6"/>
    <w:rsid w:val="00760B7B"/>
    <w:rsid w:val="007643B0"/>
    <w:rsid w:val="007643F9"/>
    <w:rsid w:val="007650E4"/>
    <w:rsid w:val="00767FF7"/>
    <w:rsid w:val="00771876"/>
    <w:rsid w:val="00771AB7"/>
    <w:rsid w:val="00772ACB"/>
    <w:rsid w:val="00773F70"/>
    <w:rsid w:val="00776B5A"/>
    <w:rsid w:val="007806BD"/>
    <w:rsid w:val="007820DD"/>
    <w:rsid w:val="00785BCD"/>
    <w:rsid w:val="00785BEB"/>
    <w:rsid w:val="00786060"/>
    <w:rsid w:val="0078687F"/>
    <w:rsid w:val="00786C2B"/>
    <w:rsid w:val="007914B9"/>
    <w:rsid w:val="00792792"/>
    <w:rsid w:val="0079337A"/>
    <w:rsid w:val="00794397"/>
    <w:rsid w:val="0079489C"/>
    <w:rsid w:val="00795897"/>
    <w:rsid w:val="00795997"/>
    <w:rsid w:val="0079786E"/>
    <w:rsid w:val="00797C35"/>
    <w:rsid w:val="007A0083"/>
    <w:rsid w:val="007A0668"/>
    <w:rsid w:val="007A0990"/>
    <w:rsid w:val="007A0C31"/>
    <w:rsid w:val="007A101C"/>
    <w:rsid w:val="007A1BBA"/>
    <w:rsid w:val="007A258C"/>
    <w:rsid w:val="007A39B9"/>
    <w:rsid w:val="007A599D"/>
    <w:rsid w:val="007A6636"/>
    <w:rsid w:val="007A7139"/>
    <w:rsid w:val="007B18CE"/>
    <w:rsid w:val="007B19DB"/>
    <w:rsid w:val="007B3088"/>
    <w:rsid w:val="007B63E5"/>
    <w:rsid w:val="007C0A86"/>
    <w:rsid w:val="007C0AFC"/>
    <w:rsid w:val="007C28B7"/>
    <w:rsid w:val="007D0744"/>
    <w:rsid w:val="007D452A"/>
    <w:rsid w:val="007D50E0"/>
    <w:rsid w:val="007D5B6A"/>
    <w:rsid w:val="007D6924"/>
    <w:rsid w:val="007E2046"/>
    <w:rsid w:val="007E2F5E"/>
    <w:rsid w:val="007E520A"/>
    <w:rsid w:val="007E6F32"/>
    <w:rsid w:val="007E7B49"/>
    <w:rsid w:val="007F28F9"/>
    <w:rsid w:val="007F45B9"/>
    <w:rsid w:val="007F5564"/>
    <w:rsid w:val="007F65E9"/>
    <w:rsid w:val="007F6B5E"/>
    <w:rsid w:val="00800B94"/>
    <w:rsid w:val="00802142"/>
    <w:rsid w:val="008023E6"/>
    <w:rsid w:val="00803988"/>
    <w:rsid w:val="00804238"/>
    <w:rsid w:val="0080479E"/>
    <w:rsid w:val="0080575A"/>
    <w:rsid w:val="00805F15"/>
    <w:rsid w:val="00805FCB"/>
    <w:rsid w:val="0081231F"/>
    <w:rsid w:val="008123E4"/>
    <w:rsid w:val="008127D3"/>
    <w:rsid w:val="00815CAA"/>
    <w:rsid w:val="00820B89"/>
    <w:rsid w:val="008213DC"/>
    <w:rsid w:val="00821CF0"/>
    <w:rsid w:val="00822D43"/>
    <w:rsid w:val="008246D4"/>
    <w:rsid w:val="00824C2D"/>
    <w:rsid w:val="008279A7"/>
    <w:rsid w:val="00827D78"/>
    <w:rsid w:val="008310D3"/>
    <w:rsid w:val="00836F44"/>
    <w:rsid w:val="0083707E"/>
    <w:rsid w:val="00840579"/>
    <w:rsid w:val="00843881"/>
    <w:rsid w:val="00844B54"/>
    <w:rsid w:val="008456B3"/>
    <w:rsid w:val="00846356"/>
    <w:rsid w:val="00850852"/>
    <w:rsid w:val="00850B53"/>
    <w:rsid w:val="00851088"/>
    <w:rsid w:val="00852678"/>
    <w:rsid w:val="008531FA"/>
    <w:rsid w:val="0085396C"/>
    <w:rsid w:val="00853D15"/>
    <w:rsid w:val="00855B23"/>
    <w:rsid w:val="00855C18"/>
    <w:rsid w:val="00856459"/>
    <w:rsid w:val="00856692"/>
    <w:rsid w:val="00857272"/>
    <w:rsid w:val="00857FF1"/>
    <w:rsid w:val="00860AA6"/>
    <w:rsid w:val="008612AD"/>
    <w:rsid w:val="008614E8"/>
    <w:rsid w:val="00863FDA"/>
    <w:rsid w:val="00864407"/>
    <w:rsid w:val="0086491B"/>
    <w:rsid w:val="00867838"/>
    <w:rsid w:val="0087041D"/>
    <w:rsid w:val="00870673"/>
    <w:rsid w:val="00871BB4"/>
    <w:rsid w:val="00871F91"/>
    <w:rsid w:val="00875AA4"/>
    <w:rsid w:val="00880369"/>
    <w:rsid w:val="008809C6"/>
    <w:rsid w:val="00882AF7"/>
    <w:rsid w:val="00883C30"/>
    <w:rsid w:val="0088450F"/>
    <w:rsid w:val="008856BC"/>
    <w:rsid w:val="00890429"/>
    <w:rsid w:val="008932C1"/>
    <w:rsid w:val="008942DD"/>
    <w:rsid w:val="00895380"/>
    <w:rsid w:val="00896093"/>
    <w:rsid w:val="008963EE"/>
    <w:rsid w:val="008967F0"/>
    <w:rsid w:val="008A1029"/>
    <w:rsid w:val="008A43B7"/>
    <w:rsid w:val="008A5F6A"/>
    <w:rsid w:val="008A7E93"/>
    <w:rsid w:val="008B2ED3"/>
    <w:rsid w:val="008B3038"/>
    <w:rsid w:val="008B4496"/>
    <w:rsid w:val="008B5DE6"/>
    <w:rsid w:val="008B6917"/>
    <w:rsid w:val="008B6BC7"/>
    <w:rsid w:val="008C0F30"/>
    <w:rsid w:val="008C35A0"/>
    <w:rsid w:val="008C3C56"/>
    <w:rsid w:val="008C406F"/>
    <w:rsid w:val="008C46C6"/>
    <w:rsid w:val="008C4E6C"/>
    <w:rsid w:val="008C5FC1"/>
    <w:rsid w:val="008C6E69"/>
    <w:rsid w:val="008C6F11"/>
    <w:rsid w:val="008C70DA"/>
    <w:rsid w:val="008C7147"/>
    <w:rsid w:val="008C7282"/>
    <w:rsid w:val="008C7D4F"/>
    <w:rsid w:val="008D1575"/>
    <w:rsid w:val="008D2CD8"/>
    <w:rsid w:val="008D3357"/>
    <w:rsid w:val="008D6748"/>
    <w:rsid w:val="008D7F22"/>
    <w:rsid w:val="008F2E9C"/>
    <w:rsid w:val="008F3968"/>
    <w:rsid w:val="008F53FC"/>
    <w:rsid w:val="008F60B8"/>
    <w:rsid w:val="008F7E52"/>
    <w:rsid w:val="008F7E6E"/>
    <w:rsid w:val="00900B39"/>
    <w:rsid w:val="0090119A"/>
    <w:rsid w:val="00902D04"/>
    <w:rsid w:val="0090435A"/>
    <w:rsid w:val="00905A4E"/>
    <w:rsid w:val="00906913"/>
    <w:rsid w:val="009070BB"/>
    <w:rsid w:val="00911F70"/>
    <w:rsid w:val="00912763"/>
    <w:rsid w:val="0091569F"/>
    <w:rsid w:val="009209BF"/>
    <w:rsid w:val="009219F0"/>
    <w:rsid w:val="00921B5F"/>
    <w:rsid w:val="009234B2"/>
    <w:rsid w:val="009252BB"/>
    <w:rsid w:val="0092530A"/>
    <w:rsid w:val="00926316"/>
    <w:rsid w:val="00931629"/>
    <w:rsid w:val="00931D30"/>
    <w:rsid w:val="009338AA"/>
    <w:rsid w:val="00934666"/>
    <w:rsid w:val="0093619A"/>
    <w:rsid w:val="009409C4"/>
    <w:rsid w:val="00945D43"/>
    <w:rsid w:val="00946A55"/>
    <w:rsid w:val="0094775D"/>
    <w:rsid w:val="009477A7"/>
    <w:rsid w:val="00952DB2"/>
    <w:rsid w:val="00953A77"/>
    <w:rsid w:val="00954E51"/>
    <w:rsid w:val="009557A1"/>
    <w:rsid w:val="0096365B"/>
    <w:rsid w:val="009650BF"/>
    <w:rsid w:val="00967A59"/>
    <w:rsid w:val="009701E3"/>
    <w:rsid w:val="00972017"/>
    <w:rsid w:val="009723AD"/>
    <w:rsid w:val="00972F05"/>
    <w:rsid w:val="00973881"/>
    <w:rsid w:val="009748AA"/>
    <w:rsid w:val="009749F5"/>
    <w:rsid w:val="00977615"/>
    <w:rsid w:val="0098015B"/>
    <w:rsid w:val="00980252"/>
    <w:rsid w:val="0098088A"/>
    <w:rsid w:val="0098317D"/>
    <w:rsid w:val="009839E8"/>
    <w:rsid w:val="00983B59"/>
    <w:rsid w:val="00985B77"/>
    <w:rsid w:val="0098659E"/>
    <w:rsid w:val="009866E4"/>
    <w:rsid w:val="009900A3"/>
    <w:rsid w:val="009911FD"/>
    <w:rsid w:val="0099187D"/>
    <w:rsid w:val="00992921"/>
    <w:rsid w:val="009942CC"/>
    <w:rsid w:val="00994375"/>
    <w:rsid w:val="00995D2A"/>
    <w:rsid w:val="00995D3A"/>
    <w:rsid w:val="00995E5F"/>
    <w:rsid w:val="00995F1D"/>
    <w:rsid w:val="00996AC7"/>
    <w:rsid w:val="0099778C"/>
    <w:rsid w:val="009A2CC6"/>
    <w:rsid w:val="009A36E4"/>
    <w:rsid w:val="009A4073"/>
    <w:rsid w:val="009A5C07"/>
    <w:rsid w:val="009A6108"/>
    <w:rsid w:val="009A64F8"/>
    <w:rsid w:val="009A694A"/>
    <w:rsid w:val="009A7487"/>
    <w:rsid w:val="009A7D61"/>
    <w:rsid w:val="009B19B7"/>
    <w:rsid w:val="009B3224"/>
    <w:rsid w:val="009B479D"/>
    <w:rsid w:val="009B6299"/>
    <w:rsid w:val="009C312B"/>
    <w:rsid w:val="009C3874"/>
    <w:rsid w:val="009C3FAF"/>
    <w:rsid w:val="009C4437"/>
    <w:rsid w:val="009C5991"/>
    <w:rsid w:val="009C65F1"/>
    <w:rsid w:val="009C6A67"/>
    <w:rsid w:val="009D1D31"/>
    <w:rsid w:val="009D4712"/>
    <w:rsid w:val="009D4D50"/>
    <w:rsid w:val="009D4EF1"/>
    <w:rsid w:val="009D5E18"/>
    <w:rsid w:val="009D729B"/>
    <w:rsid w:val="009E056B"/>
    <w:rsid w:val="009E11DE"/>
    <w:rsid w:val="009E18A9"/>
    <w:rsid w:val="009E3104"/>
    <w:rsid w:val="009E3297"/>
    <w:rsid w:val="009E3882"/>
    <w:rsid w:val="009E458C"/>
    <w:rsid w:val="009E50EC"/>
    <w:rsid w:val="009E5F64"/>
    <w:rsid w:val="009E780E"/>
    <w:rsid w:val="009F23C8"/>
    <w:rsid w:val="009F2A2C"/>
    <w:rsid w:val="009F7150"/>
    <w:rsid w:val="00A01CF3"/>
    <w:rsid w:val="00A053EB"/>
    <w:rsid w:val="00A12DB9"/>
    <w:rsid w:val="00A13CDF"/>
    <w:rsid w:val="00A1456E"/>
    <w:rsid w:val="00A153C8"/>
    <w:rsid w:val="00A15462"/>
    <w:rsid w:val="00A16CF4"/>
    <w:rsid w:val="00A17B94"/>
    <w:rsid w:val="00A210DC"/>
    <w:rsid w:val="00A220D1"/>
    <w:rsid w:val="00A232F7"/>
    <w:rsid w:val="00A23F9F"/>
    <w:rsid w:val="00A2564C"/>
    <w:rsid w:val="00A25DBA"/>
    <w:rsid w:val="00A319A2"/>
    <w:rsid w:val="00A319DA"/>
    <w:rsid w:val="00A324EF"/>
    <w:rsid w:val="00A32FC3"/>
    <w:rsid w:val="00A341BE"/>
    <w:rsid w:val="00A34DFE"/>
    <w:rsid w:val="00A35338"/>
    <w:rsid w:val="00A353DF"/>
    <w:rsid w:val="00A35439"/>
    <w:rsid w:val="00A37C5A"/>
    <w:rsid w:val="00A40854"/>
    <w:rsid w:val="00A415C1"/>
    <w:rsid w:val="00A42F4F"/>
    <w:rsid w:val="00A456E1"/>
    <w:rsid w:val="00A47B47"/>
    <w:rsid w:val="00A5274B"/>
    <w:rsid w:val="00A528C0"/>
    <w:rsid w:val="00A5303C"/>
    <w:rsid w:val="00A53F09"/>
    <w:rsid w:val="00A55EC8"/>
    <w:rsid w:val="00A55F6F"/>
    <w:rsid w:val="00A56627"/>
    <w:rsid w:val="00A56655"/>
    <w:rsid w:val="00A56A0F"/>
    <w:rsid w:val="00A601EC"/>
    <w:rsid w:val="00A61A25"/>
    <w:rsid w:val="00A62FFB"/>
    <w:rsid w:val="00A6329F"/>
    <w:rsid w:val="00A63C6E"/>
    <w:rsid w:val="00A6430F"/>
    <w:rsid w:val="00A6563E"/>
    <w:rsid w:val="00A65978"/>
    <w:rsid w:val="00A6699C"/>
    <w:rsid w:val="00A67956"/>
    <w:rsid w:val="00A67B45"/>
    <w:rsid w:val="00A71028"/>
    <w:rsid w:val="00A73690"/>
    <w:rsid w:val="00A7392B"/>
    <w:rsid w:val="00A742BC"/>
    <w:rsid w:val="00A753E3"/>
    <w:rsid w:val="00A76153"/>
    <w:rsid w:val="00A762A5"/>
    <w:rsid w:val="00A7734B"/>
    <w:rsid w:val="00A80E52"/>
    <w:rsid w:val="00A84D49"/>
    <w:rsid w:val="00A84F54"/>
    <w:rsid w:val="00A85A93"/>
    <w:rsid w:val="00A85CC7"/>
    <w:rsid w:val="00A863AD"/>
    <w:rsid w:val="00A86EFE"/>
    <w:rsid w:val="00A87346"/>
    <w:rsid w:val="00A90C62"/>
    <w:rsid w:val="00A90E29"/>
    <w:rsid w:val="00A91919"/>
    <w:rsid w:val="00A92023"/>
    <w:rsid w:val="00A9371F"/>
    <w:rsid w:val="00A94C0B"/>
    <w:rsid w:val="00A95D6C"/>
    <w:rsid w:val="00A95E73"/>
    <w:rsid w:val="00A9700D"/>
    <w:rsid w:val="00A97200"/>
    <w:rsid w:val="00A97F26"/>
    <w:rsid w:val="00AA02D8"/>
    <w:rsid w:val="00AA1554"/>
    <w:rsid w:val="00AA585B"/>
    <w:rsid w:val="00AA62E0"/>
    <w:rsid w:val="00AA7986"/>
    <w:rsid w:val="00AB1241"/>
    <w:rsid w:val="00AB2093"/>
    <w:rsid w:val="00AB40A2"/>
    <w:rsid w:val="00AB53CE"/>
    <w:rsid w:val="00AB6234"/>
    <w:rsid w:val="00AB6B6F"/>
    <w:rsid w:val="00AB7FD3"/>
    <w:rsid w:val="00AC1E16"/>
    <w:rsid w:val="00AC2D1E"/>
    <w:rsid w:val="00AC4608"/>
    <w:rsid w:val="00AC60FB"/>
    <w:rsid w:val="00AC6A5A"/>
    <w:rsid w:val="00AC6E7B"/>
    <w:rsid w:val="00AC7553"/>
    <w:rsid w:val="00AC77F6"/>
    <w:rsid w:val="00AD121E"/>
    <w:rsid w:val="00AD24BA"/>
    <w:rsid w:val="00AD24F0"/>
    <w:rsid w:val="00AD4D6B"/>
    <w:rsid w:val="00AD4FBC"/>
    <w:rsid w:val="00AD5CC9"/>
    <w:rsid w:val="00AE3CCC"/>
    <w:rsid w:val="00AE406D"/>
    <w:rsid w:val="00AE60E2"/>
    <w:rsid w:val="00AE68AC"/>
    <w:rsid w:val="00AF03A3"/>
    <w:rsid w:val="00AF0664"/>
    <w:rsid w:val="00AF0750"/>
    <w:rsid w:val="00AF14A3"/>
    <w:rsid w:val="00AF1888"/>
    <w:rsid w:val="00AF18D0"/>
    <w:rsid w:val="00AF2424"/>
    <w:rsid w:val="00AF2434"/>
    <w:rsid w:val="00AF2510"/>
    <w:rsid w:val="00AF42B9"/>
    <w:rsid w:val="00AF4BFA"/>
    <w:rsid w:val="00AF501A"/>
    <w:rsid w:val="00AF6A85"/>
    <w:rsid w:val="00AF7282"/>
    <w:rsid w:val="00AF7503"/>
    <w:rsid w:val="00B0077A"/>
    <w:rsid w:val="00B0576C"/>
    <w:rsid w:val="00B05892"/>
    <w:rsid w:val="00B11FE0"/>
    <w:rsid w:val="00B140EF"/>
    <w:rsid w:val="00B1584B"/>
    <w:rsid w:val="00B16099"/>
    <w:rsid w:val="00B16507"/>
    <w:rsid w:val="00B166CD"/>
    <w:rsid w:val="00B1672C"/>
    <w:rsid w:val="00B16E39"/>
    <w:rsid w:val="00B17630"/>
    <w:rsid w:val="00B2147E"/>
    <w:rsid w:val="00B226C5"/>
    <w:rsid w:val="00B2707F"/>
    <w:rsid w:val="00B273F4"/>
    <w:rsid w:val="00B3091C"/>
    <w:rsid w:val="00B31578"/>
    <w:rsid w:val="00B31841"/>
    <w:rsid w:val="00B31DCE"/>
    <w:rsid w:val="00B33403"/>
    <w:rsid w:val="00B33D86"/>
    <w:rsid w:val="00B34B5E"/>
    <w:rsid w:val="00B40D33"/>
    <w:rsid w:val="00B4280C"/>
    <w:rsid w:val="00B43092"/>
    <w:rsid w:val="00B43F1F"/>
    <w:rsid w:val="00B44504"/>
    <w:rsid w:val="00B46DAF"/>
    <w:rsid w:val="00B47D83"/>
    <w:rsid w:val="00B50CDF"/>
    <w:rsid w:val="00B50E54"/>
    <w:rsid w:val="00B50E89"/>
    <w:rsid w:val="00B51947"/>
    <w:rsid w:val="00B52F7C"/>
    <w:rsid w:val="00B54744"/>
    <w:rsid w:val="00B5596B"/>
    <w:rsid w:val="00B55E77"/>
    <w:rsid w:val="00B56D52"/>
    <w:rsid w:val="00B571D6"/>
    <w:rsid w:val="00B6113F"/>
    <w:rsid w:val="00B62349"/>
    <w:rsid w:val="00B625D4"/>
    <w:rsid w:val="00B63B34"/>
    <w:rsid w:val="00B63EFE"/>
    <w:rsid w:val="00B6513D"/>
    <w:rsid w:val="00B6554F"/>
    <w:rsid w:val="00B66203"/>
    <w:rsid w:val="00B66420"/>
    <w:rsid w:val="00B67DE6"/>
    <w:rsid w:val="00B70B5D"/>
    <w:rsid w:val="00B713A7"/>
    <w:rsid w:val="00B73770"/>
    <w:rsid w:val="00B755D3"/>
    <w:rsid w:val="00B77ACB"/>
    <w:rsid w:val="00B82B9D"/>
    <w:rsid w:val="00B82F11"/>
    <w:rsid w:val="00B830A7"/>
    <w:rsid w:val="00B83189"/>
    <w:rsid w:val="00B83A38"/>
    <w:rsid w:val="00B85B44"/>
    <w:rsid w:val="00B86F7E"/>
    <w:rsid w:val="00B87608"/>
    <w:rsid w:val="00B87D90"/>
    <w:rsid w:val="00B916C0"/>
    <w:rsid w:val="00B93EAC"/>
    <w:rsid w:val="00B97281"/>
    <w:rsid w:val="00BA027D"/>
    <w:rsid w:val="00BA103E"/>
    <w:rsid w:val="00BA24A2"/>
    <w:rsid w:val="00BA2807"/>
    <w:rsid w:val="00BA3235"/>
    <w:rsid w:val="00BA4DEB"/>
    <w:rsid w:val="00BA513B"/>
    <w:rsid w:val="00BA5FA5"/>
    <w:rsid w:val="00BA6339"/>
    <w:rsid w:val="00BB0EAA"/>
    <w:rsid w:val="00BB1253"/>
    <w:rsid w:val="00BB452B"/>
    <w:rsid w:val="00BB4C4B"/>
    <w:rsid w:val="00BB74B6"/>
    <w:rsid w:val="00BC078C"/>
    <w:rsid w:val="00BC16E6"/>
    <w:rsid w:val="00BC2133"/>
    <w:rsid w:val="00BC406C"/>
    <w:rsid w:val="00BC50F5"/>
    <w:rsid w:val="00BC6533"/>
    <w:rsid w:val="00BD0EC2"/>
    <w:rsid w:val="00BD3B0D"/>
    <w:rsid w:val="00BD6A51"/>
    <w:rsid w:val="00BD72AE"/>
    <w:rsid w:val="00BE0764"/>
    <w:rsid w:val="00BE07AB"/>
    <w:rsid w:val="00BE1AA3"/>
    <w:rsid w:val="00BE2E66"/>
    <w:rsid w:val="00BE3C5B"/>
    <w:rsid w:val="00BE67E2"/>
    <w:rsid w:val="00BF02A7"/>
    <w:rsid w:val="00BF1D43"/>
    <w:rsid w:val="00BF30B8"/>
    <w:rsid w:val="00BF44D6"/>
    <w:rsid w:val="00BF48DF"/>
    <w:rsid w:val="00C00909"/>
    <w:rsid w:val="00C02C5E"/>
    <w:rsid w:val="00C04696"/>
    <w:rsid w:val="00C07A68"/>
    <w:rsid w:val="00C10C47"/>
    <w:rsid w:val="00C12303"/>
    <w:rsid w:val="00C1426C"/>
    <w:rsid w:val="00C14762"/>
    <w:rsid w:val="00C150FD"/>
    <w:rsid w:val="00C21999"/>
    <w:rsid w:val="00C22A16"/>
    <w:rsid w:val="00C2503E"/>
    <w:rsid w:val="00C27E01"/>
    <w:rsid w:val="00C27E58"/>
    <w:rsid w:val="00C30F19"/>
    <w:rsid w:val="00C3150A"/>
    <w:rsid w:val="00C31F06"/>
    <w:rsid w:val="00C34E34"/>
    <w:rsid w:val="00C34F99"/>
    <w:rsid w:val="00C36724"/>
    <w:rsid w:val="00C40375"/>
    <w:rsid w:val="00C405E2"/>
    <w:rsid w:val="00C40F53"/>
    <w:rsid w:val="00C421B9"/>
    <w:rsid w:val="00C42621"/>
    <w:rsid w:val="00C44FD5"/>
    <w:rsid w:val="00C459A7"/>
    <w:rsid w:val="00C46CE7"/>
    <w:rsid w:val="00C47E8A"/>
    <w:rsid w:val="00C503DE"/>
    <w:rsid w:val="00C51717"/>
    <w:rsid w:val="00C53C7C"/>
    <w:rsid w:val="00C54C4B"/>
    <w:rsid w:val="00C57724"/>
    <w:rsid w:val="00C6026B"/>
    <w:rsid w:val="00C608D2"/>
    <w:rsid w:val="00C610BC"/>
    <w:rsid w:val="00C6181A"/>
    <w:rsid w:val="00C618FA"/>
    <w:rsid w:val="00C61D62"/>
    <w:rsid w:val="00C644D3"/>
    <w:rsid w:val="00C64BBC"/>
    <w:rsid w:val="00C64FAE"/>
    <w:rsid w:val="00C66395"/>
    <w:rsid w:val="00C72C97"/>
    <w:rsid w:val="00C73013"/>
    <w:rsid w:val="00C759C0"/>
    <w:rsid w:val="00C75D98"/>
    <w:rsid w:val="00C80876"/>
    <w:rsid w:val="00C819EA"/>
    <w:rsid w:val="00C82390"/>
    <w:rsid w:val="00C82ECD"/>
    <w:rsid w:val="00C8432D"/>
    <w:rsid w:val="00C84E43"/>
    <w:rsid w:val="00C853EA"/>
    <w:rsid w:val="00C87CC2"/>
    <w:rsid w:val="00C87FD8"/>
    <w:rsid w:val="00C912D5"/>
    <w:rsid w:val="00C9141C"/>
    <w:rsid w:val="00C945A3"/>
    <w:rsid w:val="00C9795D"/>
    <w:rsid w:val="00C979A8"/>
    <w:rsid w:val="00CA0040"/>
    <w:rsid w:val="00CA0C77"/>
    <w:rsid w:val="00CA1307"/>
    <w:rsid w:val="00CA1935"/>
    <w:rsid w:val="00CA2B66"/>
    <w:rsid w:val="00CA40FF"/>
    <w:rsid w:val="00CA4456"/>
    <w:rsid w:val="00CA4C0F"/>
    <w:rsid w:val="00CA602D"/>
    <w:rsid w:val="00CA6FFB"/>
    <w:rsid w:val="00CB028A"/>
    <w:rsid w:val="00CB0355"/>
    <w:rsid w:val="00CB0385"/>
    <w:rsid w:val="00CB0405"/>
    <w:rsid w:val="00CB113E"/>
    <w:rsid w:val="00CB1441"/>
    <w:rsid w:val="00CB3C9C"/>
    <w:rsid w:val="00CB570E"/>
    <w:rsid w:val="00CB6D6E"/>
    <w:rsid w:val="00CC0512"/>
    <w:rsid w:val="00CC09E3"/>
    <w:rsid w:val="00CC15E2"/>
    <w:rsid w:val="00CC1D95"/>
    <w:rsid w:val="00CC1F11"/>
    <w:rsid w:val="00CC3414"/>
    <w:rsid w:val="00CC525A"/>
    <w:rsid w:val="00CC5A56"/>
    <w:rsid w:val="00CD395A"/>
    <w:rsid w:val="00CD3F19"/>
    <w:rsid w:val="00CD5FE7"/>
    <w:rsid w:val="00CD6D50"/>
    <w:rsid w:val="00CD6F91"/>
    <w:rsid w:val="00CD70CC"/>
    <w:rsid w:val="00CD71E0"/>
    <w:rsid w:val="00CE169D"/>
    <w:rsid w:val="00CE4596"/>
    <w:rsid w:val="00CE4BC7"/>
    <w:rsid w:val="00CE74C0"/>
    <w:rsid w:val="00CE785E"/>
    <w:rsid w:val="00CE7FA3"/>
    <w:rsid w:val="00CE7FCD"/>
    <w:rsid w:val="00CF0FE4"/>
    <w:rsid w:val="00CF2DB1"/>
    <w:rsid w:val="00CF588B"/>
    <w:rsid w:val="00CF610F"/>
    <w:rsid w:val="00CF635C"/>
    <w:rsid w:val="00CF69C6"/>
    <w:rsid w:val="00CF6D3E"/>
    <w:rsid w:val="00CF7434"/>
    <w:rsid w:val="00D00F3D"/>
    <w:rsid w:val="00D01AFE"/>
    <w:rsid w:val="00D01C70"/>
    <w:rsid w:val="00D021A8"/>
    <w:rsid w:val="00D0233A"/>
    <w:rsid w:val="00D02ED6"/>
    <w:rsid w:val="00D02FEB"/>
    <w:rsid w:val="00D06246"/>
    <w:rsid w:val="00D06752"/>
    <w:rsid w:val="00D068F0"/>
    <w:rsid w:val="00D069F2"/>
    <w:rsid w:val="00D06D37"/>
    <w:rsid w:val="00D06EC0"/>
    <w:rsid w:val="00D07268"/>
    <w:rsid w:val="00D07C86"/>
    <w:rsid w:val="00D07EC0"/>
    <w:rsid w:val="00D11C8B"/>
    <w:rsid w:val="00D11EC9"/>
    <w:rsid w:val="00D128A9"/>
    <w:rsid w:val="00D12B5B"/>
    <w:rsid w:val="00D157F5"/>
    <w:rsid w:val="00D2209E"/>
    <w:rsid w:val="00D24416"/>
    <w:rsid w:val="00D2592F"/>
    <w:rsid w:val="00D2704E"/>
    <w:rsid w:val="00D279DE"/>
    <w:rsid w:val="00D27E73"/>
    <w:rsid w:val="00D30B32"/>
    <w:rsid w:val="00D30DB5"/>
    <w:rsid w:val="00D31AB7"/>
    <w:rsid w:val="00D3306B"/>
    <w:rsid w:val="00D35CDF"/>
    <w:rsid w:val="00D36260"/>
    <w:rsid w:val="00D378C5"/>
    <w:rsid w:val="00D4135B"/>
    <w:rsid w:val="00D42F83"/>
    <w:rsid w:val="00D4374C"/>
    <w:rsid w:val="00D44389"/>
    <w:rsid w:val="00D4640D"/>
    <w:rsid w:val="00D46C45"/>
    <w:rsid w:val="00D50AF9"/>
    <w:rsid w:val="00D50C6B"/>
    <w:rsid w:val="00D51733"/>
    <w:rsid w:val="00D52945"/>
    <w:rsid w:val="00D56013"/>
    <w:rsid w:val="00D565C8"/>
    <w:rsid w:val="00D56D1F"/>
    <w:rsid w:val="00D60AC1"/>
    <w:rsid w:val="00D62740"/>
    <w:rsid w:val="00D63F8A"/>
    <w:rsid w:val="00D664ED"/>
    <w:rsid w:val="00D66918"/>
    <w:rsid w:val="00D673F3"/>
    <w:rsid w:val="00D677DB"/>
    <w:rsid w:val="00D71958"/>
    <w:rsid w:val="00D71AA8"/>
    <w:rsid w:val="00D725E8"/>
    <w:rsid w:val="00D7312B"/>
    <w:rsid w:val="00D74300"/>
    <w:rsid w:val="00D746EC"/>
    <w:rsid w:val="00D75649"/>
    <w:rsid w:val="00D76D55"/>
    <w:rsid w:val="00D76E38"/>
    <w:rsid w:val="00D774E3"/>
    <w:rsid w:val="00D80650"/>
    <w:rsid w:val="00D81133"/>
    <w:rsid w:val="00D813FC"/>
    <w:rsid w:val="00D8143D"/>
    <w:rsid w:val="00D820C8"/>
    <w:rsid w:val="00D83073"/>
    <w:rsid w:val="00D84411"/>
    <w:rsid w:val="00D858D1"/>
    <w:rsid w:val="00D8687B"/>
    <w:rsid w:val="00D86C71"/>
    <w:rsid w:val="00D87575"/>
    <w:rsid w:val="00D903F3"/>
    <w:rsid w:val="00D9154B"/>
    <w:rsid w:val="00D91EC9"/>
    <w:rsid w:val="00D94EE5"/>
    <w:rsid w:val="00D958D2"/>
    <w:rsid w:val="00D967A1"/>
    <w:rsid w:val="00D97590"/>
    <w:rsid w:val="00D97785"/>
    <w:rsid w:val="00D97E53"/>
    <w:rsid w:val="00DA0E32"/>
    <w:rsid w:val="00DA10DA"/>
    <w:rsid w:val="00DA1D42"/>
    <w:rsid w:val="00DA1E0C"/>
    <w:rsid w:val="00DA1F2D"/>
    <w:rsid w:val="00DA268E"/>
    <w:rsid w:val="00DA3CCD"/>
    <w:rsid w:val="00DA50CF"/>
    <w:rsid w:val="00DA7B18"/>
    <w:rsid w:val="00DB0905"/>
    <w:rsid w:val="00DB0D60"/>
    <w:rsid w:val="00DB24F9"/>
    <w:rsid w:val="00DB320C"/>
    <w:rsid w:val="00DB3598"/>
    <w:rsid w:val="00DB4398"/>
    <w:rsid w:val="00DB5009"/>
    <w:rsid w:val="00DB574D"/>
    <w:rsid w:val="00DB72A7"/>
    <w:rsid w:val="00DB7797"/>
    <w:rsid w:val="00DC2071"/>
    <w:rsid w:val="00DC3741"/>
    <w:rsid w:val="00DC41F2"/>
    <w:rsid w:val="00DC6409"/>
    <w:rsid w:val="00DC6F91"/>
    <w:rsid w:val="00DC75EB"/>
    <w:rsid w:val="00DD0E4D"/>
    <w:rsid w:val="00DD157F"/>
    <w:rsid w:val="00DD18D8"/>
    <w:rsid w:val="00DD1A9A"/>
    <w:rsid w:val="00DD2557"/>
    <w:rsid w:val="00DD27C4"/>
    <w:rsid w:val="00DD33E3"/>
    <w:rsid w:val="00DD3432"/>
    <w:rsid w:val="00DD3EA4"/>
    <w:rsid w:val="00DD48B2"/>
    <w:rsid w:val="00DD683E"/>
    <w:rsid w:val="00DD6FAD"/>
    <w:rsid w:val="00DE0A3D"/>
    <w:rsid w:val="00DE1095"/>
    <w:rsid w:val="00DE1788"/>
    <w:rsid w:val="00DE1E0A"/>
    <w:rsid w:val="00DE41FF"/>
    <w:rsid w:val="00DE47D4"/>
    <w:rsid w:val="00DE4A35"/>
    <w:rsid w:val="00DE5CE9"/>
    <w:rsid w:val="00DE75AD"/>
    <w:rsid w:val="00DE7A64"/>
    <w:rsid w:val="00DF0EAE"/>
    <w:rsid w:val="00DF1BD0"/>
    <w:rsid w:val="00DF26BD"/>
    <w:rsid w:val="00DF3D36"/>
    <w:rsid w:val="00DF4262"/>
    <w:rsid w:val="00DF67F3"/>
    <w:rsid w:val="00DF6968"/>
    <w:rsid w:val="00E00124"/>
    <w:rsid w:val="00E01DB8"/>
    <w:rsid w:val="00E02973"/>
    <w:rsid w:val="00E055D2"/>
    <w:rsid w:val="00E057D1"/>
    <w:rsid w:val="00E05AD7"/>
    <w:rsid w:val="00E05B31"/>
    <w:rsid w:val="00E06DB9"/>
    <w:rsid w:val="00E06E18"/>
    <w:rsid w:val="00E07338"/>
    <w:rsid w:val="00E121FF"/>
    <w:rsid w:val="00E12E70"/>
    <w:rsid w:val="00E1379A"/>
    <w:rsid w:val="00E14063"/>
    <w:rsid w:val="00E14317"/>
    <w:rsid w:val="00E1510F"/>
    <w:rsid w:val="00E1533F"/>
    <w:rsid w:val="00E15DFB"/>
    <w:rsid w:val="00E20CDF"/>
    <w:rsid w:val="00E2143D"/>
    <w:rsid w:val="00E21CD6"/>
    <w:rsid w:val="00E2324C"/>
    <w:rsid w:val="00E239A2"/>
    <w:rsid w:val="00E2471B"/>
    <w:rsid w:val="00E24FE0"/>
    <w:rsid w:val="00E25330"/>
    <w:rsid w:val="00E25EB8"/>
    <w:rsid w:val="00E278EA"/>
    <w:rsid w:val="00E30DD5"/>
    <w:rsid w:val="00E32AA0"/>
    <w:rsid w:val="00E334FC"/>
    <w:rsid w:val="00E33716"/>
    <w:rsid w:val="00E3459E"/>
    <w:rsid w:val="00E347F1"/>
    <w:rsid w:val="00E34EB1"/>
    <w:rsid w:val="00E34F85"/>
    <w:rsid w:val="00E3559B"/>
    <w:rsid w:val="00E3564F"/>
    <w:rsid w:val="00E37526"/>
    <w:rsid w:val="00E37A3B"/>
    <w:rsid w:val="00E42446"/>
    <w:rsid w:val="00E4394F"/>
    <w:rsid w:val="00E4409A"/>
    <w:rsid w:val="00E4625A"/>
    <w:rsid w:val="00E4778C"/>
    <w:rsid w:val="00E47C2A"/>
    <w:rsid w:val="00E52620"/>
    <w:rsid w:val="00E52CD4"/>
    <w:rsid w:val="00E53D6A"/>
    <w:rsid w:val="00E54039"/>
    <w:rsid w:val="00E56601"/>
    <w:rsid w:val="00E61E51"/>
    <w:rsid w:val="00E61F62"/>
    <w:rsid w:val="00E62036"/>
    <w:rsid w:val="00E6340C"/>
    <w:rsid w:val="00E6343A"/>
    <w:rsid w:val="00E6715A"/>
    <w:rsid w:val="00E7162A"/>
    <w:rsid w:val="00E71D84"/>
    <w:rsid w:val="00E74320"/>
    <w:rsid w:val="00E74883"/>
    <w:rsid w:val="00E76B8F"/>
    <w:rsid w:val="00E806B9"/>
    <w:rsid w:val="00E81B59"/>
    <w:rsid w:val="00E82D82"/>
    <w:rsid w:val="00E850C6"/>
    <w:rsid w:val="00E85E55"/>
    <w:rsid w:val="00E878A5"/>
    <w:rsid w:val="00E90A17"/>
    <w:rsid w:val="00E91AB2"/>
    <w:rsid w:val="00E9266A"/>
    <w:rsid w:val="00E92CE1"/>
    <w:rsid w:val="00E9367C"/>
    <w:rsid w:val="00E95878"/>
    <w:rsid w:val="00E95DCC"/>
    <w:rsid w:val="00E95FF9"/>
    <w:rsid w:val="00E968F2"/>
    <w:rsid w:val="00E97578"/>
    <w:rsid w:val="00E97F27"/>
    <w:rsid w:val="00EA1C2C"/>
    <w:rsid w:val="00EA1D86"/>
    <w:rsid w:val="00EA2238"/>
    <w:rsid w:val="00EA24A5"/>
    <w:rsid w:val="00EA2DD8"/>
    <w:rsid w:val="00EA5B8E"/>
    <w:rsid w:val="00EA6C3A"/>
    <w:rsid w:val="00EB0E34"/>
    <w:rsid w:val="00EB1172"/>
    <w:rsid w:val="00EB1362"/>
    <w:rsid w:val="00EB3434"/>
    <w:rsid w:val="00EC087B"/>
    <w:rsid w:val="00EC0E4D"/>
    <w:rsid w:val="00EC2337"/>
    <w:rsid w:val="00EC2DC4"/>
    <w:rsid w:val="00EC2E31"/>
    <w:rsid w:val="00EC341F"/>
    <w:rsid w:val="00EC6285"/>
    <w:rsid w:val="00EC66FD"/>
    <w:rsid w:val="00EC7415"/>
    <w:rsid w:val="00ED0097"/>
    <w:rsid w:val="00ED032B"/>
    <w:rsid w:val="00ED0B3C"/>
    <w:rsid w:val="00ED1647"/>
    <w:rsid w:val="00ED1BFF"/>
    <w:rsid w:val="00ED29A4"/>
    <w:rsid w:val="00ED2BBA"/>
    <w:rsid w:val="00ED411A"/>
    <w:rsid w:val="00ED54E9"/>
    <w:rsid w:val="00ED5A0A"/>
    <w:rsid w:val="00ED5F67"/>
    <w:rsid w:val="00ED6227"/>
    <w:rsid w:val="00ED6265"/>
    <w:rsid w:val="00EE06D4"/>
    <w:rsid w:val="00EE0B7C"/>
    <w:rsid w:val="00EE19C8"/>
    <w:rsid w:val="00EE5D95"/>
    <w:rsid w:val="00EE637E"/>
    <w:rsid w:val="00EE7F03"/>
    <w:rsid w:val="00EF0E9D"/>
    <w:rsid w:val="00EF0FBE"/>
    <w:rsid w:val="00EF2BA4"/>
    <w:rsid w:val="00EF3470"/>
    <w:rsid w:val="00EF4969"/>
    <w:rsid w:val="00EF59B1"/>
    <w:rsid w:val="00EF5CCA"/>
    <w:rsid w:val="00EF6B70"/>
    <w:rsid w:val="00EF6C82"/>
    <w:rsid w:val="00EF79E8"/>
    <w:rsid w:val="00EF7C5C"/>
    <w:rsid w:val="00F00688"/>
    <w:rsid w:val="00F00C69"/>
    <w:rsid w:val="00F0283F"/>
    <w:rsid w:val="00F048AA"/>
    <w:rsid w:val="00F05DB6"/>
    <w:rsid w:val="00F0677F"/>
    <w:rsid w:val="00F06B19"/>
    <w:rsid w:val="00F07B02"/>
    <w:rsid w:val="00F10EB9"/>
    <w:rsid w:val="00F13A9C"/>
    <w:rsid w:val="00F13DE4"/>
    <w:rsid w:val="00F164F3"/>
    <w:rsid w:val="00F21817"/>
    <w:rsid w:val="00F224B6"/>
    <w:rsid w:val="00F22EAA"/>
    <w:rsid w:val="00F230B3"/>
    <w:rsid w:val="00F234EA"/>
    <w:rsid w:val="00F235CB"/>
    <w:rsid w:val="00F246FB"/>
    <w:rsid w:val="00F256AB"/>
    <w:rsid w:val="00F3039D"/>
    <w:rsid w:val="00F30C9F"/>
    <w:rsid w:val="00F31135"/>
    <w:rsid w:val="00F320BA"/>
    <w:rsid w:val="00F325F0"/>
    <w:rsid w:val="00F32BDF"/>
    <w:rsid w:val="00F36759"/>
    <w:rsid w:val="00F36C49"/>
    <w:rsid w:val="00F45340"/>
    <w:rsid w:val="00F4536B"/>
    <w:rsid w:val="00F455E3"/>
    <w:rsid w:val="00F45C47"/>
    <w:rsid w:val="00F46F1C"/>
    <w:rsid w:val="00F47905"/>
    <w:rsid w:val="00F502B8"/>
    <w:rsid w:val="00F509C8"/>
    <w:rsid w:val="00F522A9"/>
    <w:rsid w:val="00F53A35"/>
    <w:rsid w:val="00F53E85"/>
    <w:rsid w:val="00F54871"/>
    <w:rsid w:val="00F55A70"/>
    <w:rsid w:val="00F55AC8"/>
    <w:rsid w:val="00F56C44"/>
    <w:rsid w:val="00F60A54"/>
    <w:rsid w:val="00F610EB"/>
    <w:rsid w:val="00F612E7"/>
    <w:rsid w:val="00F675D1"/>
    <w:rsid w:val="00F7025E"/>
    <w:rsid w:val="00F749FC"/>
    <w:rsid w:val="00F74C9F"/>
    <w:rsid w:val="00F7513E"/>
    <w:rsid w:val="00F75C9E"/>
    <w:rsid w:val="00F770F4"/>
    <w:rsid w:val="00F81FCB"/>
    <w:rsid w:val="00F83AEA"/>
    <w:rsid w:val="00F84323"/>
    <w:rsid w:val="00F85A03"/>
    <w:rsid w:val="00F85FF5"/>
    <w:rsid w:val="00F87126"/>
    <w:rsid w:val="00F87714"/>
    <w:rsid w:val="00F878F8"/>
    <w:rsid w:val="00F92B49"/>
    <w:rsid w:val="00F94CCE"/>
    <w:rsid w:val="00F94F37"/>
    <w:rsid w:val="00F95740"/>
    <w:rsid w:val="00F96E0B"/>
    <w:rsid w:val="00F97EAA"/>
    <w:rsid w:val="00FA0A3A"/>
    <w:rsid w:val="00FA0AE6"/>
    <w:rsid w:val="00FA0B28"/>
    <w:rsid w:val="00FA115F"/>
    <w:rsid w:val="00FA14A0"/>
    <w:rsid w:val="00FA1BF3"/>
    <w:rsid w:val="00FA4C09"/>
    <w:rsid w:val="00FA4C57"/>
    <w:rsid w:val="00FA5256"/>
    <w:rsid w:val="00FA6B69"/>
    <w:rsid w:val="00FA7925"/>
    <w:rsid w:val="00FB028B"/>
    <w:rsid w:val="00FB4BD7"/>
    <w:rsid w:val="00FB573D"/>
    <w:rsid w:val="00FB6924"/>
    <w:rsid w:val="00FB7E29"/>
    <w:rsid w:val="00FC1730"/>
    <w:rsid w:val="00FC406F"/>
    <w:rsid w:val="00FC5A90"/>
    <w:rsid w:val="00FC7B42"/>
    <w:rsid w:val="00FD04BE"/>
    <w:rsid w:val="00FD0DED"/>
    <w:rsid w:val="00FD183E"/>
    <w:rsid w:val="00FD29E2"/>
    <w:rsid w:val="00FD5799"/>
    <w:rsid w:val="00FE0369"/>
    <w:rsid w:val="00FE141D"/>
    <w:rsid w:val="00FE39FC"/>
    <w:rsid w:val="00FE4362"/>
    <w:rsid w:val="00FE4478"/>
    <w:rsid w:val="00FE4481"/>
    <w:rsid w:val="00FE53BA"/>
    <w:rsid w:val="00FE5709"/>
    <w:rsid w:val="00FE62F2"/>
    <w:rsid w:val="00FE69C3"/>
    <w:rsid w:val="00FF1BED"/>
    <w:rsid w:val="00FF2BEF"/>
    <w:rsid w:val="00FF362D"/>
    <w:rsid w:val="00FF3CD0"/>
    <w:rsid w:val="00FF4EB1"/>
    <w:rsid w:val="01142CF0"/>
    <w:rsid w:val="0132F3FC"/>
    <w:rsid w:val="0165AE57"/>
    <w:rsid w:val="01969123"/>
    <w:rsid w:val="01C1179F"/>
    <w:rsid w:val="024682E2"/>
    <w:rsid w:val="0342462D"/>
    <w:rsid w:val="0342AAD4"/>
    <w:rsid w:val="03761B25"/>
    <w:rsid w:val="047939A7"/>
    <w:rsid w:val="049C6BF3"/>
    <w:rsid w:val="04E860F9"/>
    <w:rsid w:val="052A6290"/>
    <w:rsid w:val="064BC978"/>
    <w:rsid w:val="0663E5C0"/>
    <w:rsid w:val="06E918D9"/>
    <w:rsid w:val="07762DE5"/>
    <w:rsid w:val="07B8A95D"/>
    <w:rsid w:val="07E3AA23"/>
    <w:rsid w:val="07ED3512"/>
    <w:rsid w:val="0810D171"/>
    <w:rsid w:val="0813AD0A"/>
    <w:rsid w:val="0815B750"/>
    <w:rsid w:val="08C4420F"/>
    <w:rsid w:val="095DE5A1"/>
    <w:rsid w:val="0AB808B6"/>
    <w:rsid w:val="0B023339"/>
    <w:rsid w:val="0B1A7A8D"/>
    <w:rsid w:val="0B2CF3D0"/>
    <w:rsid w:val="0B60C890"/>
    <w:rsid w:val="0B621578"/>
    <w:rsid w:val="0C68CB33"/>
    <w:rsid w:val="0D49BD3E"/>
    <w:rsid w:val="0DC267B2"/>
    <w:rsid w:val="0DDB1D5D"/>
    <w:rsid w:val="0E73B65D"/>
    <w:rsid w:val="0E8723E3"/>
    <w:rsid w:val="0EBF8DFF"/>
    <w:rsid w:val="0F0DE998"/>
    <w:rsid w:val="0FB77F55"/>
    <w:rsid w:val="107074CF"/>
    <w:rsid w:val="11343CAB"/>
    <w:rsid w:val="11F6429E"/>
    <w:rsid w:val="1249598A"/>
    <w:rsid w:val="1277A3B0"/>
    <w:rsid w:val="12B0C130"/>
    <w:rsid w:val="138C8C4B"/>
    <w:rsid w:val="14637765"/>
    <w:rsid w:val="14801AD8"/>
    <w:rsid w:val="14CF19B1"/>
    <w:rsid w:val="1537AC3B"/>
    <w:rsid w:val="155A345C"/>
    <w:rsid w:val="157CA070"/>
    <w:rsid w:val="1611702B"/>
    <w:rsid w:val="165496B4"/>
    <w:rsid w:val="16684494"/>
    <w:rsid w:val="16B95071"/>
    <w:rsid w:val="16E86617"/>
    <w:rsid w:val="179E7DD4"/>
    <w:rsid w:val="18AC7611"/>
    <w:rsid w:val="18F7CD45"/>
    <w:rsid w:val="19C18ECB"/>
    <w:rsid w:val="1A31AF18"/>
    <w:rsid w:val="1A366B99"/>
    <w:rsid w:val="1AD0C09B"/>
    <w:rsid w:val="1BF88153"/>
    <w:rsid w:val="1D0D9E88"/>
    <w:rsid w:val="1D6F1302"/>
    <w:rsid w:val="1DA4B675"/>
    <w:rsid w:val="1DAF5302"/>
    <w:rsid w:val="1DF07643"/>
    <w:rsid w:val="1E0550BE"/>
    <w:rsid w:val="1EBFC6A3"/>
    <w:rsid w:val="1EE0852A"/>
    <w:rsid w:val="1F85C8C4"/>
    <w:rsid w:val="1FB35A73"/>
    <w:rsid w:val="200A2CD0"/>
    <w:rsid w:val="202FFC93"/>
    <w:rsid w:val="20814EA8"/>
    <w:rsid w:val="20F46709"/>
    <w:rsid w:val="215D39EF"/>
    <w:rsid w:val="2167CFB7"/>
    <w:rsid w:val="2184FD98"/>
    <w:rsid w:val="21CE732C"/>
    <w:rsid w:val="21E79F20"/>
    <w:rsid w:val="221BF5AF"/>
    <w:rsid w:val="22728FF2"/>
    <w:rsid w:val="2285ADEA"/>
    <w:rsid w:val="22FF2A3F"/>
    <w:rsid w:val="236A1CA6"/>
    <w:rsid w:val="24429C92"/>
    <w:rsid w:val="2465D7A3"/>
    <w:rsid w:val="247C7FC8"/>
    <w:rsid w:val="24CCC5C1"/>
    <w:rsid w:val="24DF827A"/>
    <w:rsid w:val="25939D7B"/>
    <w:rsid w:val="26F0217A"/>
    <w:rsid w:val="2771EB27"/>
    <w:rsid w:val="27D5FEC0"/>
    <w:rsid w:val="2922370D"/>
    <w:rsid w:val="29CB8EF9"/>
    <w:rsid w:val="2A44F778"/>
    <w:rsid w:val="2B02FE72"/>
    <w:rsid w:val="2B4FA119"/>
    <w:rsid w:val="2BF85BD6"/>
    <w:rsid w:val="2D47FD2F"/>
    <w:rsid w:val="2D4F4C23"/>
    <w:rsid w:val="2D57C85C"/>
    <w:rsid w:val="2D86D365"/>
    <w:rsid w:val="2DBCFE27"/>
    <w:rsid w:val="2DD3D39B"/>
    <w:rsid w:val="2E2765D1"/>
    <w:rsid w:val="2E729BC8"/>
    <w:rsid w:val="2E9FD2C0"/>
    <w:rsid w:val="2EA9AF4F"/>
    <w:rsid w:val="2EC00ADF"/>
    <w:rsid w:val="2ED67753"/>
    <w:rsid w:val="2EDA3009"/>
    <w:rsid w:val="2EEE17FB"/>
    <w:rsid w:val="2F009A5C"/>
    <w:rsid w:val="30560506"/>
    <w:rsid w:val="30B5F58D"/>
    <w:rsid w:val="3159A10F"/>
    <w:rsid w:val="3213B39D"/>
    <w:rsid w:val="32E83612"/>
    <w:rsid w:val="3306AC47"/>
    <w:rsid w:val="33252ECB"/>
    <w:rsid w:val="348C92BE"/>
    <w:rsid w:val="34FDCE8D"/>
    <w:rsid w:val="35963496"/>
    <w:rsid w:val="35C7A50A"/>
    <w:rsid w:val="3676F050"/>
    <w:rsid w:val="36AA9F6D"/>
    <w:rsid w:val="36F51424"/>
    <w:rsid w:val="390EB1A1"/>
    <w:rsid w:val="3A0E53F9"/>
    <w:rsid w:val="3A1CD765"/>
    <w:rsid w:val="3AD952FD"/>
    <w:rsid w:val="3AE9D81E"/>
    <w:rsid w:val="3BB7592C"/>
    <w:rsid w:val="3D1B24A6"/>
    <w:rsid w:val="3D548D0A"/>
    <w:rsid w:val="3E08FFBC"/>
    <w:rsid w:val="3E2416B2"/>
    <w:rsid w:val="3EBBE432"/>
    <w:rsid w:val="40128545"/>
    <w:rsid w:val="4032DD12"/>
    <w:rsid w:val="404098F4"/>
    <w:rsid w:val="40968E09"/>
    <w:rsid w:val="40D430AB"/>
    <w:rsid w:val="41032526"/>
    <w:rsid w:val="41086EAA"/>
    <w:rsid w:val="42210850"/>
    <w:rsid w:val="4255C6E6"/>
    <w:rsid w:val="42ECEC75"/>
    <w:rsid w:val="43027DF5"/>
    <w:rsid w:val="4346BE8F"/>
    <w:rsid w:val="43A7FB51"/>
    <w:rsid w:val="43E79191"/>
    <w:rsid w:val="441287CD"/>
    <w:rsid w:val="449A3E22"/>
    <w:rsid w:val="44BF14AF"/>
    <w:rsid w:val="4522FE4A"/>
    <w:rsid w:val="4548D22A"/>
    <w:rsid w:val="4582CA7A"/>
    <w:rsid w:val="45C729F1"/>
    <w:rsid w:val="46427AB0"/>
    <w:rsid w:val="464F01EF"/>
    <w:rsid w:val="47023BD9"/>
    <w:rsid w:val="4778D747"/>
    <w:rsid w:val="4794B299"/>
    <w:rsid w:val="47D7E320"/>
    <w:rsid w:val="48BB02B4"/>
    <w:rsid w:val="48C3EB73"/>
    <w:rsid w:val="48CC0D18"/>
    <w:rsid w:val="48E19375"/>
    <w:rsid w:val="49B18F7D"/>
    <w:rsid w:val="4B35C7A3"/>
    <w:rsid w:val="4B3D68C1"/>
    <w:rsid w:val="4BF141B5"/>
    <w:rsid w:val="4C2C85B1"/>
    <w:rsid w:val="4CB53A07"/>
    <w:rsid w:val="4CB9FD1F"/>
    <w:rsid w:val="4CD9EA31"/>
    <w:rsid w:val="4E56A0CF"/>
    <w:rsid w:val="4E8236CA"/>
    <w:rsid w:val="4EE86AEB"/>
    <w:rsid w:val="4F52AE33"/>
    <w:rsid w:val="4FAF39E8"/>
    <w:rsid w:val="50FB6108"/>
    <w:rsid w:val="514B656B"/>
    <w:rsid w:val="52CD4DA6"/>
    <w:rsid w:val="52DAE35C"/>
    <w:rsid w:val="538CCD06"/>
    <w:rsid w:val="54377584"/>
    <w:rsid w:val="5524B234"/>
    <w:rsid w:val="56038738"/>
    <w:rsid w:val="5624D95A"/>
    <w:rsid w:val="566235C3"/>
    <w:rsid w:val="56E7CAB2"/>
    <w:rsid w:val="57B29DE4"/>
    <w:rsid w:val="57ECF05C"/>
    <w:rsid w:val="5818CC6F"/>
    <w:rsid w:val="5894C43D"/>
    <w:rsid w:val="58BDA650"/>
    <w:rsid w:val="58F10C76"/>
    <w:rsid w:val="59144D36"/>
    <w:rsid w:val="593ABA0D"/>
    <w:rsid w:val="59618FDA"/>
    <w:rsid w:val="5A11CB40"/>
    <w:rsid w:val="5A95DB88"/>
    <w:rsid w:val="5AD0CE48"/>
    <w:rsid w:val="5BBE88D9"/>
    <w:rsid w:val="5CB7971E"/>
    <w:rsid w:val="5CBAAB4B"/>
    <w:rsid w:val="5E7F3237"/>
    <w:rsid w:val="5EB863AD"/>
    <w:rsid w:val="5F2E7E93"/>
    <w:rsid w:val="5F309899"/>
    <w:rsid w:val="5F67938F"/>
    <w:rsid w:val="5FAEC5AD"/>
    <w:rsid w:val="61217025"/>
    <w:rsid w:val="615485D9"/>
    <w:rsid w:val="615DE947"/>
    <w:rsid w:val="61C34933"/>
    <w:rsid w:val="62B0B6A0"/>
    <w:rsid w:val="62DBB6BB"/>
    <w:rsid w:val="640D7DA4"/>
    <w:rsid w:val="641F5C0C"/>
    <w:rsid w:val="64A5ED82"/>
    <w:rsid w:val="64D7F49A"/>
    <w:rsid w:val="6552EBFB"/>
    <w:rsid w:val="65AF7A8A"/>
    <w:rsid w:val="68635EB9"/>
    <w:rsid w:val="68B189C1"/>
    <w:rsid w:val="6A67C971"/>
    <w:rsid w:val="6A68C1A8"/>
    <w:rsid w:val="6A733CA8"/>
    <w:rsid w:val="6AED86DC"/>
    <w:rsid w:val="6B279804"/>
    <w:rsid w:val="6B38375C"/>
    <w:rsid w:val="6B3E4E7C"/>
    <w:rsid w:val="6BB3DF65"/>
    <w:rsid w:val="6BB53525"/>
    <w:rsid w:val="6BDD9CC1"/>
    <w:rsid w:val="6BDE62D3"/>
    <w:rsid w:val="6C38780E"/>
    <w:rsid w:val="6D3E3A3A"/>
    <w:rsid w:val="6DBAE3E2"/>
    <w:rsid w:val="6E44BC61"/>
    <w:rsid w:val="6EEF3D38"/>
    <w:rsid w:val="6FAC4D50"/>
    <w:rsid w:val="6FD9A856"/>
    <w:rsid w:val="6FE4A78F"/>
    <w:rsid w:val="6FED6915"/>
    <w:rsid w:val="7157271C"/>
    <w:rsid w:val="71CA3769"/>
    <w:rsid w:val="723C04D9"/>
    <w:rsid w:val="726A72D1"/>
    <w:rsid w:val="731DAB75"/>
    <w:rsid w:val="732EFD83"/>
    <w:rsid w:val="733768EC"/>
    <w:rsid w:val="737B35D4"/>
    <w:rsid w:val="7402059D"/>
    <w:rsid w:val="7423EBFF"/>
    <w:rsid w:val="74689CEF"/>
    <w:rsid w:val="74804BE5"/>
    <w:rsid w:val="750ADDFE"/>
    <w:rsid w:val="75207127"/>
    <w:rsid w:val="759551FB"/>
    <w:rsid w:val="75EAD0DC"/>
    <w:rsid w:val="76074DC6"/>
    <w:rsid w:val="76110E51"/>
    <w:rsid w:val="761FFB25"/>
    <w:rsid w:val="77BC2E15"/>
    <w:rsid w:val="7830ACAC"/>
    <w:rsid w:val="78720FAA"/>
    <w:rsid w:val="78BEC215"/>
    <w:rsid w:val="79284085"/>
    <w:rsid w:val="7940C2C6"/>
    <w:rsid w:val="7990059B"/>
    <w:rsid w:val="79A528AB"/>
    <w:rsid w:val="7A983EA3"/>
    <w:rsid w:val="7B27227A"/>
    <w:rsid w:val="7B85B9E3"/>
    <w:rsid w:val="7C749CAB"/>
    <w:rsid w:val="7CFDF61F"/>
    <w:rsid w:val="7D1795F5"/>
    <w:rsid w:val="7D3A18CB"/>
    <w:rsid w:val="7DB5E3C0"/>
    <w:rsid w:val="7DCDE338"/>
    <w:rsid w:val="7E57D576"/>
    <w:rsid w:val="7EAB4958"/>
    <w:rsid w:val="7EC22074"/>
    <w:rsid w:val="7F3908AC"/>
    <w:rsid w:val="7F733B5B"/>
    <w:rsid w:val="7F871FC3"/>
    <w:rsid w:val="7F9AFE2E"/>
    <w:rsid w:val="7FBE45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ED2C"/>
  <w14:defaultImageDpi w14:val="32767"/>
  <w15:chartTrackingRefBased/>
  <w15:docId w15:val="{0155721D-3AAC-43CB-8D72-F2222040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49"/>
    <w:pPr>
      <w:spacing w:after="240" w:line="240" w:lineRule="auto"/>
    </w:pPr>
    <w:rPr>
      <w:rFonts w:eastAsia="Times New Roman" w:cs="Times New Roman"/>
      <w:szCs w:val="24"/>
    </w:rPr>
  </w:style>
  <w:style w:type="paragraph" w:styleId="Heading1">
    <w:name w:val="heading 1"/>
    <w:basedOn w:val="Normal"/>
    <w:next w:val="Normal"/>
    <w:link w:val="Heading1Char"/>
    <w:uiPriority w:val="9"/>
    <w:qFormat/>
    <w:rsid w:val="001375C2"/>
    <w:pPr>
      <w:keepNext/>
      <w:keepLines/>
      <w:numPr>
        <w:numId w:val="2"/>
      </w:numPr>
      <w:spacing w:before="240"/>
      <w:outlineLvl w:val="0"/>
    </w:pPr>
    <w:rPr>
      <w:rFonts w:ascii="Segoe UI Light" w:eastAsiaTheme="majorEastAsia" w:hAnsi="Segoe UI Light" w:cstheme="majorBidi"/>
      <w:b/>
      <w:color w:val="0B5294" w:themeColor="accent1" w:themeShade="BF"/>
      <w:sz w:val="36"/>
      <w:szCs w:val="32"/>
    </w:rPr>
  </w:style>
  <w:style w:type="paragraph" w:styleId="Heading2">
    <w:name w:val="heading 2"/>
    <w:basedOn w:val="Normal"/>
    <w:next w:val="Normal"/>
    <w:link w:val="Heading2Char"/>
    <w:uiPriority w:val="9"/>
    <w:unhideWhenUsed/>
    <w:qFormat/>
    <w:rsid w:val="0025535E"/>
    <w:pPr>
      <w:keepNext/>
      <w:keepLines/>
      <w:numPr>
        <w:ilvl w:val="1"/>
        <w:numId w:val="2"/>
      </w:numPr>
      <w:tabs>
        <w:tab w:val="left" w:pos="540"/>
      </w:tabs>
      <w:spacing w:before="40"/>
      <w:outlineLvl w:val="1"/>
    </w:pPr>
    <w:rPr>
      <w:rFonts w:ascii="Segoe UI" w:eastAsiaTheme="majorEastAsia" w:hAnsi="Segoe UI" w:cs="Segoe UI Light"/>
      <w:b/>
      <w:color w:val="0078D4"/>
      <w:sz w:val="28"/>
      <w:szCs w:val="26"/>
    </w:rPr>
  </w:style>
  <w:style w:type="paragraph" w:styleId="Heading3">
    <w:name w:val="heading 3"/>
    <w:basedOn w:val="Normal"/>
    <w:next w:val="Normal"/>
    <w:link w:val="Heading3Char"/>
    <w:autoRedefine/>
    <w:uiPriority w:val="9"/>
    <w:unhideWhenUsed/>
    <w:qFormat/>
    <w:rsid w:val="008310D3"/>
    <w:pPr>
      <w:keepNext/>
      <w:keepLines/>
      <w:numPr>
        <w:ilvl w:val="2"/>
        <w:numId w:val="2"/>
      </w:numPr>
      <w:tabs>
        <w:tab w:val="left" w:pos="900"/>
      </w:tabs>
      <w:spacing w:before="240" w:after="120"/>
      <w:outlineLvl w:val="2"/>
    </w:pPr>
    <w:rPr>
      <w:rFonts w:ascii="Segoe UI" w:hAnsi="Segoe UI" w:cs="Segoe UI Semibold"/>
      <w:b/>
      <w:color w:val="0F6FC6" w:themeColor="accent1"/>
      <w:sz w:val="24"/>
    </w:rPr>
  </w:style>
  <w:style w:type="paragraph" w:styleId="Heading4">
    <w:name w:val="heading 4"/>
    <w:basedOn w:val="Normal"/>
    <w:next w:val="Normal"/>
    <w:link w:val="Heading4Char"/>
    <w:uiPriority w:val="9"/>
    <w:unhideWhenUsed/>
    <w:qFormat/>
    <w:rsid w:val="004529CD"/>
    <w:pPr>
      <w:keepNext/>
      <w:keepLines/>
      <w:numPr>
        <w:ilvl w:val="3"/>
        <w:numId w:val="2"/>
      </w:numPr>
      <w:spacing w:after="60"/>
      <w:outlineLvl w:val="3"/>
    </w:pPr>
    <w:rPr>
      <w:rFonts w:ascii="Segoe UI" w:eastAsiaTheme="majorEastAsia" w:hAnsi="Segoe UI" w:cstheme="minorHAnsi"/>
      <w:color w:val="0000FF"/>
      <w:sz w:val="20"/>
    </w:rPr>
  </w:style>
  <w:style w:type="paragraph" w:styleId="Heading5">
    <w:name w:val="heading 5"/>
    <w:basedOn w:val="Normal"/>
    <w:next w:val="Normal"/>
    <w:link w:val="Heading5Char"/>
    <w:uiPriority w:val="9"/>
    <w:unhideWhenUsed/>
    <w:qFormat/>
    <w:rsid w:val="00D0233A"/>
    <w:pPr>
      <w:keepNext/>
      <w:keepLines/>
      <w:numPr>
        <w:ilvl w:val="4"/>
        <w:numId w:val="2"/>
      </w:numPr>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unhideWhenUsed/>
    <w:qFormat/>
    <w:rsid w:val="00257163"/>
    <w:pPr>
      <w:keepNext/>
      <w:keepLines/>
      <w:numPr>
        <w:ilvl w:val="5"/>
        <w:numId w:val="2"/>
      </w:numPr>
      <w:outlineLvl w:val="5"/>
    </w:pPr>
    <w:rPr>
      <w:rFonts w:eastAsiaTheme="majorEastAsia" w:cstheme="majorBidi"/>
      <w:color w:val="000000"/>
    </w:rPr>
  </w:style>
  <w:style w:type="paragraph" w:styleId="Heading7">
    <w:name w:val="heading 7"/>
    <w:basedOn w:val="Normal"/>
    <w:next w:val="Normal"/>
    <w:link w:val="Heading7Char"/>
    <w:uiPriority w:val="9"/>
    <w:semiHidden/>
    <w:unhideWhenUsed/>
    <w:qFormat/>
    <w:rsid w:val="00257163"/>
    <w:pPr>
      <w:keepNext/>
      <w:keepLines/>
      <w:numPr>
        <w:ilvl w:val="6"/>
        <w:numId w:val="2"/>
      </w:numPr>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25716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16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35E"/>
    <w:rPr>
      <w:rFonts w:ascii="Segoe UI" w:eastAsiaTheme="majorEastAsia" w:hAnsi="Segoe UI" w:cs="Segoe UI Light"/>
      <w:b/>
      <w:color w:val="0078D4"/>
      <w:sz w:val="28"/>
      <w:szCs w:val="26"/>
    </w:rPr>
  </w:style>
  <w:style w:type="character" w:customStyle="1" w:styleId="Heading3Char">
    <w:name w:val="Heading 3 Char"/>
    <w:basedOn w:val="DefaultParagraphFont"/>
    <w:link w:val="Heading3"/>
    <w:uiPriority w:val="9"/>
    <w:rsid w:val="008310D3"/>
    <w:rPr>
      <w:rFonts w:ascii="Segoe UI" w:eastAsia="Times New Roman" w:hAnsi="Segoe UI" w:cs="Segoe UI Semibold"/>
      <w:b/>
      <w:color w:val="0F6FC6" w:themeColor="accent1"/>
      <w:sz w:val="24"/>
      <w:szCs w:val="24"/>
    </w:rPr>
  </w:style>
  <w:style w:type="character" w:customStyle="1" w:styleId="Heading6Char">
    <w:name w:val="Heading 6 Char"/>
    <w:basedOn w:val="DefaultParagraphFont"/>
    <w:link w:val="Heading6"/>
    <w:uiPriority w:val="9"/>
    <w:rsid w:val="00257163"/>
    <w:rPr>
      <w:rFonts w:eastAsiaTheme="majorEastAsia" w:cstheme="majorBidi"/>
      <w:color w:val="000000"/>
      <w:szCs w:val="24"/>
    </w:rPr>
  </w:style>
  <w:style w:type="character" w:customStyle="1" w:styleId="Heading7Char">
    <w:name w:val="Heading 7 Char"/>
    <w:basedOn w:val="DefaultParagraphFont"/>
    <w:link w:val="Heading7"/>
    <w:uiPriority w:val="9"/>
    <w:semiHidden/>
    <w:rsid w:val="00257163"/>
    <w:rPr>
      <w:rFonts w:asciiTheme="majorHAnsi" w:eastAsiaTheme="majorEastAsia" w:hAnsiTheme="majorHAnsi" w:cstheme="majorBidi"/>
      <w:i/>
      <w:iCs/>
      <w:color w:val="073662" w:themeColor="accent1" w:themeShade="7F"/>
      <w:szCs w:val="24"/>
    </w:rPr>
  </w:style>
  <w:style w:type="character" w:customStyle="1" w:styleId="Heading8Char">
    <w:name w:val="Heading 8 Char"/>
    <w:basedOn w:val="DefaultParagraphFont"/>
    <w:link w:val="Heading8"/>
    <w:uiPriority w:val="9"/>
    <w:semiHidden/>
    <w:rsid w:val="002571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163"/>
    <w:rPr>
      <w:rFonts w:asciiTheme="majorHAnsi" w:eastAsiaTheme="majorEastAsia" w:hAnsiTheme="majorHAnsi"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257163"/>
    <w:pPr>
      <w:ind w:left="720"/>
      <w:contextualSpacing/>
    </w:pPr>
  </w:style>
  <w:style w:type="table" w:styleId="TableGrid">
    <w:name w:val="Table Grid"/>
    <w:basedOn w:val="TableNormal"/>
    <w:uiPriority w:val="39"/>
    <w:rsid w:val="002571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Bullet Number Char,List Paragraph1 Char,lp11 Char,List Paragraph11 Char,Bullet 1 Char,Use Case List Paragraph Char,Bullet List Char,FooterText Char,numbered Char,Paragraphe de liste1 Char,Bulletr List Paragraph Char"/>
    <w:basedOn w:val="DefaultParagraphFont"/>
    <w:link w:val="ListParagraph"/>
    <w:uiPriority w:val="34"/>
    <w:locked/>
    <w:rsid w:val="00257163"/>
    <w:rPr>
      <w:rFonts w:eastAsiaTheme="minorEastAsia"/>
      <w:lang w:eastAsia="ja-JP"/>
    </w:rPr>
  </w:style>
  <w:style w:type="character" w:customStyle="1" w:styleId="Heading1Char">
    <w:name w:val="Heading 1 Char"/>
    <w:basedOn w:val="DefaultParagraphFont"/>
    <w:link w:val="Heading1"/>
    <w:uiPriority w:val="9"/>
    <w:rsid w:val="001375C2"/>
    <w:rPr>
      <w:rFonts w:ascii="Segoe UI Light" w:eastAsiaTheme="majorEastAsia" w:hAnsi="Segoe UI Light" w:cstheme="majorBidi"/>
      <w:b/>
      <w:color w:val="0B5294" w:themeColor="accent1" w:themeShade="BF"/>
      <w:sz w:val="36"/>
      <w:szCs w:val="32"/>
    </w:rPr>
  </w:style>
  <w:style w:type="paragraph" w:styleId="TOCHeading">
    <w:name w:val="TOC Heading"/>
    <w:basedOn w:val="Heading1"/>
    <w:next w:val="Normal"/>
    <w:uiPriority w:val="39"/>
    <w:unhideWhenUsed/>
    <w:qFormat/>
    <w:rsid w:val="00106CAD"/>
    <w:pPr>
      <w:outlineLvl w:val="9"/>
    </w:pPr>
  </w:style>
  <w:style w:type="paragraph" w:styleId="TOC2">
    <w:name w:val="toc 2"/>
    <w:basedOn w:val="Normal"/>
    <w:next w:val="Normal"/>
    <w:autoRedefine/>
    <w:uiPriority w:val="39"/>
    <w:unhideWhenUsed/>
    <w:rsid w:val="00106CAD"/>
    <w:pPr>
      <w:spacing w:after="100"/>
      <w:ind w:left="220"/>
    </w:pPr>
  </w:style>
  <w:style w:type="character" w:styleId="Hyperlink">
    <w:name w:val="Hyperlink"/>
    <w:basedOn w:val="DefaultParagraphFont"/>
    <w:uiPriority w:val="99"/>
    <w:unhideWhenUsed/>
    <w:rsid w:val="00106CAD"/>
    <w:rPr>
      <w:color w:val="F49100" w:themeColor="hyperlink"/>
      <w:u w:val="single"/>
    </w:rPr>
  </w:style>
  <w:style w:type="character" w:customStyle="1" w:styleId="Heading4Char">
    <w:name w:val="Heading 4 Char"/>
    <w:basedOn w:val="DefaultParagraphFont"/>
    <w:link w:val="Heading4"/>
    <w:uiPriority w:val="9"/>
    <w:rsid w:val="004529CD"/>
    <w:rPr>
      <w:rFonts w:ascii="Segoe UI" w:eastAsiaTheme="majorEastAsia" w:hAnsi="Segoe UI" w:cstheme="minorHAnsi"/>
      <w:color w:val="0000FF"/>
      <w:sz w:val="20"/>
      <w:szCs w:val="24"/>
    </w:rPr>
  </w:style>
  <w:style w:type="character" w:customStyle="1" w:styleId="normaltextrun">
    <w:name w:val="normaltextrun"/>
    <w:basedOn w:val="DefaultParagraphFont"/>
    <w:rsid w:val="0009318D"/>
  </w:style>
  <w:style w:type="character" w:customStyle="1" w:styleId="eop">
    <w:name w:val="eop"/>
    <w:basedOn w:val="DefaultParagraphFont"/>
    <w:rsid w:val="0009318D"/>
  </w:style>
  <w:style w:type="paragraph" w:styleId="TOC1">
    <w:name w:val="toc 1"/>
    <w:basedOn w:val="Normal"/>
    <w:next w:val="Normal"/>
    <w:autoRedefine/>
    <w:uiPriority w:val="39"/>
    <w:unhideWhenUsed/>
    <w:rsid w:val="003E581E"/>
    <w:pPr>
      <w:tabs>
        <w:tab w:val="left" w:pos="440"/>
        <w:tab w:val="right" w:leader="dot" w:pos="10423"/>
      </w:tabs>
      <w:spacing w:after="100"/>
    </w:pPr>
  </w:style>
  <w:style w:type="paragraph" w:styleId="TOC3">
    <w:name w:val="toc 3"/>
    <w:basedOn w:val="Normal"/>
    <w:next w:val="Normal"/>
    <w:autoRedefine/>
    <w:uiPriority w:val="39"/>
    <w:unhideWhenUsed/>
    <w:rsid w:val="00B16099"/>
    <w:pPr>
      <w:spacing w:after="100"/>
      <w:ind w:left="440"/>
    </w:pPr>
  </w:style>
  <w:style w:type="character" w:styleId="CommentReference">
    <w:name w:val="annotation reference"/>
    <w:basedOn w:val="DefaultParagraphFont"/>
    <w:uiPriority w:val="99"/>
    <w:semiHidden/>
    <w:unhideWhenUsed/>
    <w:rsid w:val="00A5274B"/>
    <w:rPr>
      <w:sz w:val="16"/>
      <w:szCs w:val="16"/>
    </w:rPr>
  </w:style>
  <w:style w:type="paragraph" w:styleId="CommentText">
    <w:name w:val="annotation text"/>
    <w:basedOn w:val="Normal"/>
    <w:link w:val="CommentTextChar"/>
    <w:uiPriority w:val="99"/>
    <w:unhideWhenUsed/>
    <w:rsid w:val="00A5274B"/>
    <w:rPr>
      <w:sz w:val="20"/>
      <w:szCs w:val="20"/>
    </w:rPr>
  </w:style>
  <w:style w:type="character" w:customStyle="1" w:styleId="CommentTextChar">
    <w:name w:val="Comment Text Char"/>
    <w:basedOn w:val="DefaultParagraphFont"/>
    <w:link w:val="CommentText"/>
    <w:uiPriority w:val="99"/>
    <w:rsid w:val="00A52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74B"/>
    <w:rPr>
      <w:b/>
      <w:bCs/>
    </w:rPr>
  </w:style>
  <w:style w:type="character" w:customStyle="1" w:styleId="CommentSubjectChar">
    <w:name w:val="Comment Subject Char"/>
    <w:basedOn w:val="CommentTextChar"/>
    <w:link w:val="CommentSubject"/>
    <w:uiPriority w:val="99"/>
    <w:semiHidden/>
    <w:rsid w:val="00A5274B"/>
    <w:rPr>
      <w:rFonts w:ascii="Times New Roman" w:eastAsiaTheme="minorEastAsia" w:hAnsi="Times New Roman" w:cs="Times New Roman"/>
      <w:b/>
      <w:bCs/>
      <w:sz w:val="20"/>
      <w:szCs w:val="20"/>
      <w:lang w:eastAsia="ja-JP"/>
    </w:rPr>
  </w:style>
  <w:style w:type="paragraph" w:styleId="BalloonText">
    <w:name w:val="Balloon Text"/>
    <w:basedOn w:val="Normal"/>
    <w:link w:val="BalloonTextChar"/>
    <w:uiPriority w:val="99"/>
    <w:semiHidden/>
    <w:unhideWhenUsed/>
    <w:rsid w:val="00A52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74B"/>
    <w:rPr>
      <w:rFonts w:ascii="Segoe UI" w:eastAsia="Times New Roman" w:hAnsi="Segoe UI" w:cs="Segoe UI"/>
      <w:sz w:val="18"/>
      <w:szCs w:val="18"/>
    </w:rPr>
  </w:style>
  <w:style w:type="paragraph" w:styleId="NormalWeb">
    <w:name w:val="Normal (Web)"/>
    <w:basedOn w:val="Normal"/>
    <w:uiPriority w:val="99"/>
    <w:unhideWhenUsed/>
    <w:rsid w:val="00A5274B"/>
    <w:pPr>
      <w:spacing w:before="100" w:beforeAutospacing="1" w:after="100" w:afterAutospacing="1"/>
    </w:pPr>
  </w:style>
  <w:style w:type="paragraph" w:customStyle="1" w:styleId="paragraph">
    <w:name w:val="paragraph"/>
    <w:basedOn w:val="Normal"/>
    <w:rsid w:val="00032FA3"/>
    <w:pPr>
      <w:spacing w:before="100" w:beforeAutospacing="1" w:after="100" w:afterAutospacing="1"/>
    </w:pPr>
  </w:style>
  <w:style w:type="character" w:customStyle="1" w:styleId="scxw107351417">
    <w:name w:val="scxw107351417"/>
    <w:basedOn w:val="DefaultParagraphFont"/>
    <w:rsid w:val="00AB2093"/>
  </w:style>
  <w:style w:type="character" w:customStyle="1" w:styleId="Heading5Char">
    <w:name w:val="Heading 5 Char"/>
    <w:basedOn w:val="DefaultParagraphFont"/>
    <w:link w:val="Heading5"/>
    <w:uiPriority w:val="9"/>
    <w:rsid w:val="00D0233A"/>
    <w:rPr>
      <w:rFonts w:asciiTheme="majorHAnsi" w:eastAsiaTheme="majorEastAsia" w:hAnsiTheme="majorHAnsi" w:cstheme="majorBidi"/>
      <w:color w:val="0B5294" w:themeColor="accent1" w:themeShade="BF"/>
      <w:szCs w:val="24"/>
    </w:rPr>
  </w:style>
  <w:style w:type="character" w:styleId="Strong">
    <w:name w:val="Strong"/>
    <w:basedOn w:val="DefaultParagraphFont"/>
    <w:uiPriority w:val="22"/>
    <w:qFormat/>
    <w:rsid w:val="00AD4D6B"/>
    <w:rPr>
      <w:b/>
      <w:bCs/>
    </w:rPr>
  </w:style>
  <w:style w:type="character" w:styleId="Emphasis">
    <w:name w:val="Emphasis"/>
    <w:basedOn w:val="DefaultParagraphFont"/>
    <w:uiPriority w:val="20"/>
    <w:qFormat/>
    <w:rsid w:val="00CF7434"/>
    <w:rPr>
      <w:i/>
      <w:iCs/>
    </w:rPr>
  </w:style>
  <w:style w:type="paragraph" w:styleId="NoSpacing">
    <w:name w:val="No Spacing"/>
    <w:uiPriority w:val="1"/>
    <w:qFormat/>
    <w:rsid w:val="002C1675"/>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7040F6"/>
    <w:pPr>
      <w:spacing w:after="0"/>
      <w:contextualSpacing/>
    </w:pPr>
    <w:rPr>
      <w:rFonts w:eastAsiaTheme="majorEastAsia" w:cstheme="majorBidi"/>
      <w:spacing w:val="-6"/>
      <w:kern w:val="28"/>
      <w:sz w:val="56"/>
      <w:szCs w:val="56"/>
      <w:lang w:eastAsia="ja-JP"/>
    </w:rPr>
  </w:style>
  <w:style w:type="character" w:customStyle="1" w:styleId="TitleChar">
    <w:name w:val="Title Char"/>
    <w:basedOn w:val="DefaultParagraphFont"/>
    <w:link w:val="Title"/>
    <w:uiPriority w:val="10"/>
    <w:rsid w:val="007040F6"/>
    <w:rPr>
      <w:rFonts w:eastAsiaTheme="majorEastAsia" w:cstheme="majorBidi"/>
      <w:spacing w:val="-6"/>
      <w:kern w:val="28"/>
      <w:sz w:val="56"/>
      <w:szCs w:val="56"/>
      <w:lang w:eastAsia="ja-JP"/>
    </w:rPr>
  </w:style>
  <w:style w:type="table" w:styleId="ListTable3-Accent1">
    <w:name w:val="List Table 3 Accent 1"/>
    <w:basedOn w:val="TableNormal"/>
    <w:uiPriority w:val="48"/>
    <w:rsid w:val="007040F6"/>
    <w:pPr>
      <w:spacing w:after="0" w:line="240" w:lineRule="auto"/>
    </w:pPr>
    <w:rPr>
      <w:rFonts w:eastAsiaTheme="minorEastAsia"/>
      <w:lang w:eastAsia="ja-JP"/>
    </w:rPr>
    <w:tblPr>
      <w:tblStyleRowBandSize w:val="1"/>
      <w:tblStyleColBandSize w:val="1"/>
      <w:tblInd w:w="0" w:type="nil"/>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character" w:styleId="UnresolvedMention">
    <w:name w:val="Unresolved Mention"/>
    <w:basedOn w:val="DefaultParagraphFont"/>
    <w:uiPriority w:val="99"/>
    <w:semiHidden/>
    <w:unhideWhenUsed/>
    <w:rsid w:val="00311C91"/>
    <w:rPr>
      <w:color w:val="605E5C"/>
      <w:shd w:val="clear" w:color="auto" w:fill="E1DFDD"/>
    </w:rPr>
  </w:style>
  <w:style w:type="paragraph" w:styleId="Revision">
    <w:name w:val="Revision"/>
    <w:hidden/>
    <w:uiPriority w:val="99"/>
    <w:semiHidden/>
    <w:rsid w:val="00A87346"/>
    <w:pPr>
      <w:spacing w:after="0" w:line="240" w:lineRule="auto"/>
    </w:pPr>
    <w:rPr>
      <w:rFonts w:eastAsia="Times New Roman" w:cs="Times New Roman"/>
      <w:szCs w:val="24"/>
    </w:rPr>
  </w:style>
  <w:style w:type="paragraph" w:styleId="Header">
    <w:name w:val="header"/>
    <w:basedOn w:val="Normal"/>
    <w:link w:val="HeaderChar"/>
    <w:uiPriority w:val="99"/>
    <w:unhideWhenUsed/>
    <w:rsid w:val="00863FDA"/>
    <w:pPr>
      <w:tabs>
        <w:tab w:val="center" w:pos="4680"/>
        <w:tab w:val="right" w:pos="9360"/>
      </w:tabs>
      <w:spacing w:after="0"/>
    </w:pPr>
  </w:style>
  <w:style w:type="character" w:customStyle="1" w:styleId="HeaderChar">
    <w:name w:val="Header Char"/>
    <w:basedOn w:val="DefaultParagraphFont"/>
    <w:link w:val="Header"/>
    <w:uiPriority w:val="99"/>
    <w:rsid w:val="00863FDA"/>
    <w:rPr>
      <w:rFonts w:eastAsia="Times New Roman" w:cs="Times New Roman"/>
      <w:szCs w:val="24"/>
    </w:rPr>
  </w:style>
  <w:style w:type="paragraph" w:styleId="Footer">
    <w:name w:val="footer"/>
    <w:basedOn w:val="Normal"/>
    <w:link w:val="FooterChar"/>
    <w:uiPriority w:val="99"/>
    <w:unhideWhenUsed/>
    <w:rsid w:val="00863FDA"/>
    <w:pPr>
      <w:tabs>
        <w:tab w:val="center" w:pos="4680"/>
        <w:tab w:val="right" w:pos="9360"/>
      </w:tabs>
      <w:spacing w:after="0"/>
    </w:pPr>
  </w:style>
  <w:style w:type="character" w:customStyle="1" w:styleId="FooterChar">
    <w:name w:val="Footer Char"/>
    <w:basedOn w:val="DefaultParagraphFont"/>
    <w:link w:val="Footer"/>
    <w:uiPriority w:val="99"/>
    <w:rsid w:val="00863FDA"/>
    <w:rPr>
      <w:rFonts w:eastAsia="Times New Roman" w:cs="Times New Roman"/>
      <w:szCs w:val="24"/>
    </w:rPr>
  </w:style>
  <w:style w:type="character" w:styleId="FollowedHyperlink">
    <w:name w:val="FollowedHyperlink"/>
    <w:basedOn w:val="DefaultParagraphFont"/>
    <w:uiPriority w:val="99"/>
    <w:semiHidden/>
    <w:unhideWhenUsed/>
    <w:rsid w:val="00355F4B"/>
    <w:rPr>
      <w:color w:val="85DFD0" w:themeColor="followedHyperlink"/>
      <w:u w:val="single"/>
    </w:rPr>
  </w:style>
  <w:style w:type="paragraph" w:styleId="Subtitle">
    <w:name w:val="Subtitle"/>
    <w:basedOn w:val="Normal"/>
    <w:next w:val="Normal"/>
    <w:link w:val="SubtitleChar"/>
    <w:uiPriority w:val="11"/>
    <w:qFormat/>
    <w:rsid w:val="00AF1888"/>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AF1888"/>
    <w:rPr>
      <w:rFonts w:eastAsiaTheme="minorEastAsia"/>
      <w:color w:val="5A5A5A" w:themeColor="text1" w:themeTint="A5"/>
      <w:spacing w:val="15"/>
    </w:rPr>
  </w:style>
  <w:style w:type="paragraph" w:styleId="BodyText">
    <w:name w:val="Body Text"/>
    <w:basedOn w:val="Normal"/>
    <w:link w:val="BodyTextChar"/>
    <w:rsid w:val="00795897"/>
    <w:pPr>
      <w:spacing w:before="120" w:after="120" w:line="280" w:lineRule="exact"/>
      <w:jc w:val="both"/>
    </w:pPr>
    <w:rPr>
      <w:szCs w:val="20"/>
    </w:rPr>
  </w:style>
  <w:style w:type="character" w:customStyle="1" w:styleId="BodyTextChar">
    <w:name w:val="Body Text Char"/>
    <w:basedOn w:val="DefaultParagraphFont"/>
    <w:link w:val="BodyText"/>
    <w:rsid w:val="00795897"/>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5975">
      <w:bodyDiv w:val="1"/>
      <w:marLeft w:val="0"/>
      <w:marRight w:val="0"/>
      <w:marTop w:val="0"/>
      <w:marBottom w:val="0"/>
      <w:divBdr>
        <w:top w:val="none" w:sz="0" w:space="0" w:color="auto"/>
        <w:left w:val="none" w:sz="0" w:space="0" w:color="auto"/>
        <w:bottom w:val="none" w:sz="0" w:space="0" w:color="auto"/>
        <w:right w:val="none" w:sz="0" w:space="0" w:color="auto"/>
      </w:divBdr>
      <w:divsChild>
        <w:div w:id="1063798906">
          <w:marLeft w:val="0"/>
          <w:marRight w:val="0"/>
          <w:marTop w:val="0"/>
          <w:marBottom w:val="0"/>
          <w:divBdr>
            <w:top w:val="none" w:sz="0" w:space="0" w:color="auto"/>
            <w:left w:val="none" w:sz="0" w:space="0" w:color="auto"/>
            <w:bottom w:val="none" w:sz="0" w:space="0" w:color="auto"/>
            <w:right w:val="none" w:sz="0" w:space="0" w:color="auto"/>
          </w:divBdr>
        </w:div>
      </w:divsChild>
    </w:div>
    <w:div w:id="37559277">
      <w:bodyDiv w:val="1"/>
      <w:marLeft w:val="0"/>
      <w:marRight w:val="0"/>
      <w:marTop w:val="0"/>
      <w:marBottom w:val="0"/>
      <w:divBdr>
        <w:top w:val="none" w:sz="0" w:space="0" w:color="auto"/>
        <w:left w:val="none" w:sz="0" w:space="0" w:color="auto"/>
        <w:bottom w:val="none" w:sz="0" w:space="0" w:color="auto"/>
        <w:right w:val="none" w:sz="0" w:space="0" w:color="auto"/>
      </w:divBdr>
      <w:divsChild>
        <w:div w:id="694572959">
          <w:marLeft w:val="0"/>
          <w:marRight w:val="0"/>
          <w:marTop w:val="0"/>
          <w:marBottom w:val="0"/>
          <w:divBdr>
            <w:top w:val="none" w:sz="0" w:space="0" w:color="auto"/>
            <w:left w:val="none" w:sz="0" w:space="0" w:color="auto"/>
            <w:bottom w:val="none" w:sz="0" w:space="0" w:color="auto"/>
            <w:right w:val="none" w:sz="0" w:space="0" w:color="auto"/>
          </w:divBdr>
        </w:div>
      </w:divsChild>
    </w:div>
    <w:div w:id="108936825">
      <w:bodyDiv w:val="1"/>
      <w:marLeft w:val="0"/>
      <w:marRight w:val="0"/>
      <w:marTop w:val="0"/>
      <w:marBottom w:val="0"/>
      <w:divBdr>
        <w:top w:val="none" w:sz="0" w:space="0" w:color="auto"/>
        <w:left w:val="none" w:sz="0" w:space="0" w:color="auto"/>
        <w:bottom w:val="none" w:sz="0" w:space="0" w:color="auto"/>
        <w:right w:val="none" w:sz="0" w:space="0" w:color="auto"/>
      </w:divBdr>
      <w:divsChild>
        <w:div w:id="255410668">
          <w:marLeft w:val="0"/>
          <w:marRight w:val="0"/>
          <w:marTop w:val="0"/>
          <w:marBottom w:val="0"/>
          <w:divBdr>
            <w:top w:val="none" w:sz="0" w:space="0" w:color="auto"/>
            <w:left w:val="none" w:sz="0" w:space="0" w:color="auto"/>
            <w:bottom w:val="none" w:sz="0" w:space="0" w:color="auto"/>
            <w:right w:val="none" w:sz="0" w:space="0" w:color="auto"/>
          </w:divBdr>
          <w:divsChild>
            <w:div w:id="448814724">
              <w:marLeft w:val="0"/>
              <w:marRight w:val="0"/>
              <w:marTop w:val="0"/>
              <w:marBottom w:val="0"/>
              <w:divBdr>
                <w:top w:val="none" w:sz="0" w:space="0" w:color="auto"/>
                <w:left w:val="none" w:sz="0" w:space="0" w:color="auto"/>
                <w:bottom w:val="none" w:sz="0" w:space="0" w:color="auto"/>
                <w:right w:val="none" w:sz="0" w:space="0" w:color="auto"/>
              </w:divBdr>
            </w:div>
          </w:divsChild>
        </w:div>
        <w:div w:id="661542326">
          <w:marLeft w:val="0"/>
          <w:marRight w:val="0"/>
          <w:marTop w:val="0"/>
          <w:marBottom w:val="0"/>
          <w:divBdr>
            <w:top w:val="none" w:sz="0" w:space="0" w:color="auto"/>
            <w:left w:val="none" w:sz="0" w:space="0" w:color="auto"/>
            <w:bottom w:val="none" w:sz="0" w:space="0" w:color="auto"/>
            <w:right w:val="none" w:sz="0" w:space="0" w:color="auto"/>
          </w:divBdr>
          <w:divsChild>
            <w:div w:id="693653149">
              <w:marLeft w:val="0"/>
              <w:marRight w:val="0"/>
              <w:marTop w:val="0"/>
              <w:marBottom w:val="0"/>
              <w:divBdr>
                <w:top w:val="none" w:sz="0" w:space="0" w:color="auto"/>
                <w:left w:val="none" w:sz="0" w:space="0" w:color="auto"/>
                <w:bottom w:val="none" w:sz="0" w:space="0" w:color="auto"/>
                <w:right w:val="none" w:sz="0" w:space="0" w:color="auto"/>
              </w:divBdr>
            </w:div>
            <w:div w:id="1264261900">
              <w:marLeft w:val="0"/>
              <w:marRight w:val="0"/>
              <w:marTop w:val="0"/>
              <w:marBottom w:val="0"/>
              <w:divBdr>
                <w:top w:val="none" w:sz="0" w:space="0" w:color="auto"/>
                <w:left w:val="none" w:sz="0" w:space="0" w:color="auto"/>
                <w:bottom w:val="none" w:sz="0" w:space="0" w:color="auto"/>
                <w:right w:val="none" w:sz="0" w:space="0" w:color="auto"/>
              </w:divBdr>
            </w:div>
            <w:div w:id="1597054642">
              <w:marLeft w:val="0"/>
              <w:marRight w:val="0"/>
              <w:marTop w:val="0"/>
              <w:marBottom w:val="0"/>
              <w:divBdr>
                <w:top w:val="none" w:sz="0" w:space="0" w:color="auto"/>
                <w:left w:val="none" w:sz="0" w:space="0" w:color="auto"/>
                <w:bottom w:val="none" w:sz="0" w:space="0" w:color="auto"/>
                <w:right w:val="none" w:sz="0" w:space="0" w:color="auto"/>
              </w:divBdr>
            </w:div>
            <w:div w:id="1981491930">
              <w:marLeft w:val="0"/>
              <w:marRight w:val="0"/>
              <w:marTop w:val="0"/>
              <w:marBottom w:val="0"/>
              <w:divBdr>
                <w:top w:val="none" w:sz="0" w:space="0" w:color="auto"/>
                <w:left w:val="none" w:sz="0" w:space="0" w:color="auto"/>
                <w:bottom w:val="none" w:sz="0" w:space="0" w:color="auto"/>
                <w:right w:val="none" w:sz="0" w:space="0" w:color="auto"/>
              </w:divBdr>
            </w:div>
            <w:div w:id="2039692681">
              <w:marLeft w:val="0"/>
              <w:marRight w:val="0"/>
              <w:marTop w:val="0"/>
              <w:marBottom w:val="0"/>
              <w:divBdr>
                <w:top w:val="none" w:sz="0" w:space="0" w:color="auto"/>
                <w:left w:val="none" w:sz="0" w:space="0" w:color="auto"/>
                <w:bottom w:val="none" w:sz="0" w:space="0" w:color="auto"/>
                <w:right w:val="none" w:sz="0" w:space="0" w:color="auto"/>
              </w:divBdr>
            </w:div>
          </w:divsChild>
        </w:div>
        <w:div w:id="1835753769">
          <w:marLeft w:val="0"/>
          <w:marRight w:val="0"/>
          <w:marTop w:val="0"/>
          <w:marBottom w:val="0"/>
          <w:divBdr>
            <w:top w:val="none" w:sz="0" w:space="0" w:color="auto"/>
            <w:left w:val="none" w:sz="0" w:space="0" w:color="auto"/>
            <w:bottom w:val="none" w:sz="0" w:space="0" w:color="auto"/>
            <w:right w:val="none" w:sz="0" w:space="0" w:color="auto"/>
          </w:divBdr>
          <w:divsChild>
            <w:div w:id="18487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887">
      <w:bodyDiv w:val="1"/>
      <w:marLeft w:val="0"/>
      <w:marRight w:val="0"/>
      <w:marTop w:val="0"/>
      <w:marBottom w:val="0"/>
      <w:divBdr>
        <w:top w:val="none" w:sz="0" w:space="0" w:color="auto"/>
        <w:left w:val="none" w:sz="0" w:space="0" w:color="auto"/>
        <w:bottom w:val="none" w:sz="0" w:space="0" w:color="auto"/>
        <w:right w:val="none" w:sz="0" w:space="0" w:color="auto"/>
      </w:divBdr>
    </w:div>
    <w:div w:id="148713337">
      <w:bodyDiv w:val="1"/>
      <w:marLeft w:val="0"/>
      <w:marRight w:val="0"/>
      <w:marTop w:val="0"/>
      <w:marBottom w:val="0"/>
      <w:divBdr>
        <w:top w:val="none" w:sz="0" w:space="0" w:color="auto"/>
        <w:left w:val="none" w:sz="0" w:space="0" w:color="auto"/>
        <w:bottom w:val="none" w:sz="0" w:space="0" w:color="auto"/>
        <w:right w:val="none" w:sz="0" w:space="0" w:color="auto"/>
      </w:divBdr>
      <w:divsChild>
        <w:div w:id="390885866">
          <w:marLeft w:val="0"/>
          <w:marRight w:val="0"/>
          <w:marTop w:val="0"/>
          <w:marBottom w:val="0"/>
          <w:divBdr>
            <w:top w:val="none" w:sz="0" w:space="0" w:color="auto"/>
            <w:left w:val="none" w:sz="0" w:space="0" w:color="auto"/>
            <w:bottom w:val="none" w:sz="0" w:space="0" w:color="auto"/>
            <w:right w:val="none" w:sz="0" w:space="0" w:color="auto"/>
          </w:divBdr>
          <w:divsChild>
            <w:div w:id="295334873">
              <w:marLeft w:val="0"/>
              <w:marRight w:val="0"/>
              <w:marTop w:val="0"/>
              <w:marBottom w:val="0"/>
              <w:divBdr>
                <w:top w:val="none" w:sz="0" w:space="0" w:color="auto"/>
                <w:left w:val="none" w:sz="0" w:space="0" w:color="auto"/>
                <w:bottom w:val="none" w:sz="0" w:space="0" w:color="auto"/>
                <w:right w:val="none" w:sz="0" w:space="0" w:color="auto"/>
              </w:divBdr>
            </w:div>
            <w:div w:id="611784846">
              <w:marLeft w:val="0"/>
              <w:marRight w:val="0"/>
              <w:marTop w:val="0"/>
              <w:marBottom w:val="0"/>
              <w:divBdr>
                <w:top w:val="none" w:sz="0" w:space="0" w:color="auto"/>
                <w:left w:val="none" w:sz="0" w:space="0" w:color="auto"/>
                <w:bottom w:val="none" w:sz="0" w:space="0" w:color="auto"/>
                <w:right w:val="none" w:sz="0" w:space="0" w:color="auto"/>
              </w:divBdr>
            </w:div>
            <w:div w:id="867523811">
              <w:marLeft w:val="0"/>
              <w:marRight w:val="0"/>
              <w:marTop w:val="0"/>
              <w:marBottom w:val="0"/>
              <w:divBdr>
                <w:top w:val="none" w:sz="0" w:space="0" w:color="auto"/>
                <w:left w:val="none" w:sz="0" w:space="0" w:color="auto"/>
                <w:bottom w:val="none" w:sz="0" w:space="0" w:color="auto"/>
                <w:right w:val="none" w:sz="0" w:space="0" w:color="auto"/>
              </w:divBdr>
            </w:div>
          </w:divsChild>
        </w:div>
        <w:div w:id="422607221">
          <w:marLeft w:val="0"/>
          <w:marRight w:val="0"/>
          <w:marTop w:val="0"/>
          <w:marBottom w:val="0"/>
          <w:divBdr>
            <w:top w:val="none" w:sz="0" w:space="0" w:color="auto"/>
            <w:left w:val="none" w:sz="0" w:space="0" w:color="auto"/>
            <w:bottom w:val="none" w:sz="0" w:space="0" w:color="auto"/>
            <w:right w:val="none" w:sz="0" w:space="0" w:color="auto"/>
          </w:divBdr>
          <w:divsChild>
            <w:div w:id="553779668">
              <w:marLeft w:val="0"/>
              <w:marRight w:val="0"/>
              <w:marTop w:val="0"/>
              <w:marBottom w:val="0"/>
              <w:divBdr>
                <w:top w:val="none" w:sz="0" w:space="0" w:color="auto"/>
                <w:left w:val="none" w:sz="0" w:space="0" w:color="auto"/>
                <w:bottom w:val="none" w:sz="0" w:space="0" w:color="auto"/>
                <w:right w:val="none" w:sz="0" w:space="0" w:color="auto"/>
              </w:divBdr>
            </w:div>
            <w:div w:id="755715321">
              <w:marLeft w:val="0"/>
              <w:marRight w:val="0"/>
              <w:marTop w:val="0"/>
              <w:marBottom w:val="0"/>
              <w:divBdr>
                <w:top w:val="none" w:sz="0" w:space="0" w:color="auto"/>
                <w:left w:val="none" w:sz="0" w:space="0" w:color="auto"/>
                <w:bottom w:val="none" w:sz="0" w:space="0" w:color="auto"/>
                <w:right w:val="none" w:sz="0" w:space="0" w:color="auto"/>
              </w:divBdr>
            </w:div>
            <w:div w:id="847789344">
              <w:marLeft w:val="0"/>
              <w:marRight w:val="0"/>
              <w:marTop w:val="0"/>
              <w:marBottom w:val="0"/>
              <w:divBdr>
                <w:top w:val="none" w:sz="0" w:space="0" w:color="auto"/>
                <w:left w:val="none" w:sz="0" w:space="0" w:color="auto"/>
                <w:bottom w:val="none" w:sz="0" w:space="0" w:color="auto"/>
                <w:right w:val="none" w:sz="0" w:space="0" w:color="auto"/>
              </w:divBdr>
            </w:div>
            <w:div w:id="970331470">
              <w:marLeft w:val="0"/>
              <w:marRight w:val="0"/>
              <w:marTop w:val="0"/>
              <w:marBottom w:val="0"/>
              <w:divBdr>
                <w:top w:val="none" w:sz="0" w:space="0" w:color="auto"/>
                <w:left w:val="none" w:sz="0" w:space="0" w:color="auto"/>
                <w:bottom w:val="none" w:sz="0" w:space="0" w:color="auto"/>
                <w:right w:val="none" w:sz="0" w:space="0" w:color="auto"/>
              </w:divBdr>
            </w:div>
            <w:div w:id="1616786885">
              <w:marLeft w:val="0"/>
              <w:marRight w:val="0"/>
              <w:marTop w:val="0"/>
              <w:marBottom w:val="0"/>
              <w:divBdr>
                <w:top w:val="none" w:sz="0" w:space="0" w:color="auto"/>
                <w:left w:val="none" w:sz="0" w:space="0" w:color="auto"/>
                <w:bottom w:val="none" w:sz="0" w:space="0" w:color="auto"/>
                <w:right w:val="none" w:sz="0" w:space="0" w:color="auto"/>
              </w:divBdr>
            </w:div>
          </w:divsChild>
        </w:div>
        <w:div w:id="447624176">
          <w:marLeft w:val="0"/>
          <w:marRight w:val="0"/>
          <w:marTop w:val="0"/>
          <w:marBottom w:val="0"/>
          <w:divBdr>
            <w:top w:val="none" w:sz="0" w:space="0" w:color="auto"/>
            <w:left w:val="none" w:sz="0" w:space="0" w:color="auto"/>
            <w:bottom w:val="none" w:sz="0" w:space="0" w:color="auto"/>
            <w:right w:val="none" w:sz="0" w:space="0" w:color="auto"/>
          </w:divBdr>
          <w:divsChild>
            <w:div w:id="298582627">
              <w:marLeft w:val="0"/>
              <w:marRight w:val="0"/>
              <w:marTop w:val="0"/>
              <w:marBottom w:val="0"/>
              <w:divBdr>
                <w:top w:val="none" w:sz="0" w:space="0" w:color="auto"/>
                <w:left w:val="none" w:sz="0" w:space="0" w:color="auto"/>
                <w:bottom w:val="none" w:sz="0" w:space="0" w:color="auto"/>
                <w:right w:val="none" w:sz="0" w:space="0" w:color="auto"/>
              </w:divBdr>
            </w:div>
            <w:div w:id="1382560618">
              <w:marLeft w:val="0"/>
              <w:marRight w:val="0"/>
              <w:marTop w:val="0"/>
              <w:marBottom w:val="0"/>
              <w:divBdr>
                <w:top w:val="none" w:sz="0" w:space="0" w:color="auto"/>
                <w:left w:val="none" w:sz="0" w:space="0" w:color="auto"/>
                <w:bottom w:val="none" w:sz="0" w:space="0" w:color="auto"/>
                <w:right w:val="none" w:sz="0" w:space="0" w:color="auto"/>
              </w:divBdr>
            </w:div>
          </w:divsChild>
        </w:div>
        <w:div w:id="481583722">
          <w:marLeft w:val="0"/>
          <w:marRight w:val="0"/>
          <w:marTop w:val="0"/>
          <w:marBottom w:val="0"/>
          <w:divBdr>
            <w:top w:val="none" w:sz="0" w:space="0" w:color="auto"/>
            <w:left w:val="none" w:sz="0" w:space="0" w:color="auto"/>
            <w:bottom w:val="none" w:sz="0" w:space="0" w:color="auto"/>
            <w:right w:val="none" w:sz="0" w:space="0" w:color="auto"/>
          </w:divBdr>
          <w:divsChild>
            <w:div w:id="838619966">
              <w:marLeft w:val="0"/>
              <w:marRight w:val="0"/>
              <w:marTop w:val="0"/>
              <w:marBottom w:val="0"/>
              <w:divBdr>
                <w:top w:val="none" w:sz="0" w:space="0" w:color="auto"/>
                <w:left w:val="none" w:sz="0" w:space="0" w:color="auto"/>
                <w:bottom w:val="none" w:sz="0" w:space="0" w:color="auto"/>
                <w:right w:val="none" w:sz="0" w:space="0" w:color="auto"/>
              </w:divBdr>
            </w:div>
            <w:div w:id="1919442619">
              <w:marLeft w:val="0"/>
              <w:marRight w:val="0"/>
              <w:marTop w:val="0"/>
              <w:marBottom w:val="0"/>
              <w:divBdr>
                <w:top w:val="none" w:sz="0" w:space="0" w:color="auto"/>
                <w:left w:val="none" w:sz="0" w:space="0" w:color="auto"/>
                <w:bottom w:val="none" w:sz="0" w:space="0" w:color="auto"/>
                <w:right w:val="none" w:sz="0" w:space="0" w:color="auto"/>
              </w:divBdr>
            </w:div>
          </w:divsChild>
        </w:div>
        <w:div w:id="738987259">
          <w:marLeft w:val="0"/>
          <w:marRight w:val="0"/>
          <w:marTop w:val="0"/>
          <w:marBottom w:val="0"/>
          <w:divBdr>
            <w:top w:val="none" w:sz="0" w:space="0" w:color="auto"/>
            <w:left w:val="none" w:sz="0" w:space="0" w:color="auto"/>
            <w:bottom w:val="none" w:sz="0" w:space="0" w:color="auto"/>
            <w:right w:val="none" w:sz="0" w:space="0" w:color="auto"/>
          </w:divBdr>
          <w:divsChild>
            <w:div w:id="1797530678">
              <w:marLeft w:val="0"/>
              <w:marRight w:val="0"/>
              <w:marTop w:val="0"/>
              <w:marBottom w:val="0"/>
              <w:divBdr>
                <w:top w:val="none" w:sz="0" w:space="0" w:color="auto"/>
                <w:left w:val="none" w:sz="0" w:space="0" w:color="auto"/>
                <w:bottom w:val="none" w:sz="0" w:space="0" w:color="auto"/>
                <w:right w:val="none" w:sz="0" w:space="0" w:color="auto"/>
              </w:divBdr>
            </w:div>
          </w:divsChild>
        </w:div>
        <w:div w:id="885794158">
          <w:marLeft w:val="0"/>
          <w:marRight w:val="0"/>
          <w:marTop w:val="0"/>
          <w:marBottom w:val="0"/>
          <w:divBdr>
            <w:top w:val="none" w:sz="0" w:space="0" w:color="auto"/>
            <w:left w:val="none" w:sz="0" w:space="0" w:color="auto"/>
            <w:bottom w:val="none" w:sz="0" w:space="0" w:color="auto"/>
            <w:right w:val="none" w:sz="0" w:space="0" w:color="auto"/>
          </w:divBdr>
          <w:divsChild>
            <w:div w:id="984315708">
              <w:marLeft w:val="0"/>
              <w:marRight w:val="0"/>
              <w:marTop w:val="0"/>
              <w:marBottom w:val="0"/>
              <w:divBdr>
                <w:top w:val="none" w:sz="0" w:space="0" w:color="auto"/>
                <w:left w:val="none" w:sz="0" w:space="0" w:color="auto"/>
                <w:bottom w:val="none" w:sz="0" w:space="0" w:color="auto"/>
                <w:right w:val="none" w:sz="0" w:space="0" w:color="auto"/>
              </w:divBdr>
            </w:div>
            <w:div w:id="1218979477">
              <w:marLeft w:val="0"/>
              <w:marRight w:val="0"/>
              <w:marTop w:val="0"/>
              <w:marBottom w:val="0"/>
              <w:divBdr>
                <w:top w:val="none" w:sz="0" w:space="0" w:color="auto"/>
                <w:left w:val="none" w:sz="0" w:space="0" w:color="auto"/>
                <w:bottom w:val="none" w:sz="0" w:space="0" w:color="auto"/>
                <w:right w:val="none" w:sz="0" w:space="0" w:color="auto"/>
              </w:divBdr>
            </w:div>
            <w:div w:id="1698309609">
              <w:marLeft w:val="0"/>
              <w:marRight w:val="0"/>
              <w:marTop w:val="0"/>
              <w:marBottom w:val="0"/>
              <w:divBdr>
                <w:top w:val="none" w:sz="0" w:space="0" w:color="auto"/>
                <w:left w:val="none" w:sz="0" w:space="0" w:color="auto"/>
                <w:bottom w:val="none" w:sz="0" w:space="0" w:color="auto"/>
                <w:right w:val="none" w:sz="0" w:space="0" w:color="auto"/>
              </w:divBdr>
            </w:div>
            <w:div w:id="1789399018">
              <w:marLeft w:val="0"/>
              <w:marRight w:val="0"/>
              <w:marTop w:val="0"/>
              <w:marBottom w:val="0"/>
              <w:divBdr>
                <w:top w:val="none" w:sz="0" w:space="0" w:color="auto"/>
                <w:left w:val="none" w:sz="0" w:space="0" w:color="auto"/>
                <w:bottom w:val="none" w:sz="0" w:space="0" w:color="auto"/>
                <w:right w:val="none" w:sz="0" w:space="0" w:color="auto"/>
              </w:divBdr>
            </w:div>
            <w:div w:id="2123916514">
              <w:marLeft w:val="0"/>
              <w:marRight w:val="0"/>
              <w:marTop w:val="0"/>
              <w:marBottom w:val="0"/>
              <w:divBdr>
                <w:top w:val="none" w:sz="0" w:space="0" w:color="auto"/>
                <w:left w:val="none" w:sz="0" w:space="0" w:color="auto"/>
                <w:bottom w:val="none" w:sz="0" w:space="0" w:color="auto"/>
                <w:right w:val="none" w:sz="0" w:space="0" w:color="auto"/>
              </w:divBdr>
            </w:div>
          </w:divsChild>
        </w:div>
        <w:div w:id="1046027864">
          <w:marLeft w:val="0"/>
          <w:marRight w:val="0"/>
          <w:marTop w:val="0"/>
          <w:marBottom w:val="0"/>
          <w:divBdr>
            <w:top w:val="none" w:sz="0" w:space="0" w:color="auto"/>
            <w:left w:val="none" w:sz="0" w:space="0" w:color="auto"/>
            <w:bottom w:val="none" w:sz="0" w:space="0" w:color="auto"/>
            <w:right w:val="none" w:sz="0" w:space="0" w:color="auto"/>
          </w:divBdr>
          <w:divsChild>
            <w:div w:id="541526195">
              <w:marLeft w:val="0"/>
              <w:marRight w:val="0"/>
              <w:marTop w:val="0"/>
              <w:marBottom w:val="0"/>
              <w:divBdr>
                <w:top w:val="none" w:sz="0" w:space="0" w:color="auto"/>
                <w:left w:val="none" w:sz="0" w:space="0" w:color="auto"/>
                <w:bottom w:val="none" w:sz="0" w:space="0" w:color="auto"/>
                <w:right w:val="none" w:sz="0" w:space="0" w:color="auto"/>
              </w:divBdr>
            </w:div>
            <w:div w:id="1672830372">
              <w:marLeft w:val="0"/>
              <w:marRight w:val="0"/>
              <w:marTop w:val="0"/>
              <w:marBottom w:val="0"/>
              <w:divBdr>
                <w:top w:val="none" w:sz="0" w:space="0" w:color="auto"/>
                <w:left w:val="none" w:sz="0" w:space="0" w:color="auto"/>
                <w:bottom w:val="none" w:sz="0" w:space="0" w:color="auto"/>
                <w:right w:val="none" w:sz="0" w:space="0" w:color="auto"/>
              </w:divBdr>
            </w:div>
            <w:div w:id="1678843572">
              <w:marLeft w:val="0"/>
              <w:marRight w:val="0"/>
              <w:marTop w:val="0"/>
              <w:marBottom w:val="0"/>
              <w:divBdr>
                <w:top w:val="none" w:sz="0" w:space="0" w:color="auto"/>
                <w:left w:val="none" w:sz="0" w:space="0" w:color="auto"/>
                <w:bottom w:val="none" w:sz="0" w:space="0" w:color="auto"/>
                <w:right w:val="none" w:sz="0" w:space="0" w:color="auto"/>
              </w:divBdr>
            </w:div>
            <w:div w:id="1969192254">
              <w:marLeft w:val="0"/>
              <w:marRight w:val="0"/>
              <w:marTop w:val="0"/>
              <w:marBottom w:val="0"/>
              <w:divBdr>
                <w:top w:val="none" w:sz="0" w:space="0" w:color="auto"/>
                <w:left w:val="none" w:sz="0" w:space="0" w:color="auto"/>
                <w:bottom w:val="none" w:sz="0" w:space="0" w:color="auto"/>
                <w:right w:val="none" w:sz="0" w:space="0" w:color="auto"/>
              </w:divBdr>
            </w:div>
            <w:div w:id="2112554719">
              <w:marLeft w:val="0"/>
              <w:marRight w:val="0"/>
              <w:marTop w:val="0"/>
              <w:marBottom w:val="0"/>
              <w:divBdr>
                <w:top w:val="none" w:sz="0" w:space="0" w:color="auto"/>
                <w:left w:val="none" w:sz="0" w:space="0" w:color="auto"/>
                <w:bottom w:val="none" w:sz="0" w:space="0" w:color="auto"/>
                <w:right w:val="none" w:sz="0" w:space="0" w:color="auto"/>
              </w:divBdr>
            </w:div>
          </w:divsChild>
        </w:div>
        <w:div w:id="1180772709">
          <w:marLeft w:val="0"/>
          <w:marRight w:val="0"/>
          <w:marTop w:val="0"/>
          <w:marBottom w:val="0"/>
          <w:divBdr>
            <w:top w:val="none" w:sz="0" w:space="0" w:color="auto"/>
            <w:left w:val="none" w:sz="0" w:space="0" w:color="auto"/>
            <w:bottom w:val="none" w:sz="0" w:space="0" w:color="auto"/>
            <w:right w:val="none" w:sz="0" w:space="0" w:color="auto"/>
          </w:divBdr>
          <w:divsChild>
            <w:div w:id="104738354">
              <w:marLeft w:val="0"/>
              <w:marRight w:val="0"/>
              <w:marTop w:val="0"/>
              <w:marBottom w:val="0"/>
              <w:divBdr>
                <w:top w:val="none" w:sz="0" w:space="0" w:color="auto"/>
                <w:left w:val="none" w:sz="0" w:space="0" w:color="auto"/>
                <w:bottom w:val="none" w:sz="0" w:space="0" w:color="auto"/>
                <w:right w:val="none" w:sz="0" w:space="0" w:color="auto"/>
              </w:divBdr>
            </w:div>
            <w:div w:id="527841868">
              <w:marLeft w:val="0"/>
              <w:marRight w:val="0"/>
              <w:marTop w:val="0"/>
              <w:marBottom w:val="0"/>
              <w:divBdr>
                <w:top w:val="none" w:sz="0" w:space="0" w:color="auto"/>
                <w:left w:val="none" w:sz="0" w:space="0" w:color="auto"/>
                <w:bottom w:val="none" w:sz="0" w:space="0" w:color="auto"/>
                <w:right w:val="none" w:sz="0" w:space="0" w:color="auto"/>
              </w:divBdr>
            </w:div>
            <w:div w:id="744258439">
              <w:marLeft w:val="0"/>
              <w:marRight w:val="0"/>
              <w:marTop w:val="0"/>
              <w:marBottom w:val="0"/>
              <w:divBdr>
                <w:top w:val="none" w:sz="0" w:space="0" w:color="auto"/>
                <w:left w:val="none" w:sz="0" w:space="0" w:color="auto"/>
                <w:bottom w:val="none" w:sz="0" w:space="0" w:color="auto"/>
                <w:right w:val="none" w:sz="0" w:space="0" w:color="auto"/>
              </w:divBdr>
            </w:div>
          </w:divsChild>
        </w:div>
        <w:div w:id="1557428164">
          <w:marLeft w:val="0"/>
          <w:marRight w:val="0"/>
          <w:marTop w:val="0"/>
          <w:marBottom w:val="0"/>
          <w:divBdr>
            <w:top w:val="none" w:sz="0" w:space="0" w:color="auto"/>
            <w:left w:val="none" w:sz="0" w:space="0" w:color="auto"/>
            <w:bottom w:val="none" w:sz="0" w:space="0" w:color="auto"/>
            <w:right w:val="none" w:sz="0" w:space="0" w:color="auto"/>
          </w:divBdr>
          <w:divsChild>
            <w:div w:id="320043469">
              <w:marLeft w:val="0"/>
              <w:marRight w:val="0"/>
              <w:marTop w:val="0"/>
              <w:marBottom w:val="0"/>
              <w:divBdr>
                <w:top w:val="none" w:sz="0" w:space="0" w:color="auto"/>
                <w:left w:val="none" w:sz="0" w:space="0" w:color="auto"/>
                <w:bottom w:val="none" w:sz="0" w:space="0" w:color="auto"/>
                <w:right w:val="none" w:sz="0" w:space="0" w:color="auto"/>
              </w:divBdr>
            </w:div>
            <w:div w:id="984894415">
              <w:marLeft w:val="0"/>
              <w:marRight w:val="0"/>
              <w:marTop w:val="0"/>
              <w:marBottom w:val="0"/>
              <w:divBdr>
                <w:top w:val="none" w:sz="0" w:space="0" w:color="auto"/>
                <w:left w:val="none" w:sz="0" w:space="0" w:color="auto"/>
                <w:bottom w:val="none" w:sz="0" w:space="0" w:color="auto"/>
                <w:right w:val="none" w:sz="0" w:space="0" w:color="auto"/>
              </w:divBdr>
            </w:div>
            <w:div w:id="1824589672">
              <w:marLeft w:val="0"/>
              <w:marRight w:val="0"/>
              <w:marTop w:val="0"/>
              <w:marBottom w:val="0"/>
              <w:divBdr>
                <w:top w:val="none" w:sz="0" w:space="0" w:color="auto"/>
                <w:left w:val="none" w:sz="0" w:space="0" w:color="auto"/>
                <w:bottom w:val="none" w:sz="0" w:space="0" w:color="auto"/>
                <w:right w:val="none" w:sz="0" w:space="0" w:color="auto"/>
              </w:divBdr>
            </w:div>
            <w:div w:id="1866753317">
              <w:marLeft w:val="0"/>
              <w:marRight w:val="0"/>
              <w:marTop w:val="0"/>
              <w:marBottom w:val="0"/>
              <w:divBdr>
                <w:top w:val="none" w:sz="0" w:space="0" w:color="auto"/>
                <w:left w:val="none" w:sz="0" w:space="0" w:color="auto"/>
                <w:bottom w:val="none" w:sz="0" w:space="0" w:color="auto"/>
                <w:right w:val="none" w:sz="0" w:space="0" w:color="auto"/>
              </w:divBdr>
            </w:div>
          </w:divsChild>
        </w:div>
        <w:div w:id="1582912109">
          <w:marLeft w:val="0"/>
          <w:marRight w:val="0"/>
          <w:marTop w:val="0"/>
          <w:marBottom w:val="0"/>
          <w:divBdr>
            <w:top w:val="none" w:sz="0" w:space="0" w:color="auto"/>
            <w:left w:val="none" w:sz="0" w:space="0" w:color="auto"/>
            <w:bottom w:val="none" w:sz="0" w:space="0" w:color="auto"/>
            <w:right w:val="none" w:sz="0" w:space="0" w:color="auto"/>
          </w:divBdr>
          <w:divsChild>
            <w:div w:id="1524321045">
              <w:marLeft w:val="0"/>
              <w:marRight w:val="0"/>
              <w:marTop w:val="0"/>
              <w:marBottom w:val="0"/>
              <w:divBdr>
                <w:top w:val="none" w:sz="0" w:space="0" w:color="auto"/>
                <w:left w:val="none" w:sz="0" w:space="0" w:color="auto"/>
                <w:bottom w:val="none" w:sz="0" w:space="0" w:color="auto"/>
                <w:right w:val="none" w:sz="0" w:space="0" w:color="auto"/>
              </w:divBdr>
            </w:div>
            <w:div w:id="1785078048">
              <w:marLeft w:val="0"/>
              <w:marRight w:val="0"/>
              <w:marTop w:val="0"/>
              <w:marBottom w:val="0"/>
              <w:divBdr>
                <w:top w:val="none" w:sz="0" w:space="0" w:color="auto"/>
                <w:left w:val="none" w:sz="0" w:space="0" w:color="auto"/>
                <w:bottom w:val="none" w:sz="0" w:space="0" w:color="auto"/>
                <w:right w:val="none" w:sz="0" w:space="0" w:color="auto"/>
              </w:divBdr>
            </w:div>
            <w:div w:id="2008823894">
              <w:marLeft w:val="0"/>
              <w:marRight w:val="0"/>
              <w:marTop w:val="0"/>
              <w:marBottom w:val="0"/>
              <w:divBdr>
                <w:top w:val="none" w:sz="0" w:space="0" w:color="auto"/>
                <w:left w:val="none" w:sz="0" w:space="0" w:color="auto"/>
                <w:bottom w:val="none" w:sz="0" w:space="0" w:color="auto"/>
                <w:right w:val="none" w:sz="0" w:space="0" w:color="auto"/>
              </w:divBdr>
            </w:div>
          </w:divsChild>
        </w:div>
        <w:div w:id="1907060278">
          <w:marLeft w:val="0"/>
          <w:marRight w:val="0"/>
          <w:marTop w:val="0"/>
          <w:marBottom w:val="0"/>
          <w:divBdr>
            <w:top w:val="none" w:sz="0" w:space="0" w:color="auto"/>
            <w:left w:val="none" w:sz="0" w:space="0" w:color="auto"/>
            <w:bottom w:val="none" w:sz="0" w:space="0" w:color="auto"/>
            <w:right w:val="none" w:sz="0" w:space="0" w:color="auto"/>
          </w:divBdr>
          <w:divsChild>
            <w:div w:id="788279733">
              <w:marLeft w:val="0"/>
              <w:marRight w:val="0"/>
              <w:marTop w:val="0"/>
              <w:marBottom w:val="0"/>
              <w:divBdr>
                <w:top w:val="none" w:sz="0" w:space="0" w:color="auto"/>
                <w:left w:val="none" w:sz="0" w:space="0" w:color="auto"/>
                <w:bottom w:val="none" w:sz="0" w:space="0" w:color="auto"/>
                <w:right w:val="none" w:sz="0" w:space="0" w:color="auto"/>
              </w:divBdr>
            </w:div>
            <w:div w:id="907496012">
              <w:marLeft w:val="0"/>
              <w:marRight w:val="0"/>
              <w:marTop w:val="0"/>
              <w:marBottom w:val="0"/>
              <w:divBdr>
                <w:top w:val="none" w:sz="0" w:space="0" w:color="auto"/>
                <w:left w:val="none" w:sz="0" w:space="0" w:color="auto"/>
                <w:bottom w:val="none" w:sz="0" w:space="0" w:color="auto"/>
                <w:right w:val="none" w:sz="0" w:space="0" w:color="auto"/>
              </w:divBdr>
            </w:div>
            <w:div w:id="1191411446">
              <w:marLeft w:val="0"/>
              <w:marRight w:val="0"/>
              <w:marTop w:val="0"/>
              <w:marBottom w:val="0"/>
              <w:divBdr>
                <w:top w:val="none" w:sz="0" w:space="0" w:color="auto"/>
                <w:left w:val="none" w:sz="0" w:space="0" w:color="auto"/>
                <w:bottom w:val="none" w:sz="0" w:space="0" w:color="auto"/>
                <w:right w:val="none" w:sz="0" w:space="0" w:color="auto"/>
              </w:divBdr>
            </w:div>
            <w:div w:id="1461993559">
              <w:marLeft w:val="0"/>
              <w:marRight w:val="0"/>
              <w:marTop w:val="0"/>
              <w:marBottom w:val="0"/>
              <w:divBdr>
                <w:top w:val="none" w:sz="0" w:space="0" w:color="auto"/>
                <w:left w:val="none" w:sz="0" w:space="0" w:color="auto"/>
                <w:bottom w:val="none" w:sz="0" w:space="0" w:color="auto"/>
                <w:right w:val="none" w:sz="0" w:space="0" w:color="auto"/>
              </w:divBdr>
            </w:div>
            <w:div w:id="1843083793">
              <w:marLeft w:val="0"/>
              <w:marRight w:val="0"/>
              <w:marTop w:val="0"/>
              <w:marBottom w:val="0"/>
              <w:divBdr>
                <w:top w:val="none" w:sz="0" w:space="0" w:color="auto"/>
                <w:left w:val="none" w:sz="0" w:space="0" w:color="auto"/>
                <w:bottom w:val="none" w:sz="0" w:space="0" w:color="auto"/>
                <w:right w:val="none" w:sz="0" w:space="0" w:color="auto"/>
              </w:divBdr>
            </w:div>
          </w:divsChild>
        </w:div>
        <w:div w:id="1961455736">
          <w:marLeft w:val="0"/>
          <w:marRight w:val="0"/>
          <w:marTop w:val="0"/>
          <w:marBottom w:val="0"/>
          <w:divBdr>
            <w:top w:val="none" w:sz="0" w:space="0" w:color="auto"/>
            <w:left w:val="none" w:sz="0" w:space="0" w:color="auto"/>
            <w:bottom w:val="none" w:sz="0" w:space="0" w:color="auto"/>
            <w:right w:val="none" w:sz="0" w:space="0" w:color="auto"/>
          </w:divBdr>
          <w:divsChild>
            <w:div w:id="238634897">
              <w:marLeft w:val="0"/>
              <w:marRight w:val="0"/>
              <w:marTop w:val="0"/>
              <w:marBottom w:val="0"/>
              <w:divBdr>
                <w:top w:val="none" w:sz="0" w:space="0" w:color="auto"/>
                <w:left w:val="none" w:sz="0" w:space="0" w:color="auto"/>
                <w:bottom w:val="none" w:sz="0" w:space="0" w:color="auto"/>
                <w:right w:val="none" w:sz="0" w:space="0" w:color="auto"/>
              </w:divBdr>
            </w:div>
            <w:div w:id="406617408">
              <w:marLeft w:val="0"/>
              <w:marRight w:val="0"/>
              <w:marTop w:val="0"/>
              <w:marBottom w:val="0"/>
              <w:divBdr>
                <w:top w:val="none" w:sz="0" w:space="0" w:color="auto"/>
                <w:left w:val="none" w:sz="0" w:space="0" w:color="auto"/>
                <w:bottom w:val="none" w:sz="0" w:space="0" w:color="auto"/>
                <w:right w:val="none" w:sz="0" w:space="0" w:color="auto"/>
              </w:divBdr>
            </w:div>
            <w:div w:id="898172828">
              <w:marLeft w:val="0"/>
              <w:marRight w:val="0"/>
              <w:marTop w:val="0"/>
              <w:marBottom w:val="0"/>
              <w:divBdr>
                <w:top w:val="none" w:sz="0" w:space="0" w:color="auto"/>
                <w:left w:val="none" w:sz="0" w:space="0" w:color="auto"/>
                <w:bottom w:val="none" w:sz="0" w:space="0" w:color="auto"/>
                <w:right w:val="none" w:sz="0" w:space="0" w:color="auto"/>
              </w:divBdr>
            </w:div>
            <w:div w:id="1039209243">
              <w:marLeft w:val="0"/>
              <w:marRight w:val="0"/>
              <w:marTop w:val="0"/>
              <w:marBottom w:val="0"/>
              <w:divBdr>
                <w:top w:val="none" w:sz="0" w:space="0" w:color="auto"/>
                <w:left w:val="none" w:sz="0" w:space="0" w:color="auto"/>
                <w:bottom w:val="none" w:sz="0" w:space="0" w:color="auto"/>
                <w:right w:val="none" w:sz="0" w:space="0" w:color="auto"/>
              </w:divBdr>
            </w:div>
            <w:div w:id="1424454269">
              <w:marLeft w:val="0"/>
              <w:marRight w:val="0"/>
              <w:marTop w:val="0"/>
              <w:marBottom w:val="0"/>
              <w:divBdr>
                <w:top w:val="none" w:sz="0" w:space="0" w:color="auto"/>
                <w:left w:val="none" w:sz="0" w:space="0" w:color="auto"/>
                <w:bottom w:val="none" w:sz="0" w:space="0" w:color="auto"/>
                <w:right w:val="none" w:sz="0" w:space="0" w:color="auto"/>
              </w:divBdr>
            </w:div>
          </w:divsChild>
        </w:div>
        <w:div w:id="1970014770">
          <w:marLeft w:val="0"/>
          <w:marRight w:val="0"/>
          <w:marTop w:val="0"/>
          <w:marBottom w:val="0"/>
          <w:divBdr>
            <w:top w:val="none" w:sz="0" w:space="0" w:color="auto"/>
            <w:left w:val="none" w:sz="0" w:space="0" w:color="auto"/>
            <w:bottom w:val="none" w:sz="0" w:space="0" w:color="auto"/>
            <w:right w:val="none" w:sz="0" w:space="0" w:color="auto"/>
          </w:divBdr>
          <w:divsChild>
            <w:div w:id="350376216">
              <w:marLeft w:val="0"/>
              <w:marRight w:val="0"/>
              <w:marTop w:val="0"/>
              <w:marBottom w:val="0"/>
              <w:divBdr>
                <w:top w:val="none" w:sz="0" w:space="0" w:color="auto"/>
                <w:left w:val="none" w:sz="0" w:space="0" w:color="auto"/>
                <w:bottom w:val="none" w:sz="0" w:space="0" w:color="auto"/>
                <w:right w:val="none" w:sz="0" w:space="0" w:color="auto"/>
              </w:divBdr>
            </w:div>
            <w:div w:id="744304463">
              <w:marLeft w:val="0"/>
              <w:marRight w:val="0"/>
              <w:marTop w:val="0"/>
              <w:marBottom w:val="0"/>
              <w:divBdr>
                <w:top w:val="none" w:sz="0" w:space="0" w:color="auto"/>
                <w:left w:val="none" w:sz="0" w:space="0" w:color="auto"/>
                <w:bottom w:val="none" w:sz="0" w:space="0" w:color="auto"/>
                <w:right w:val="none" w:sz="0" w:space="0" w:color="auto"/>
              </w:divBdr>
            </w:div>
            <w:div w:id="1634141032">
              <w:marLeft w:val="0"/>
              <w:marRight w:val="0"/>
              <w:marTop w:val="0"/>
              <w:marBottom w:val="0"/>
              <w:divBdr>
                <w:top w:val="none" w:sz="0" w:space="0" w:color="auto"/>
                <w:left w:val="none" w:sz="0" w:space="0" w:color="auto"/>
                <w:bottom w:val="none" w:sz="0" w:space="0" w:color="auto"/>
                <w:right w:val="none" w:sz="0" w:space="0" w:color="auto"/>
              </w:divBdr>
            </w:div>
            <w:div w:id="1883513127">
              <w:marLeft w:val="0"/>
              <w:marRight w:val="0"/>
              <w:marTop w:val="0"/>
              <w:marBottom w:val="0"/>
              <w:divBdr>
                <w:top w:val="none" w:sz="0" w:space="0" w:color="auto"/>
                <w:left w:val="none" w:sz="0" w:space="0" w:color="auto"/>
                <w:bottom w:val="none" w:sz="0" w:space="0" w:color="auto"/>
                <w:right w:val="none" w:sz="0" w:space="0" w:color="auto"/>
              </w:divBdr>
            </w:div>
          </w:divsChild>
        </w:div>
        <w:div w:id="2051026664">
          <w:marLeft w:val="0"/>
          <w:marRight w:val="0"/>
          <w:marTop w:val="0"/>
          <w:marBottom w:val="0"/>
          <w:divBdr>
            <w:top w:val="none" w:sz="0" w:space="0" w:color="auto"/>
            <w:left w:val="none" w:sz="0" w:space="0" w:color="auto"/>
            <w:bottom w:val="none" w:sz="0" w:space="0" w:color="auto"/>
            <w:right w:val="none" w:sz="0" w:space="0" w:color="auto"/>
          </w:divBdr>
          <w:divsChild>
            <w:div w:id="427042428">
              <w:marLeft w:val="0"/>
              <w:marRight w:val="0"/>
              <w:marTop w:val="0"/>
              <w:marBottom w:val="0"/>
              <w:divBdr>
                <w:top w:val="none" w:sz="0" w:space="0" w:color="auto"/>
                <w:left w:val="none" w:sz="0" w:space="0" w:color="auto"/>
                <w:bottom w:val="none" w:sz="0" w:space="0" w:color="auto"/>
                <w:right w:val="none" w:sz="0" w:space="0" w:color="auto"/>
              </w:divBdr>
            </w:div>
            <w:div w:id="544028806">
              <w:marLeft w:val="0"/>
              <w:marRight w:val="0"/>
              <w:marTop w:val="0"/>
              <w:marBottom w:val="0"/>
              <w:divBdr>
                <w:top w:val="none" w:sz="0" w:space="0" w:color="auto"/>
                <w:left w:val="none" w:sz="0" w:space="0" w:color="auto"/>
                <w:bottom w:val="none" w:sz="0" w:space="0" w:color="auto"/>
                <w:right w:val="none" w:sz="0" w:space="0" w:color="auto"/>
              </w:divBdr>
            </w:div>
            <w:div w:id="766845919">
              <w:marLeft w:val="0"/>
              <w:marRight w:val="0"/>
              <w:marTop w:val="0"/>
              <w:marBottom w:val="0"/>
              <w:divBdr>
                <w:top w:val="none" w:sz="0" w:space="0" w:color="auto"/>
                <w:left w:val="none" w:sz="0" w:space="0" w:color="auto"/>
                <w:bottom w:val="none" w:sz="0" w:space="0" w:color="auto"/>
                <w:right w:val="none" w:sz="0" w:space="0" w:color="auto"/>
              </w:divBdr>
            </w:div>
            <w:div w:id="864175246">
              <w:marLeft w:val="0"/>
              <w:marRight w:val="0"/>
              <w:marTop w:val="0"/>
              <w:marBottom w:val="0"/>
              <w:divBdr>
                <w:top w:val="none" w:sz="0" w:space="0" w:color="auto"/>
                <w:left w:val="none" w:sz="0" w:space="0" w:color="auto"/>
                <w:bottom w:val="none" w:sz="0" w:space="0" w:color="auto"/>
                <w:right w:val="none" w:sz="0" w:space="0" w:color="auto"/>
              </w:divBdr>
            </w:div>
            <w:div w:id="1946814301">
              <w:marLeft w:val="0"/>
              <w:marRight w:val="0"/>
              <w:marTop w:val="0"/>
              <w:marBottom w:val="0"/>
              <w:divBdr>
                <w:top w:val="none" w:sz="0" w:space="0" w:color="auto"/>
                <w:left w:val="none" w:sz="0" w:space="0" w:color="auto"/>
                <w:bottom w:val="none" w:sz="0" w:space="0" w:color="auto"/>
                <w:right w:val="none" w:sz="0" w:space="0" w:color="auto"/>
              </w:divBdr>
            </w:div>
          </w:divsChild>
        </w:div>
        <w:div w:id="2120176427">
          <w:marLeft w:val="0"/>
          <w:marRight w:val="0"/>
          <w:marTop w:val="0"/>
          <w:marBottom w:val="0"/>
          <w:divBdr>
            <w:top w:val="none" w:sz="0" w:space="0" w:color="auto"/>
            <w:left w:val="none" w:sz="0" w:space="0" w:color="auto"/>
            <w:bottom w:val="none" w:sz="0" w:space="0" w:color="auto"/>
            <w:right w:val="none" w:sz="0" w:space="0" w:color="auto"/>
          </w:divBdr>
          <w:divsChild>
            <w:div w:id="1080326302">
              <w:marLeft w:val="-75"/>
              <w:marRight w:val="0"/>
              <w:marTop w:val="30"/>
              <w:marBottom w:val="30"/>
              <w:divBdr>
                <w:top w:val="none" w:sz="0" w:space="0" w:color="auto"/>
                <w:left w:val="none" w:sz="0" w:space="0" w:color="auto"/>
                <w:bottom w:val="none" w:sz="0" w:space="0" w:color="auto"/>
                <w:right w:val="none" w:sz="0" w:space="0" w:color="auto"/>
              </w:divBdr>
              <w:divsChild>
                <w:div w:id="291978818">
                  <w:marLeft w:val="0"/>
                  <w:marRight w:val="0"/>
                  <w:marTop w:val="0"/>
                  <w:marBottom w:val="0"/>
                  <w:divBdr>
                    <w:top w:val="none" w:sz="0" w:space="0" w:color="auto"/>
                    <w:left w:val="none" w:sz="0" w:space="0" w:color="auto"/>
                    <w:bottom w:val="none" w:sz="0" w:space="0" w:color="auto"/>
                    <w:right w:val="none" w:sz="0" w:space="0" w:color="auto"/>
                  </w:divBdr>
                  <w:divsChild>
                    <w:div w:id="2086564532">
                      <w:marLeft w:val="0"/>
                      <w:marRight w:val="0"/>
                      <w:marTop w:val="0"/>
                      <w:marBottom w:val="0"/>
                      <w:divBdr>
                        <w:top w:val="none" w:sz="0" w:space="0" w:color="auto"/>
                        <w:left w:val="none" w:sz="0" w:space="0" w:color="auto"/>
                        <w:bottom w:val="none" w:sz="0" w:space="0" w:color="auto"/>
                        <w:right w:val="none" w:sz="0" w:space="0" w:color="auto"/>
                      </w:divBdr>
                    </w:div>
                  </w:divsChild>
                </w:div>
                <w:div w:id="534124473">
                  <w:marLeft w:val="0"/>
                  <w:marRight w:val="0"/>
                  <w:marTop w:val="0"/>
                  <w:marBottom w:val="0"/>
                  <w:divBdr>
                    <w:top w:val="none" w:sz="0" w:space="0" w:color="auto"/>
                    <w:left w:val="none" w:sz="0" w:space="0" w:color="auto"/>
                    <w:bottom w:val="none" w:sz="0" w:space="0" w:color="auto"/>
                    <w:right w:val="none" w:sz="0" w:space="0" w:color="auto"/>
                  </w:divBdr>
                  <w:divsChild>
                    <w:div w:id="1408576936">
                      <w:marLeft w:val="0"/>
                      <w:marRight w:val="0"/>
                      <w:marTop w:val="0"/>
                      <w:marBottom w:val="0"/>
                      <w:divBdr>
                        <w:top w:val="none" w:sz="0" w:space="0" w:color="auto"/>
                        <w:left w:val="none" w:sz="0" w:space="0" w:color="auto"/>
                        <w:bottom w:val="none" w:sz="0" w:space="0" w:color="auto"/>
                        <w:right w:val="none" w:sz="0" w:space="0" w:color="auto"/>
                      </w:divBdr>
                    </w:div>
                  </w:divsChild>
                </w:div>
                <w:div w:id="667944096">
                  <w:marLeft w:val="0"/>
                  <w:marRight w:val="0"/>
                  <w:marTop w:val="0"/>
                  <w:marBottom w:val="0"/>
                  <w:divBdr>
                    <w:top w:val="none" w:sz="0" w:space="0" w:color="auto"/>
                    <w:left w:val="none" w:sz="0" w:space="0" w:color="auto"/>
                    <w:bottom w:val="none" w:sz="0" w:space="0" w:color="auto"/>
                    <w:right w:val="none" w:sz="0" w:space="0" w:color="auto"/>
                  </w:divBdr>
                  <w:divsChild>
                    <w:div w:id="681785362">
                      <w:marLeft w:val="0"/>
                      <w:marRight w:val="0"/>
                      <w:marTop w:val="0"/>
                      <w:marBottom w:val="0"/>
                      <w:divBdr>
                        <w:top w:val="none" w:sz="0" w:space="0" w:color="auto"/>
                        <w:left w:val="none" w:sz="0" w:space="0" w:color="auto"/>
                        <w:bottom w:val="none" w:sz="0" w:space="0" w:color="auto"/>
                        <w:right w:val="none" w:sz="0" w:space="0" w:color="auto"/>
                      </w:divBdr>
                    </w:div>
                  </w:divsChild>
                </w:div>
                <w:div w:id="856115194">
                  <w:marLeft w:val="0"/>
                  <w:marRight w:val="0"/>
                  <w:marTop w:val="0"/>
                  <w:marBottom w:val="0"/>
                  <w:divBdr>
                    <w:top w:val="none" w:sz="0" w:space="0" w:color="auto"/>
                    <w:left w:val="none" w:sz="0" w:space="0" w:color="auto"/>
                    <w:bottom w:val="none" w:sz="0" w:space="0" w:color="auto"/>
                    <w:right w:val="none" w:sz="0" w:space="0" w:color="auto"/>
                  </w:divBdr>
                  <w:divsChild>
                    <w:div w:id="2120098469">
                      <w:marLeft w:val="0"/>
                      <w:marRight w:val="0"/>
                      <w:marTop w:val="0"/>
                      <w:marBottom w:val="0"/>
                      <w:divBdr>
                        <w:top w:val="none" w:sz="0" w:space="0" w:color="auto"/>
                        <w:left w:val="none" w:sz="0" w:space="0" w:color="auto"/>
                        <w:bottom w:val="none" w:sz="0" w:space="0" w:color="auto"/>
                        <w:right w:val="none" w:sz="0" w:space="0" w:color="auto"/>
                      </w:divBdr>
                    </w:div>
                  </w:divsChild>
                </w:div>
                <w:div w:id="1020669994">
                  <w:marLeft w:val="0"/>
                  <w:marRight w:val="0"/>
                  <w:marTop w:val="0"/>
                  <w:marBottom w:val="0"/>
                  <w:divBdr>
                    <w:top w:val="none" w:sz="0" w:space="0" w:color="auto"/>
                    <w:left w:val="none" w:sz="0" w:space="0" w:color="auto"/>
                    <w:bottom w:val="none" w:sz="0" w:space="0" w:color="auto"/>
                    <w:right w:val="none" w:sz="0" w:space="0" w:color="auto"/>
                  </w:divBdr>
                  <w:divsChild>
                    <w:div w:id="139810144">
                      <w:marLeft w:val="0"/>
                      <w:marRight w:val="0"/>
                      <w:marTop w:val="0"/>
                      <w:marBottom w:val="0"/>
                      <w:divBdr>
                        <w:top w:val="none" w:sz="0" w:space="0" w:color="auto"/>
                        <w:left w:val="none" w:sz="0" w:space="0" w:color="auto"/>
                        <w:bottom w:val="none" w:sz="0" w:space="0" w:color="auto"/>
                        <w:right w:val="none" w:sz="0" w:space="0" w:color="auto"/>
                      </w:divBdr>
                    </w:div>
                    <w:div w:id="1230576373">
                      <w:marLeft w:val="0"/>
                      <w:marRight w:val="0"/>
                      <w:marTop w:val="0"/>
                      <w:marBottom w:val="0"/>
                      <w:divBdr>
                        <w:top w:val="none" w:sz="0" w:space="0" w:color="auto"/>
                        <w:left w:val="none" w:sz="0" w:space="0" w:color="auto"/>
                        <w:bottom w:val="none" w:sz="0" w:space="0" w:color="auto"/>
                        <w:right w:val="none" w:sz="0" w:space="0" w:color="auto"/>
                      </w:divBdr>
                    </w:div>
                    <w:div w:id="1699117303">
                      <w:marLeft w:val="0"/>
                      <w:marRight w:val="0"/>
                      <w:marTop w:val="0"/>
                      <w:marBottom w:val="0"/>
                      <w:divBdr>
                        <w:top w:val="none" w:sz="0" w:space="0" w:color="auto"/>
                        <w:left w:val="none" w:sz="0" w:space="0" w:color="auto"/>
                        <w:bottom w:val="none" w:sz="0" w:space="0" w:color="auto"/>
                        <w:right w:val="none" w:sz="0" w:space="0" w:color="auto"/>
                      </w:divBdr>
                    </w:div>
                  </w:divsChild>
                </w:div>
                <w:div w:id="1279947992">
                  <w:marLeft w:val="0"/>
                  <w:marRight w:val="0"/>
                  <w:marTop w:val="0"/>
                  <w:marBottom w:val="0"/>
                  <w:divBdr>
                    <w:top w:val="none" w:sz="0" w:space="0" w:color="auto"/>
                    <w:left w:val="none" w:sz="0" w:space="0" w:color="auto"/>
                    <w:bottom w:val="none" w:sz="0" w:space="0" w:color="auto"/>
                    <w:right w:val="none" w:sz="0" w:space="0" w:color="auto"/>
                  </w:divBdr>
                  <w:divsChild>
                    <w:div w:id="895119196">
                      <w:marLeft w:val="0"/>
                      <w:marRight w:val="0"/>
                      <w:marTop w:val="0"/>
                      <w:marBottom w:val="0"/>
                      <w:divBdr>
                        <w:top w:val="none" w:sz="0" w:space="0" w:color="auto"/>
                        <w:left w:val="none" w:sz="0" w:space="0" w:color="auto"/>
                        <w:bottom w:val="none" w:sz="0" w:space="0" w:color="auto"/>
                        <w:right w:val="none" w:sz="0" w:space="0" w:color="auto"/>
                      </w:divBdr>
                    </w:div>
                  </w:divsChild>
                </w:div>
                <w:div w:id="1443645824">
                  <w:marLeft w:val="0"/>
                  <w:marRight w:val="0"/>
                  <w:marTop w:val="0"/>
                  <w:marBottom w:val="0"/>
                  <w:divBdr>
                    <w:top w:val="none" w:sz="0" w:space="0" w:color="auto"/>
                    <w:left w:val="none" w:sz="0" w:space="0" w:color="auto"/>
                    <w:bottom w:val="none" w:sz="0" w:space="0" w:color="auto"/>
                    <w:right w:val="none" w:sz="0" w:space="0" w:color="auto"/>
                  </w:divBdr>
                  <w:divsChild>
                    <w:div w:id="1000355819">
                      <w:marLeft w:val="0"/>
                      <w:marRight w:val="0"/>
                      <w:marTop w:val="0"/>
                      <w:marBottom w:val="0"/>
                      <w:divBdr>
                        <w:top w:val="none" w:sz="0" w:space="0" w:color="auto"/>
                        <w:left w:val="none" w:sz="0" w:space="0" w:color="auto"/>
                        <w:bottom w:val="none" w:sz="0" w:space="0" w:color="auto"/>
                        <w:right w:val="none" w:sz="0" w:space="0" w:color="auto"/>
                      </w:divBdr>
                    </w:div>
                  </w:divsChild>
                </w:div>
                <w:div w:id="1618103881">
                  <w:marLeft w:val="0"/>
                  <w:marRight w:val="0"/>
                  <w:marTop w:val="0"/>
                  <w:marBottom w:val="0"/>
                  <w:divBdr>
                    <w:top w:val="none" w:sz="0" w:space="0" w:color="auto"/>
                    <w:left w:val="none" w:sz="0" w:space="0" w:color="auto"/>
                    <w:bottom w:val="none" w:sz="0" w:space="0" w:color="auto"/>
                    <w:right w:val="none" w:sz="0" w:space="0" w:color="auto"/>
                  </w:divBdr>
                  <w:divsChild>
                    <w:div w:id="677662394">
                      <w:marLeft w:val="0"/>
                      <w:marRight w:val="0"/>
                      <w:marTop w:val="0"/>
                      <w:marBottom w:val="0"/>
                      <w:divBdr>
                        <w:top w:val="none" w:sz="0" w:space="0" w:color="auto"/>
                        <w:left w:val="none" w:sz="0" w:space="0" w:color="auto"/>
                        <w:bottom w:val="none" w:sz="0" w:space="0" w:color="auto"/>
                        <w:right w:val="none" w:sz="0" w:space="0" w:color="auto"/>
                      </w:divBdr>
                    </w:div>
                  </w:divsChild>
                </w:div>
                <w:div w:id="1749575048">
                  <w:marLeft w:val="0"/>
                  <w:marRight w:val="0"/>
                  <w:marTop w:val="0"/>
                  <w:marBottom w:val="0"/>
                  <w:divBdr>
                    <w:top w:val="none" w:sz="0" w:space="0" w:color="auto"/>
                    <w:left w:val="none" w:sz="0" w:space="0" w:color="auto"/>
                    <w:bottom w:val="none" w:sz="0" w:space="0" w:color="auto"/>
                    <w:right w:val="none" w:sz="0" w:space="0" w:color="auto"/>
                  </w:divBdr>
                  <w:divsChild>
                    <w:div w:id="1604416066">
                      <w:marLeft w:val="0"/>
                      <w:marRight w:val="0"/>
                      <w:marTop w:val="0"/>
                      <w:marBottom w:val="0"/>
                      <w:divBdr>
                        <w:top w:val="none" w:sz="0" w:space="0" w:color="auto"/>
                        <w:left w:val="none" w:sz="0" w:space="0" w:color="auto"/>
                        <w:bottom w:val="none" w:sz="0" w:space="0" w:color="auto"/>
                        <w:right w:val="none" w:sz="0" w:space="0" w:color="auto"/>
                      </w:divBdr>
                    </w:div>
                  </w:divsChild>
                </w:div>
                <w:div w:id="1969622127">
                  <w:marLeft w:val="0"/>
                  <w:marRight w:val="0"/>
                  <w:marTop w:val="0"/>
                  <w:marBottom w:val="0"/>
                  <w:divBdr>
                    <w:top w:val="none" w:sz="0" w:space="0" w:color="auto"/>
                    <w:left w:val="none" w:sz="0" w:space="0" w:color="auto"/>
                    <w:bottom w:val="none" w:sz="0" w:space="0" w:color="auto"/>
                    <w:right w:val="none" w:sz="0" w:space="0" w:color="auto"/>
                  </w:divBdr>
                  <w:divsChild>
                    <w:div w:id="12318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3948">
      <w:bodyDiv w:val="1"/>
      <w:marLeft w:val="0"/>
      <w:marRight w:val="0"/>
      <w:marTop w:val="0"/>
      <w:marBottom w:val="0"/>
      <w:divBdr>
        <w:top w:val="none" w:sz="0" w:space="0" w:color="auto"/>
        <w:left w:val="none" w:sz="0" w:space="0" w:color="auto"/>
        <w:bottom w:val="none" w:sz="0" w:space="0" w:color="auto"/>
        <w:right w:val="none" w:sz="0" w:space="0" w:color="auto"/>
      </w:divBdr>
      <w:divsChild>
        <w:div w:id="877353277">
          <w:marLeft w:val="0"/>
          <w:marRight w:val="0"/>
          <w:marTop w:val="0"/>
          <w:marBottom w:val="0"/>
          <w:divBdr>
            <w:top w:val="none" w:sz="0" w:space="0" w:color="auto"/>
            <w:left w:val="none" w:sz="0" w:space="0" w:color="auto"/>
            <w:bottom w:val="none" w:sz="0" w:space="0" w:color="auto"/>
            <w:right w:val="none" w:sz="0" w:space="0" w:color="auto"/>
          </w:divBdr>
        </w:div>
      </w:divsChild>
    </w:div>
    <w:div w:id="201331909">
      <w:bodyDiv w:val="1"/>
      <w:marLeft w:val="0"/>
      <w:marRight w:val="0"/>
      <w:marTop w:val="0"/>
      <w:marBottom w:val="0"/>
      <w:divBdr>
        <w:top w:val="none" w:sz="0" w:space="0" w:color="auto"/>
        <w:left w:val="none" w:sz="0" w:space="0" w:color="auto"/>
        <w:bottom w:val="none" w:sz="0" w:space="0" w:color="auto"/>
        <w:right w:val="none" w:sz="0" w:space="0" w:color="auto"/>
      </w:divBdr>
    </w:div>
    <w:div w:id="223950117">
      <w:bodyDiv w:val="1"/>
      <w:marLeft w:val="0"/>
      <w:marRight w:val="0"/>
      <w:marTop w:val="0"/>
      <w:marBottom w:val="0"/>
      <w:divBdr>
        <w:top w:val="none" w:sz="0" w:space="0" w:color="auto"/>
        <w:left w:val="none" w:sz="0" w:space="0" w:color="auto"/>
        <w:bottom w:val="none" w:sz="0" w:space="0" w:color="auto"/>
        <w:right w:val="none" w:sz="0" w:space="0" w:color="auto"/>
      </w:divBdr>
    </w:div>
    <w:div w:id="253444841">
      <w:bodyDiv w:val="1"/>
      <w:marLeft w:val="0"/>
      <w:marRight w:val="0"/>
      <w:marTop w:val="0"/>
      <w:marBottom w:val="0"/>
      <w:divBdr>
        <w:top w:val="none" w:sz="0" w:space="0" w:color="auto"/>
        <w:left w:val="none" w:sz="0" w:space="0" w:color="auto"/>
        <w:bottom w:val="none" w:sz="0" w:space="0" w:color="auto"/>
        <w:right w:val="none" w:sz="0" w:space="0" w:color="auto"/>
      </w:divBdr>
      <w:divsChild>
        <w:div w:id="32192527">
          <w:marLeft w:val="0"/>
          <w:marRight w:val="0"/>
          <w:marTop w:val="0"/>
          <w:marBottom w:val="0"/>
          <w:divBdr>
            <w:top w:val="none" w:sz="0" w:space="0" w:color="auto"/>
            <w:left w:val="none" w:sz="0" w:space="0" w:color="auto"/>
            <w:bottom w:val="none" w:sz="0" w:space="0" w:color="auto"/>
            <w:right w:val="none" w:sz="0" w:space="0" w:color="auto"/>
          </w:divBdr>
          <w:divsChild>
            <w:div w:id="429424639">
              <w:marLeft w:val="0"/>
              <w:marRight w:val="0"/>
              <w:marTop w:val="0"/>
              <w:marBottom w:val="0"/>
              <w:divBdr>
                <w:top w:val="none" w:sz="0" w:space="0" w:color="auto"/>
                <w:left w:val="none" w:sz="0" w:space="0" w:color="auto"/>
                <w:bottom w:val="none" w:sz="0" w:space="0" w:color="auto"/>
                <w:right w:val="none" w:sz="0" w:space="0" w:color="auto"/>
              </w:divBdr>
            </w:div>
            <w:div w:id="473790759">
              <w:marLeft w:val="0"/>
              <w:marRight w:val="0"/>
              <w:marTop w:val="0"/>
              <w:marBottom w:val="0"/>
              <w:divBdr>
                <w:top w:val="none" w:sz="0" w:space="0" w:color="auto"/>
                <w:left w:val="none" w:sz="0" w:space="0" w:color="auto"/>
                <w:bottom w:val="none" w:sz="0" w:space="0" w:color="auto"/>
                <w:right w:val="none" w:sz="0" w:space="0" w:color="auto"/>
              </w:divBdr>
            </w:div>
            <w:div w:id="1313026168">
              <w:marLeft w:val="0"/>
              <w:marRight w:val="0"/>
              <w:marTop w:val="0"/>
              <w:marBottom w:val="0"/>
              <w:divBdr>
                <w:top w:val="none" w:sz="0" w:space="0" w:color="auto"/>
                <w:left w:val="none" w:sz="0" w:space="0" w:color="auto"/>
                <w:bottom w:val="none" w:sz="0" w:space="0" w:color="auto"/>
                <w:right w:val="none" w:sz="0" w:space="0" w:color="auto"/>
              </w:divBdr>
            </w:div>
            <w:div w:id="1492482780">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sChild>
        </w:div>
        <w:div w:id="193079494">
          <w:marLeft w:val="0"/>
          <w:marRight w:val="0"/>
          <w:marTop w:val="0"/>
          <w:marBottom w:val="0"/>
          <w:divBdr>
            <w:top w:val="none" w:sz="0" w:space="0" w:color="auto"/>
            <w:left w:val="none" w:sz="0" w:space="0" w:color="auto"/>
            <w:bottom w:val="none" w:sz="0" w:space="0" w:color="auto"/>
            <w:right w:val="none" w:sz="0" w:space="0" w:color="auto"/>
          </w:divBdr>
          <w:divsChild>
            <w:div w:id="658387834">
              <w:marLeft w:val="0"/>
              <w:marRight w:val="0"/>
              <w:marTop w:val="0"/>
              <w:marBottom w:val="0"/>
              <w:divBdr>
                <w:top w:val="none" w:sz="0" w:space="0" w:color="auto"/>
                <w:left w:val="none" w:sz="0" w:space="0" w:color="auto"/>
                <w:bottom w:val="none" w:sz="0" w:space="0" w:color="auto"/>
                <w:right w:val="none" w:sz="0" w:space="0" w:color="auto"/>
              </w:divBdr>
            </w:div>
            <w:div w:id="1697345861">
              <w:marLeft w:val="0"/>
              <w:marRight w:val="0"/>
              <w:marTop w:val="0"/>
              <w:marBottom w:val="0"/>
              <w:divBdr>
                <w:top w:val="none" w:sz="0" w:space="0" w:color="auto"/>
                <w:left w:val="none" w:sz="0" w:space="0" w:color="auto"/>
                <w:bottom w:val="none" w:sz="0" w:space="0" w:color="auto"/>
                <w:right w:val="none" w:sz="0" w:space="0" w:color="auto"/>
              </w:divBdr>
            </w:div>
          </w:divsChild>
        </w:div>
        <w:div w:id="249699018">
          <w:marLeft w:val="0"/>
          <w:marRight w:val="0"/>
          <w:marTop w:val="0"/>
          <w:marBottom w:val="0"/>
          <w:divBdr>
            <w:top w:val="none" w:sz="0" w:space="0" w:color="auto"/>
            <w:left w:val="none" w:sz="0" w:space="0" w:color="auto"/>
            <w:bottom w:val="none" w:sz="0" w:space="0" w:color="auto"/>
            <w:right w:val="none" w:sz="0" w:space="0" w:color="auto"/>
          </w:divBdr>
          <w:divsChild>
            <w:div w:id="172884780">
              <w:marLeft w:val="0"/>
              <w:marRight w:val="0"/>
              <w:marTop w:val="0"/>
              <w:marBottom w:val="0"/>
              <w:divBdr>
                <w:top w:val="none" w:sz="0" w:space="0" w:color="auto"/>
                <w:left w:val="none" w:sz="0" w:space="0" w:color="auto"/>
                <w:bottom w:val="none" w:sz="0" w:space="0" w:color="auto"/>
                <w:right w:val="none" w:sz="0" w:space="0" w:color="auto"/>
              </w:divBdr>
            </w:div>
            <w:div w:id="727529449">
              <w:marLeft w:val="0"/>
              <w:marRight w:val="0"/>
              <w:marTop w:val="0"/>
              <w:marBottom w:val="0"/>
              <w:divBdr>
                <w:top w:val="none" w:sz="0" w:space="0" w:color="auto"/>
                <w:left w:val="none" w:sz="0" w:space="0" w:color="auto"/>
                <w:bottom w:val="none" w:sz="0" w:space="0" w:color="auto"/>
                <w:right w:val="none" w:sz="0" w:space="0" w:color="auto"/>
              </w:divBdr>
            </w:div>
            <w:div w:id="914701452">
              <w:marLeft w:val="0"/>
              <w:marRight w:val="0"/>
              <w:marTop w:val="0"/>
              <w:marBottom w:val="0"/>
              <w:divBdr>
                <w:top w:val="none" w:sz="0" w:space="0" w:color="auto"/>
                <w:left w:val="none" w:sz="0" w:space="0" w:color="auto"/>
                <w:bottom w:val="none" w:sz="0" w:space="0" w:color="auto"/>
                <w:right w:val="none" w:sz="0" w:space="0" w:color="auto"/>
              </w:divBdr>
            </w:div>
            <w:div w:id="965357922">
              <w:marLeft w:val="0"/>
              <w:marRight w:val="0"/>
              <w:marTop w:val="0"/>
              <w:marBottom w:val="0"/>
              <w:divBdr>
                <w:top w:val="none" w:sz="0" w:space="0" w:color="auto"/>
                <w:left w:val="none" w:sz="0" w:space="0" w:color="auto"/>
                <w:bottom w:val="none" w:sz="0" w:space="0" w:color="auto"/>
                <w:right w:val="none" w:sz="0" w:space="0" w:color="auto"/>
              </w:divBdr>
            </w:div>
            <w:div w:id="1597513635">
              <w:marLeft w:val="0"/>
              <w:marRight w:val="0"/>
              <w:marTop w:val="0"/>
              <w:marBottom w:val="0"/>
              <w:divBdr>
                <w:top w:val="none" w:sz="0" w:space="0" w:color="auto"/>
                <w:left w:val="none" w:sz="0" w:space="0" w:color="auto"/>
                <w:bottom w:val="none" w:sz="0" w:space="0" w:color="auto"/>
                <w:right w:val="none" w:sz="0" w:space="0" w:color="auto"/>
              </w:divBdr>
            </w:div>
          </w:divsChild>
        </w:div>
        <w:div w:id="318271471">
          <w:marLeft w:val="0"/>
          <w:marRight w:val="0"/>
          <w:marTop w:val="0"/>
          <w:marBottom w:val="0"/>
          <w:divBdr>
            <w:top w:val="none" w:sz="0" w:space="0" w:color="auto"/>
            <w:left w:val="none" w:sz="0" w:space="0" w:color="auto"/>
            <w:bottom w:val="none" w:sz="0" w:space="0" w:color="auto"/>
            <w:right w:val="none" w:sz="0" w:space="0" w:color="auto"/>
          </w:divBdr>
          <w:divsChild>
            <w:div w:id="31462081">
              <w:marLeft w:val="0"/>
              <w:marRight w:val="0"/>
              <w:marTop w:val="0"/>
              <w:marBottom w:val="0"/>
              <w:divBdr>
                <w:top w:val="none" w:sz="0" w:space="0" w:color="auto"/>
                <w:left w:val="none" w:sz="0" w:space="0" w:color="auto"/>
                <w:bottom w:val="none" w:sz="0" w:space="0" w:color="auto"/>
                <w:right w:val="none" w:sz="0" w:space="0" w:color="auto"/>
              </w:divBdr>
            </w:div>
            <w:div w:id="1609004623">
              <w:marLeft w:val="0"/>
              <w:marRight w:val="0"/>
              <w:marTop w:val="0"/>
              <w:marBottom w:val="0"/>
              <w:divBdr>
                <w:top w:val="none" w:sz="0" w:space="0" w:color="auto"/>
                <w:left w:val="none" w:sz="0" w:space="0" w:color="auto"/>
                <w:bottom w:val="none" w:sz="0" w:space="0" w:color="auto"/>
                <w:right w:val="none" w:sz="0" w:space="0" w:color="auto"/>
              </w:divBdr>
            </w:div>
          </w:divsChild>
        </w:div>
        <w:div w:id="469514362">
          <w:marLeft w:val="0"/>
          <w:marRight w:val="0"/>
          <w:marTop w:val="0"/>
          <w:marBottom w:val="0"/>
          <w:divBdr>
            <w:top w:val="none" w:sz="0" w:space="0" w:color="auto"/>
            <w:left w:val="none" w:sz="0" w:space="0" w:color="auto"/>
            <w:bottom w:val="none" w:sz="0" w:space="0" w:color="auto"/>
            <w:right w:val="none" w:sz="0" w:space="0" w:color="auto"/>
          </w:divBdr>
          <w:divsChild>
            <w:div w:id="89396593">
              <w:marLeft w:val="0"/>
              <w:marRight w:val="0"/>
              <w:marTop w:val="0"/>
              <w:marBottom w:val="0"/>
              <w:divBdr>
                <w:top w:val="none" w:sz="0" w:space="0" w:color="auto"/>
                <w:left w:val="none" w:sz="0" w:space="0" w:color="auto"/>
                <w:bottom w:val="none" w:sz="0" w:space="0" w:color="auto"/>
                <w:right w:val="none" w:sz="0" w:space="0" w:color="auto"/>
              </w:divBdr>
            </w:div>
            <w:div w:id="288169321">
              <w:marLeft w:val="0"/>
              <w:marRight w:val="0"/>
              <w:marTop w:val="0"/>
              <w:marBottom w:val="0"/>
              <w:divBdr>
                <w:top w:val="none" w:sz="0" w:space="0" w:color="auto"/>
                <w:left w:val="none" w:sz="0" w:space="0" w:color="auto"/>
                <w:bottom w:val="none" w:sz="0" w:space="0" w:color="auto"/>
                <w:right w:val="none" w:sz="0" w:space="0" w:color="auto"/>
              </w:divBdr>
            </w:div>
            <w:div w:id="1930919530">
              <w:marLeft w:val="0"/>
              <w:marRight w:val="0"/>
              <w:marTop w:val="0"/>
              <w:marBottom w:val="0"/>
              <w:divBdr>
                <w:top w:val="none" w:sz="0" w:space="0" w:color="auto"/>
                <w:left w:val="none" w:sz="0" w:space="0" w:color="auto"/>
                <w:bottom w:val="none" w:sz="0" w:space="0" w:color="auto"/>
                <w:right w:val="none" w:sz="0" w:space="0" w:color="auto"/>
              </w:divBdr>
            </w:div>
          </w:divsChild>
        </w:div>
        <w:div w:id="987442050">
          <w:marLeft w:val="0"/>
          <w:marRight w:val="0"/>
          <w:marTop w:val="0"/>
          <w:marBottom w:val="0"/>
          <w:divBdr>
            <w:top w:val="none" w:sz="0" w:space="0" w:color="auto"/>
            <w:left w:val="none" w:sz="0" w:space="0" w:color="auto"/>
            <w:bottom w:val="none" w:sz="0" w:space="0" w:color="auto"/>
            <w:right w:val="none" w:sz="0" w:space="0" w:color="auto"/>
          </w:divBdr>
          <w:divsChild>
            <w:div w:id="1172724944">
              <w:marLeft w:val="0"/>
              <w:marRight w:val="0"/>
              <w:marTop w:val="0"/>
              <w:marBottom w:val="0"/>
              <w:divBdr>
                <w:top w:val="none" w:sz="0" w:space="0" w:color="auto"/>
                <w:left w:val="none" w:sz="0" w:space="0" w:color="auto"/>
                <w:bottom w:val="none" w:sz="0" w:space="0" w:color="auto"/>
                <w:right w:val="none" w:sz="0" w:space="0" w:color="auto"/>
              </w:divBdr>
            </w:div>
            <w:div w:id="1544094103">
              <w:marLeft w:val="0"/>
              <w:marRight w:val="0"/>
              <w:marTop w:val="0"/>
              <w:marBottom w:val="0"/>
              <w:divBdr>
                <w:top w:val="none" w:sz="0" w:space="0" w:color="auto"/>
                <w:left w:val="none" w:sz="0" w:space="0" w:color="auto"/>
                <w:bottom w:val="none" w:sz="0" w:space="0" w:color="auto"/>
                <w:right w:val="none" w:sz="0" w:space="0" w:color="auto"/>
              </w:divBdr>
            </w:div>
            <w:div w:id="1979602418">
              <w:marLeft w:val="0"/>
              <w:marRight w:val="0"/>
              <w:marTop w:val="0"/>
              <w:marBottom w:val="0"/>
              <w:divBdr>
                <w:top w:val="none" w:sz="0" w:space="0" w:color="auto"/>
                <w:left w:val="none" w:sz="0" w:space="0" w:color="auto"/>
                <w:bottom w:val="none" w:sz="0" w:space="0" w:color="auto"/>
                <w:right w:val="none" w:sz="0" w:space="0" w:color="auto"/>
              </w:divBdr>
            </w:div>
            <w:div w:id="1979843762">
              <w:marLeft w:val="0"/>
              <w:marRight w:val="0"/>
              <w:marTop w:val="0"/>
              <w:marBottom w:val="0"/>
              <w:divBdr>
                <w:top w:val="none" w:sz="0" w:space="0" w:color="auto"/>
                <w:left w:val="none" w:sz="0" w:space="0" w:color="auto"/>
                <w:bottom w:val="none" w:sz="0" w:space="0" w:color="auto"/>
                <w:right w:val="none" w:sz="0" w:space="0" w:color="auto"/>
              </w:divBdr>
            </w:div>
            <w:div w:id="2077169058">
              <w:marLeft w:val="0"/>
              <w:marRight w:val="0"/>
              <w:marTop w:val="0"/>
              <w:marBottom w:val="0"/>
              <w:divBdr>
                <w:top w:val="none" w:sz="0" w:space="0" w:color="auto"/>
                <w:left w:val="none" w:sz="0" w:space="0" w:color="auto"/>
                <w:bottom w:val="none" w:sz="0" w:space="0" w:color="auto"/>
                <w:right w:val="none" w:sz="0" w:space="0" w:color="auto"/>
              </w:divBdr>
            </w:div>
          </w:divsChild>
        </w:div>
        <w:div w:id="1021711798">
          <w:marLeft w:val="0"/>
          <w:marRight w:val="0"/>
          <w:marTop w:val="0"/>
          <w:marBottom w:val="0"/>
          <w:divBdr>
            <w:top w:val="none" w:sz="0" w:space="0" w:color="auto"/>
            <w:left w:val="none" w:sz="0" w:space="0" w:color="auto"/>
            <w:bottom w:val="none" w:sz="0" w:space="0" w:color="auto"/>
            <w:right w:val="none" w:sz="0" w:space="0" w:color="auto"/>
          </w:divBdr>
          <w:divsChild>
            <w:div w:id="90853700">
              <w:marLeft w:val="0"/>
              <w:marRight w:val="0"/>
              <w:marTop w:val="0"/>
              <w:marBottom w:val="0"/>
              <w:divBdr>
                <w:top w:val="none" w:sz="0" w:space="0" w:color="auto"/>
                <w:left w:val="none" w:sz="0" w:space="0" w:color="auto"/>
                <w:bottom w:val="none" w:sz="0" w:space="0" w:color="auto"/>
                <w:right w:val="none" w:sz="0" w:space="0" w:color="auto"/>
              </w:divBdr>
            </w:div>
            <w:div w:id="1789859750">
              <w:marLeft w:val="0"/>
              <w:marRight w:val="0"/>
              <w:marTop w:val="0"/>
              <w:marBottom w:val="0"/>
              <w:divBdr>
                <w:top w:val="none" w:sz="0" w:space="0" w:color="auto"/>
                <w:left w:val="none" w:sz="0" w:space="0" w:color="auto"/>
                <w:bottom w:val="none" w:sz="0" w:space="0" w:color="auto"/>
                <w:right w:val="none" w:sz="0" w:space="0" w:color="auto"/>
              </w:divBdr>
            </w:div>
            <w:div w:id="2065173275">
              <w:marLeft w:val="0"/>
              <w:marRight w:val="0"/>
              <w:marTop w:val="0"/>
              <w:marBottom w:val="0"/>
              <w:divBdr>
                <w:top w:val="none" w:sz="0" w:space="0" w:color="auto"/>
                <w:left w:val="none" w:sz="0" w:space="0" w:color="auto"/>
                <w:bottom w:val="none" w:sz="0" w:space="0" w:color="auto"/>
                <w:right w:val="none" w:sz="0" w:space="0" w:color="auto"/>
              </w:divBdr>
            </w:div>
            <w:div w:id="2108887884">
              <w:marLeft w:val="0"/>
              <w:marRight w:val="0"/>
              <w:marTop w:val="0"/>
              <w:marBottom w:val="0"/>
              <w:divBdr>
                <w:top w:val="none" w:sz="0" w:space="0" w:color="auto"/>
                <w:left w:val="none" w:sz="0" w:space="0" w:color="auto"/>
                <w:bottom w:val="none" w:sz="0" w:space="0" w:color="auto"/>
                <w:right w:val="none" w:sz="0" w:space="0" w:color="auto"/>
              </w:divBdr>
            </w:div>
          </w:divsChild>
        </w:div>
        <w:div w:id="1269703579">
          <w:marLeft w:val="0"/>
          <w:marRight w:val="0"/>
          <w:marTop w:val="0"/>
          <w:marBottom w:val="0"/>
          <w:divBdr>
            <w:top w:val="none" w:sz="0" w:space="0" w:color="auto"/>
            <w:left w:val="none" w:sz="0" w:space="0" w:color="auto"/>
            <w:bottom w:val="none" w:sz="0" w:space="0" w:color="auto"/>
            <w:right w:val="none" w:sz="0" w:space="0" w:color="auto"/>
          </w:divBdr>
          <w:divsChild>
            <w:div w:id="765199382">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1404841319">
              <w:marLeft w:val="0"/>
              <w:marRight w:val="0"/>
              <w:marTop w:val="0"/>
              <w:marBottom w:val="0"/>
              <w:divBdr>
                <w:top w:val="none" w:sz="0" w:space="0" w:color="auto"/>
                <w:left w:val="none" w:sz="0" w:space="0" w:color="auto"/>
                <w:bottom w:val="none" w:sz="0" w:space="0" w:color="auto"/>
                <w:right w:val="none" w:sz="0" w:space="0" w:color="auto"/>
              </w:divBdr>
            </w:div>
          </w:divsChild>
        </w:div>
        <w:div w:id="1278492326">
          <w:marLeft w:val="0"/>
          <w:marRight w:val="0"/>
          <w:marTop w:val="0"/>
          <w:marBottom w:val="0"/>
          <w:divBdr>
            <w:top w:val="none" w:sz="0" w:space="0" w:color="auto"/>
            <w:left w:val="none" w:sz="0" w:space="0" w:color="auto"/>
            <w:bottom w:val="none" w:sz="0" w:space="0" w:color="auto"/>
            <w:right w:val="none" w:sz="0" w:space="0" w:color="auto"/>
          </w:divBdr>
          <w:divsChild>
            <w:div w:id="1973710914">
              <w:marLeft w:val="0"/>
              <w:marRight w:val="0"/>
              <w:marTop w:val="0"/>
              <w:marBottom w:val="0"/>
              <w:divBdr>
                <w:top w:val="none" w:sz="0" w:space="0" w:color="auto"/>
                <w:left w:val="none" w:sz="0" w:space="0" w:color="auto"/>
                <w:bottom w:val="none" w:sz="0" w:space="0" w:color="auto"/>
                <w:right w:val="none" w:sz="0" w:space="0" w:color="auto"/>
              </w:divBdr>
            </w:div>
          </w:divsChild>
        </w:div>
        <w:div w:id="1450397170">
          <w:marLeft w:val="0"/>
          <w:marRight w:val="0"/>
          <w:marTop w:val="0"/>
          <w:marBottom w:val="0"/>
          <w:divBdr>
            <w:top w:val="none" w:sz="0" w:space="0" w:color="auto"/>
            <w:left w:val="none" w:sz="0" w:space="0" w:color="auto"/>
            <w:bottom w:val="none" w:sz="0" w:space="0" w:color="auto"/>
            <w:right w:val="none" w:sz="0" w:space="0" w:color="auto"/>
          </w:divBdr>
          <w:divsChild>
            <w:div w:id="820851042">
              <w:marLeft w:val="0"/>
              <w:marRight w:val="0"/>
              <w:marTop w:val="0"/>
              <w:marBottom w:val="0"/>
              <w:divBdr>
                <w:top w:val="none" w:sz="0" w:space="0" w:color="auto"/>
                <w:left w:val="none" w:sz="0" w:space="0" w:color="auto"/>
                <w:bottom w:val="none" w:sz="0" w:space="0" w:color="auto"/>
                <w:right w:val="none" w:sz="0" w:space="0" w:color="auto"/>
              </w:divBdr>
            </w:div>
            <w:div w:id="1157842331">
              <w:marLeft w:val="0"/>
              <w:marRight w:val="0"/>
              <w:marTop w:val="0"/>
              <w:marBottom w:val="0"/>
              <w:divBdr>
                <w:top w:val="none" w:sz="0" w:space="0" w:color="auto"/>
                <w:left w:val="none" w:sz="0" w:space="0" w:color="auto"/>
                <w:bottom w:val="none" w:sz="0" w:space="0" w:color="auto"/>
                <w:right w:val="none" w:sz="0" w:space="0" w:color="auto"/>
              </w:divBdr>
            </w:div>
            <w:div w:id="1547715698">
              <w:marLeft w:val="0"/>
              <w:marRight w:val="0"/>
              <w:marTop w:val="0"/>
              <w:marBottom w:val="0"/>
              <w:divBdr>
                <w:top w:val="none" w:sz="0" w:space="0" w:color="auto"/>
                <w:left w:val="none" w:sz="0" w:space="0" w:color="auto"/>
                <w:bottom w:val="none" w:sz="0" w:space="0" w:color="auto"/>
                <w:right w:val="none" w:sz="0" w:space="0" w:color="auto"/>
              </w:divBdr>
            </w:div>
            <w:div w:id="1919901083">
              <w:marLeft w:val="0"/>
              <w:marRight w:val="0"/>
              <w:marTop w:val="0"/>
              <w:marBottom w:val="0"/>
              <w:divBdr>
                <w:top w:val="none" w:sz="0" w:space="0" w:color="auto"/>
                <w:left w:val="none" w:sz="0" w:space="0" w:color="auto"/>
                <w:bottom w:val="none" w:sz="0" w:space="0" w:color="auto"/>
                <w:right w:val="none" w:sz="0" w:space="0" w:color="auto"/>
              </w:divBdr>
            </w:div>
          </w:divsChild>
        </w:div>
        <w:div w:id="1626697805">
          <w:marLeft w:val="0"/>
          <w:marRight w:val="0"/>
          <w:marTop w:val="0"/>
          <w:marBottom w:val="0"/>
          <w:divBdr>
            <w:top w:val="none" w:sz="0" w:space="0" w:color="auto"/>
            <w:left w:val="none" w:sz="0" w:space="0" w:color="auto"/>
            <w:bottom w:val="none" w:sz="0" w:space="0" w:color="auto"/>
            <w:right w:val="none" w:sz="0" w:space="0" w:color="auto"/>
          </w:divBdr>
          <w:divsChild>
            <w:div w:id="85884110">
              <w:marLeft w:val="0"/>
              <w:marRight w:val="0"/>
              <w:marTop w:val="0"/>
              <w:marBottom w:val="0"/>
              <w:divBdr>
                <w:top w:val="none" w:sz="0" w:space="0" w:color="auto"/>
                <w:left w:val="none" w:sz="0" w:space="0" w:color="auto"/>
                <w:bottom w:val="none" w:sz="0" w:space="0" w:color="auto"/>
                <w:right w:val="none" w:sz="0" w:space="0" w:color="auto"/>
              </w:divBdr>
            </w:div>
            <w:div w:id="102385959">
              <w:marLeft w:val="0"/>
              <w:marRight w:val="0"/>
              <w:marTop w:val="0"/>
              <w:marBottom w:val="0"/>
              <w:divBdr>
                <w:top w:val="none" w:sz="0" w:space="0" w:color="auto"/>
                <w:left w:val="none" w:sz="0" w:space="0" w:color="auto"/>
                <w:bottom w:val="none" w:sz="0" w:space="0" w:color="auto"/>
                <w:right w:val="none" w:sz="0" w:space="0" w:color="auto"/>
              </w:divBdr>
            </w:div>
            <w:div w:id="306595131">
              <w:marLeft w:val="0"/>
              <w:marRight w:val="0"/>
              <w:marTop w:val="0"/>
              <w:marBottom w:val="0"/>
              <w:divBdr>
                <w:top w:val="none" w:sz="0" w:space="0" w:color="auto"/>
                <w:left w:val="none" w:sz="0" w:space="0" w:color="auto"/>
                <w:bottom w:val="none" w:sz="0" w:space="0" w:color="auto"/>
                <w:right w:val="none" w:sz="0" w:space="0" w:color="auto"/>
              </w:divBdr>
            </w:div>
            <w:div w:id="544566971">
              <w:marLeft w:val="0"/>
              <w:marRight w:val="0"/>
              <w:marTop w:val="0"/>
              <w:marBottom w:val="0"/>
              <w:divBdr>
                <w:top w:val="none" w:sz="0" w:space="0" w:color="auto"/>
                <w:left w:val="none" w:sz="0" w:space="0" w:color="auto"/>
                <w:bottom w:val="none" w:sz="0" w:space="0" w:color="auto"/>
                <w:right w:val="none" w:sz="0" w:space="0" w:color="auto"/>
              </w:divBdr>
            </w:div>
            <w:div w:id="1259021430">
              <w:marLeft w:val="0"/>
              <w:marRight w:val="0"/>
              <w:marTop w:val="0"/>
              <w:marBottom w:val="0"/>
              <w:divBdr>
                <w:top w:val="none" w:sz="0" w:space="0" w:color="auto"/>
                <w:left w:val="none" w:sz="0" w:space="0" w:color="auto"/>
                <w:bottom w:val="none" w:sz="0" w:space="0" w:color="auto"/>
                <w:right w:val="none" w:sz="0" w:space="0" w:color="auto"/>
              </w:divBdr>
            </w:div>
          </w:divsChild>
        </w:div>
        <w:div w:id="1779787220">
          <w:marLeft w:val="0"/>
          <w:marRight w:val="0"/>
          <w:marTop w:val="0"/>
          <w:marBottom w:val="0"/>
          <w:divBdr>
            <w:top w:val="none" w:sz="0" w:space="0" w:color="auto"/>
            <w:left w:val="none" w:sz="0" w:space="0" w:color="auto"/>
            <w:bottom w:val="none" w:sz="0" w:space="0" w:color="auto"/>
            <w:right w:val="none" w:sz="0" w:space="0" w:color="auto"/>
          </w:divBdr>
          <w:divsChild>
            <w:div w:id="176503743">
              <w:marLeft w:val="0"/>
              <w:marRight w:val="0"/>
              <w:marTop w:val="0"/>
              <w:marBottom w:val="0"/>
              <w:divBdr>
                <w:top w:val="none" w:sz="0" w:space="0" w:color="auto"/>
                <w:left w:val="none" w:sz="0" w:space="0" w:color="auto"/>
                <w:bottom w:val="none" w:sz="0" w:space="0" w:color="auto"/>
                <w:right w:val="none" w:sz="0" w:space="0" w:color="auto"/>
              </w:divBdr>
            </w:div>
            <w:div w:id="469832412">
              <w:marLeft w:val="0"/>
              <w:marRight w:val="0"/>
              <w:marTop w:val="0"/>
              <w:marBottom w:val="0"/>
              <w:divBdr>
                <w:top w:val="none" w:sz="0" w:space="0" w:color="auto"/>
                <w:left w:val="none" w:sz="0" w:space="0" w:color="auto"/>
                <w:bottom w:val="none" w:sz="0" w:space="0" w:color="auto"/>
                <w:right w:val="none" w:sz="0" w:space="0" w:color="auto"/>
              </w:divBdr>
            </w:div>
            <w:div w:id="999888590">
              <w:marLeft w:val="0"/>
              <w:marRight w:val="0"/>
              <w:marTop w:val="0"/>
              <w:marBottom w:val="0"/>
              <w:divBdr>
                <w:top w:val="none" w:sz="0" w:space="0" w:color="auto"/>
                <w:left w:val="none" w:sz="0" w:space="0" w:color="auto"/>
                <w:bottom w:val="none" w:sz="0" w:space="0" w:color="auto"/>
                <w:right w:val="none" w:sz="0" w:space="0" w:color="auto"/>
              </w:divBdr>
            </w:div>
            <w:div w:id="1057319238">
              <w:marLeft w:val="0"/>
              <w:marRight w:val="0"/>
              <w:marTop w:val="0"/>
              <w:marBottom w:val="0"/>
              <w:divBdr>
                <w:top w:val="none" w:sz="0" w:space="0" w:color="auto"/>
                <w:left w:val="none" w:sz="0" w:space="0" w:color="auto"/>
                <w:bottom w:val="none" w:sz="0" w:space="0" w:color="auto"/>
                <w:right w:val="none" w:sz="0" w:space="0" w:color="auto"/>
              </w:divBdr>
            </w:div>
            <w:div w:id="1076896334">
              <w:marLeft w:val="0"/>
              <w:marRight w:val="0"/>
              <w:marTop w:val="0"/>
              <w:marBottom w:val="0"/>
              <w:divBdr>
                <w:top w:val="none" w:sz="0" w:space="0" w:color="auto"/>
                <w:left w:val="none" w:sz="0" w:space="0" w:color="auto"/>
                <w:bottom w:val="none" w:sz="0" w:space="0" w:color="auto"/>
                <w:right w:val="none" w:sz="0" w:space="0" w:color="auto"/>
              </w:divBdr>
            </w:div>
          </w:divsChild>
        </w:div>
        <w:div w:id="1992632508">
          <w:marLeft w:val="0"/>
          <w:marRight w:val="0"/>
          <w:marTop w:val="0"/>
          <w:marBottom w:val="0"/>
          <w:divBdr>
            <w:top w:val="none" w:sz="0" w:space="0" w:color="auto"/>
            <w:left w:val="none" w:sz="0" w:space="0" w:color="auto"/>
            <w:bottom w:val="none" w:sz="0" w:space="0" w:color="auto"/>
            <w:right w:val="none" w:sz="0" w:space="0" w:color="auto"/>
          </w:divBdr>
          <w:divsChild>
            <w:div w:id="844438993">
              <w:marLeft w:val="0"/>
              <w:marRight w:val="0"/>
              <w:marTop w:val="0"/>
              <w:marBottom w:val="0"/>
              <w:divBdr>
                <w:top w:val="none" w:sz="0" w:space="0" w:color="auto"/>
                <w:left w:val="none" w:sz="0" w:space="0" w:color="auto"/>
                <w:bottom w:val="none" w:sz="0" w:space="0" w:color="auto"/>
                <w:right w:val="none" w:sz="0" w:space="0" w:color="auto"/>
              </w:divBdr>
            </w:div>
            <w:div w:id="2129927517">
              <w:marLeft w:val="0"/>
              <w:marRight w:val="0"/>
              <w:marTop w:val="0"/>
              <w:marBottom w:val="0"/>
              <w:divBdr>
                <w:top w:val="none" w:sz="0" w:space="0" w:color="auto"/>
                <w:left w:val="none" w:sz="0" w:space="0" w:color="auto"/>
                <w:bottom w:val="none" w:sz="0" w:space="0" w:color="auto"/>
                <w:right w:val="none" w:sz="0" w:space="0" w:color="auto"/>
              </w:divBdr>
            </w:div>
            <w:div w:id="2141147568">
              <w:marLeft w:val="0"/>
              <w:marRight w:val="0"/>
              <w:marTop w:val="0"/>
              <w:marBottom w:val="0"/>
              <w:divBdr>
                <w:top w:val="none" w:sz="0" w:space="0" w:color="auto"/>
                <w:left w:val="none" w:sz="0" w:space="0" w:color="auto"/>
                <w:bottom w:val="none" w:sz="0" w:space="0" w:color="auto"/>
                <w:right w:val="none" w:sz="0" w:space="0" w:color="auto"/>
              </w:divBdr>
            </w:div>
          </w:divsChild>
        </w:div>
        <w:div w:id="2005275864">
          <w:marLeft w:val="0"/>
          <w:marRight w:val="0"/>
          <w:marTop w:val="0"/>
          <w:marBottom w:val="0"/>
          <w:divBdr>
            <w:top w:val="none" w:sz="0" w:space="0" w:color="auto"/>
            <w:left w:val="none" w:sz="0" w:space="0" w:color="auto"/>
            <w:bottom w:val="none" w:sz="0" w:space="0" w:color="auto"/>
            <w:right w:val="none" w:sz="0" w:space="0" w:color="auto"/>
          </w:divBdr>
          <w:divsChild>
            <w:div w:id="788862599">
              <w:marLeft w:val="0"/>
              <w:marRight w:val="0"/>
              <w:marTop w:val="0"/>
              <w:marBottom w:val="0"/>
              <w:divBdr>
                <w:top w:val="none" w:sz="0" w:space="0" w:color="auto"/>
                <w:left w:val="none" w:sz="0" w:space="0" w:color="auto"/>
                <w:bottom w:val="none" w:sz="0" w:space="0" w:color="auto"/>
                <w:right w:val="none" w:sz="0" w:space="0" w:color="auto"/>
              </w:divBdr>
            </w:div>
            <w:div w:id="1013455540">
              <w:marLeft w:val="0"/>
              <w:marRight w:val="0"/>
              <w:marTop w:val="0"/>
              <w:marBottom w:val="0"/>
              <w:divBdr>
                <w:top w:val="none" w:sz="0" w:space="0" w:color="auto"/>
                <w:left w:val="none" w:sz="0" w:space="0" w:color="auto"/>
                <w:bottom w:val="none" w:sz="0" w:space="0" w:color="auto"/>
                <w:right w:val="none" w:sz="0" w:space="0" w:color="auto"/>
              </w:divBdr>
            </w:div>
            <w:div w:id="1103719480">
              <w:marLeft w:val="0"/>
              <w:marRight w:val="0"/>
              <w:marTop w:val="0"/>
              <w:marBottom w:val="0"/>
              <w:divBdr>
                <w:top w:val="none" w:sz="0" w:space="0" w:color="auto"/>
                <w:left w:val="none" w:sz="0" w:space="0" w:color="auto"/>
                <w:bottom w:val="none" w:sz="0" w:space="0" w:color="auto"/>
                <w:right w:val="none" w:sz="0" w:space="0" w:color="auto"/>
              </w:divBdr>
            </w:div>
            <w:div w:id="1525946959">
              <w:marLeft w:val="0"/>
              <w:marRight w:val="0"/>
              <w:marTop w:val="0"/>
              <w:marBottom w:val="0"/>
              <w:divBdr>
                <w:top w:val="none" w:sz="0" w:space="0" w:color="auto"/>
                <w:left w:val="none" w:sz="0" w:space="0" w:color="auto"/>
                <w:bottom w:val="none" w:sz="0" w:space="0" w:color="auto"/>
                <w:right w:val="none" w:sz="0" w:space="0" w:color="auto"/>
              </w:divBdr>
            </w:div>
            <w:div w:id="1792048963">
              <w:marLeft w:val="0"/>
              <w:marRight w:val="0"/>
              <w:marTop w:val="0"/>
              <w:marBottom w:val="0"/>
              <w:divBdr>
                <w:top w:val="none" w:sz="0" w:space="0" w:color="auto"/>
                <w:left w:val="none" w:sz="0" w:space="0" w:color="auto"/>
                <w:bottom w:val="none" w:sz="0" w:space="0" w:color="auto"/>
                <w:right w:val="none" w:sz="0" w:space="0" w:color="auto"/>
              </w:divBdr>
            </w:div>
          </w:divsChild>
        </w:div>
        <w:div w:id="2047440292">
          <w:marLeft w:val="0"/>
          <w:marRight w:val="0"/>
          <w:marTop w:val="0"/>
          <w:marBottom w:val="0"/>
          <w:divBdr>
            <w:top w:val="none" w:sz="0" w:space="0" w:color="auto"/>
            <w:left w:val="none" w:sz="0" w:space="0" w:color="auto"/>
            <w:bottom w:val="none" w:sz="0" w:space="0" w:color="auto"/>
            <w:right w:val="none" w:sz="0" w:space="0" w:color="auto"/>
          </w:divBdr>
          <w:divsChild>
            <w:div w:id="1441993522">
              <w:marLeft w:val="-75"/>
              <w:marRight w:val="0"/>
              <w:marTop w:val="30"/>
              <w:marBottom w:val="30"/>
              <w:divBdr>
                <w:top w:val="none" w:sz="0" w:space="0" w:color="auto"/>
                <w:left w:val="none" w:sz="0" w:space="0" w:color="auto"/>
                <w:bottom w:val="none" w:sz="0" w:space="0" w:color="auto"/>
                <w:right w:val="none" w:sz="0" w:space="0" w:color="auto"/>
              </w:divBdr>
              <w:divsChild>
                <w:div w:id="214052598">
                  <w:marLeft w:val="0"/>
                  <w:marRight w:val="0"/>
                  <w:marTop w:val="0"/>
                  <w:marBottom w:val="0"/>
                  <w:divBdr>
                    <w:top w:val="none" w:sz="0" w:space="0" w:color="auto"/>
                    <w:left w:val="none" w:sz="0" w:space="0" w:color="auto"/>
                    <w:bottom w:val="none" w:sz="0" w:space="0" w:color="auto"/>
                    <w:right w:val="none" w:sz="0" w:space="0" w:color="auto"/>
                  </w:divBdr>
                  <w:divsChild>
                    <w:div w:id="1402867723">
                      <w:marLeft w:val="0"/>
                      <w:marRight w:val="0"/>
                      <w:marTop w:val="0"/>
                      <w:marBottom w:val="0"/>
                      <w:divBdr>
                        <w:top w:val="none" w:sz="0" w:space="0" w:color="auto"/>
                        <w:left w:val="none" w:sz="0" w:space="0" w:color="auto"/>
                        <w:bottom w:val="none" w:sz="0" w:space="0" w:color="auto"/>
                        <w:right w:val="none" w:sz="0" w:space="0" w:color="auto"/>
                      </w:divBdr>
                    </w:div>
                  </w:divsChild>
                </w:div>
                <w:div w:id="390546712">
                  <w:marLeft w:val="0"/>
                  <w:marRight w:val="0"/>
                  <w:marTop w:val="0"/>
                  <w:marBottom w:val="0"/>
                  <w:divBdr>
                    <w:top w:val="none" w:sz="0" w:space="0" w:color="auto"/>
                    <w:left w:val="none" w:sz="0" w:space="0" w:color="auto"/>
                    <w:bottom w:val="none" w:sz="0" w:space="0" w:color="auto"/>
                    <w:right w:val="none" w:sz="0" w:space="0" w:color="auto"/>
                  </w:divBdr>
                  <w:divsChild>
                    <w:div w:id="1861354367">
                      <w:marLeft w:val="0"/>
                      <w:marRight w:val="0"/>
                      <w:marTop w:val="0"/>
                      <w:marBottom w:val="0"/>
                      <w:divBdr>
                        <w:top w:val="none" w:sz="0" w:space="0" w:color="auto"/>
                        <w:left w:val="none" w:sz="0" w:space="0" w:color="auto"/>
                        <w:bottom w:val="none" w:sz="0" w:space="0" w:color="auto"/>
                        <w:right w:val="none" w:sz="0" w:space="0" w:color="auto"/>
                      </w:divBdr>
                    </w:div>
                  </w:divsChild>
                </w:div>
                <w:div w:id="577983613">
                  <w:marLeft w:val="0"/>
                  <w:marRight w:val="0"/>
                  <w:marTop w:val="0"/>
                  <w:marBottom w:val="0"/>
                  <w:divBdr>
                    <w:top w:val="none" w:sz="0" w:space="0" w:color="auto"/>
                    <w:left w:val="none" w:sz="0" w:space="0" w:color="auto"/>
                    <w:bottom w:val="none" w:sz="0" w:space="0" w:color="auto"/>
                    <w:right w:val="none" w:sz="0" w:space="0" w:color="auto"/>
                  </w:divBdr>
                  <w:divsChild>
                    <w:div w:id="824782725">
                      <w:marLeft w:val="0"/>
                      <w:marRight w:val="0"/>
                      <w:marTop w:val="0"/>
                      <w:marBottom w:val="0"/>
                      <w:divBdr>
                        <w:top w:val="none" w:sz="0" w:space="0" w:color="auto"/>
                        <w:left w:val="none" w:sz="0" w:space="0" w:color="auto"/>
                        <w:bottom w:val="none" w:sz="0" w:space="0" w:color="auto"/>
                        <w:right w:val="none" w:sz="0" w:space="0" w:color="auto"/>
                      </w:divBdr>
                    </w:div>
                  </w:divsChild>
                </w:div>
                <w:div w:id="588543311">
                  <w:marLeft w:val="0"/>
                  <w:marRight w:val="0"/>
                  <w:marTop w:val="0"/>
                  <w:marBottom w:val="0"/>
                  <w:divBdr>
                    <w:top w:val="none" w:sz="0" w:space="0" w:color="auto"/>
                    <w:left w:val="none" w:sz="0" w:space="0" w:color="auto"/>
                    <w:bottom w:val="none" w:sz="0" w:space="0" w:color="auto"/>
                    <w:right w:val="none" w:sz="0" w:space="0" w:color="auto"/>
                  </w:divBdr>
                  <w:divsChild>
                    <w:div w:id="1390226583">
                      <w:marLeft w:val="0"/>
                      <w:marRight w:val="0"/>
                      <w:marTop w:val="0"/>
                      <w:marBottom w:val="0"/>
                      <w:divBdr>
                        <w:top w:val="none" w:sz="0" w:space="0" w:color="auto"/>
                        <w:left w:val="none" w:sz="0" w:space="0" w:color="auto"/>
                        <w:bottom w:val="none" w:sz="0" w:space="0" w:color="auto"/>
                        <w:right w:val="none" w:sz="0" w:space="0" w:color="auto"/>
                      </w:divBdr>
                    </w:div>
                    <w:div w:id="1681732217">
                      <w:marLeft w:val="0"/>
                      <w:marRight w:val="0"/>
                      <w:marTop w:val="0"/>
                      <w:marBottom w:val="0"/>
                      <w:divBdr>
                        <w:top w:val="none" w:sz="0" w:space="0" w:color="auto"/>
                        <w:left w:val="none" w:sz="0" w:space="0" w:color="auto"/>
                        <w:bottom w:val="none" w:sz="0" w:space="0" w:color="auto"/>
                        <w:right w:val="none" w:sz="0" w:space="0" w:color="auto"/>
                      </w:divBdr>
                    </w:div>
                    <w:div w:id="1945723646">
                      <w:marLeft w:val="0"/>
                      <w:marRight w:val="0"/>
                      <w:marTop w:val="0"/>
                      <w:marBottom w:val="0"/>
                      <w:divBdr>
                        <w:top w:val="none" w:sz="0" w:space="0" w:color="auto"/>
                        <w:left w:val="none" w:sz="0" w:space="0" w:color="auto"/>
                        <w:bottom w:val="none" w:sz="0" w:space="0" w:color="auto"/>
                        <w:right w:val="none" w:sz="0" w:space="0" w:color="auto"/>
                      </w:divBdr>
                    </w:div>
                  </w:divsChild>
                </w:div>
                <w:div w:id="845169945">
                  <w:marLeft w:val="0"/>
                  <w:marRight w:val="0"/>
                  <w:marTop w:val="0"/>
                  <w:marBottom w:val="0"/>
                  <w:divBdr>
                    <w:top w:val="none" w:sz="0" w:space="0" w:color="auto"/>
                    <w:left w:val="none" w:sz="0" w:space="0" w:color="auto"/>
                    <w:bottom w:val="none" w:sz="0" w:space="0" w:color="auto"/>
                    <w:right w:val="none" w:sz="0" w:space="0" w:color="auto"/>
                  </w:divBdr>
                  <w:divsChild>
                    <w:div w:id="1603756357">
                      <w:marLeft w:val="0"/>
                      <w:marRight w:val="0"/>
                      <w:marTop w:val="0"/>
                      <w:marBottom w:val="0"/>
                      <w:divBdr>
                        <w:top w:val="none" w:sz="0" w:space="0" w:color="auto"/>
                        <w:left w:val="none" w:sz="0" w:space="0" w:color="auto"/>
                        <w:bottom w:val="none" w:sz="0" w:space="0" w:color="auto"/>
                        <w:right w:val="none" w:sz="0" w:space="0" w:color="auto"/>
                      </w:divBdr>
                    </w:div>
                  </w:divsChild>
                </w:div>
                <w:div w:id="870844682">
                  <w:marLeft w:val="0"/>
                  <w:marRight w:val="0"/>
                  <w:marTop w:val="0"/>
                  <w:marBottom w:val="0"/>
                  <w:divBdr>
                    <w:top w:val="none" w:sz="0" w:space="0" w:color="auto"/>
                    <w:left w:val="none" w:sz="0" w:space="0" w:color="auto"/>
                    <w:bottom w:val="none" w:sz="0" w:space="0" w:color="auto"/>
                    <w:right w:val="none" w:sz="0" w:space="0" w:color="auto"/>
                  </w:divBdr>
                  <w:divsChild>
                    <w:div w:id="689338951">
                      <w:marLeft w:val="0"/>
                      <w:marRight w:val="0"/>
                      <w:marTop w:val="0"/>
                      <w:marBottom w:val="0"/>
                      <w:divBdr>
                        <w:top w:val="none" w:sz="0" w:space="0" w:color="auto"/>
                        <w:left w:val="none" w:sz="0" w:space="0" w:color="auto"/>
                        <w:bottom w:val="none" w:sz="0" w:space="0" w:color="auto"/>
                        <w:right w:val="none" w:sz="0" w:space="0" w:color="auto"/>
                      </w:divBdr>
                    </w:div>
                  </w:divsChild>
                </w:div>
                <w:div w:id="1357272890">
                  <w:marLeft w:val="0"/>
                  <w:marRight w:val="0"/>
                  <w:marTop w:val="0"/>
                  <w:marBottom w:val="0"/>
                  <w:divBdr>
                    <w:top w:val="none" w:sz="0" w:space="0" w:color="auto"/>
                    <w:left w:val="none" w:sz="0" w:space="0" w:color="auto"/>
                    <w:bottom w:val="none" w:sz="0" w:space="0" w:color="auto"/>
                    <w:right w:val="none" w:sz="0" w:space="0" w:color="auto"/>
                  </w:divBdr>
                  <w:divsChild>
                    <w:div w:id="1536037244">
                      <w:marLeft w:val="0"/>
                      <w:marRight w:val="0"/>
                      <w:marTop w:val="0"/>
                      <w:marBottom w:val="0"/>
                      <w:divBdr>
                        <w:top w:val="none" w:sz="0" w:space="0" w:color="auto"/>
                        <w:left w:val="none" w:sz="0" w:space="0" w:color="auto"/>
                        <w:bottom w:val="none" w:sz="0" w:space="0" w:color="auto"/>
                        <w:right w:val="none" w:sz="0" w:space="0" w:color="auto"/>
                      </w:divBdr>
                    </w:div>
                  </w:divsChild>
                </w:div>
                <w:div w:id="1524317338">
                  <w:marLeft w:val="0"/>
                  <w:marRight w:val="0"/>
                  <w:marTop w:val="0"/>
                  <w:marBottom w:val="0"/>
                  <w:divBdr>
                    <w:top w:val="none" w:sz="0" w:space="0" w:color="auto"/>
                    <w:left w:val="none" w:sz="0" w:space="0" w:color="auto"/>
                    <w:bottom w:val="none" w:sz="0" w:space="0" w:color="auto"/>
                    <w:right w:val="none" w:sz="0" w:space="0" w:color="auto"/>
                  </w:divBdr>
                  <w:divsChild>
                    <w:div w:id="1631401827">
                      <w:marLeft w:val="0"/>
                      <w:marRight w:val="0"/>
                      <w:marTop w:val="0"/>
                      <w:marBottom w:val="0"/>
                      <w:divBdr>
                        <w:top w:val="none" w:sz="0" w:space="0" w:color="auto"/>
                        <w:left w:val="none" w:sz="0" w:space="0" w:color="auto"/>
                        <w:bottom w:val="none" w:sz="0" w:space="0" w:color="auto"/>
                        <w:right w:val="none" w:sz="0" w:space="0" w:color="auto"/>
                      </w:divBdr>
                    </w:div>
                  </w:divsChild>
                </w:div>
                <w:div w:id="1682931658">
                  <w:marLeft w:val="0"/>
                  <w:marRight w:val="0"/>
                  <w:marTop w:val="0"/>
                  <w:marBottom w:val="0"/>
                  <w:divBdr>
                    <w:top w:val="none" w:sz="0" w:space="0" w:color="auto"/>
                    <w:left w:val="none" w:sz="0" w:space="0" w:color="auto"/>
                    <w:bottom w:val="none" w:sz="0" w:space="0" w:color="auto"/>
                    <w:right w:val="none" w:sz="0" w:space="0" w:color="auto"/>
                  </w:divBdr>
                  <w:divsChild>
                    <w:div w:id="1094475882">
                      <w:marLeft w:val="0"/>
                      <w:marRight w:val="0"/>
                      <w:marTop w:val="0"/>
                      <w:marBottom w:val="0"/>
                      <w:divBdr>
                        <w:top w:val="none" w:sz="0" w:space="0" w:color="auto"/>
                        <w:left w:val="none" w:sz="0" w:space="0" w:color="auto"/>
                        <w:bottom w:val="none" w:sz="0" w:space="0" w:color="auto"/>
                        <w:right w:val="none" w:sz="0" w:space="0" w:color="auto"/>
                      </w:divBdr>
                    </w:div>
                  </w:divsChild>
                </w:div>
                <w:div w:id="1957788069">
                  <w:marLeft w:val="0"/>
                  <w:marRight w:val="0"/>
                  <w:marTop w:val="0"/>
                  <w:marBottom w:val="0"/>
                  <w:divBdr>
                    <w:top w:val="none" w:sz="0" w:space="0" w:color="auto"/>
                    <w:left w:val="none" w:sz="0" w:space="0" w:color="auto"/>
                    <w:bottom w:val="none" w:sz="0" w:space="0" w:color="auto"/>
                    <w:right w:val="none" w:sz="0" w:space="0" w:color="auto"/>
                  </w:divBdr>
                  <w:divsChild>
                    <w:div w:id="1989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628">
      <w:bodyDiv w:val="1"/>
      <w:marLeft w:val="0"/>
      <w:marRight w:val="0"/>
      <w:marTop w:val="0"/>
      <w:marBottom w:val="0"/>
      <w:divBdr>
        <w:top w:val="none" w:sz="0" w:space="0" w:color="auto"/>
        <w:left w:val="none" w:sz="0" w:space="0" w:color="auto"/>
        <w:bottom w:val="none" w:sz="0" w:space="0" w:color="auto"/>
        <w:right w:val="none" w:sz="0" w:space="0" w:color="auto"/>
      </w:divBdr>
    </w:div>
    <w:div w:id="260720599">
      <w:bodyDiv w:val="1"/>
      <w:marLeft w:val="0"/>
      <w:marRight w:val="0"/>
      <w:marTop w:val="0"/>
      <w:marBottom w:val="0"/>
      <w:divBdr>
        <w:top w:val="none" w:sz="0" w:space="0" w:color="auto"/>
        <w:left w:val="none" w:sz="0" w:space="0" w:color="auto"/>
        <w:bottom w:val="none" w:sz="0" w:space="0" w:color="auto"/>
        <w:right w:val="none" w:sz="0" w:space="0" w:color="auto"/>
      </w:divBdr>
    </w:div>
    <w:div w:id="343284153">
      <w:bodyDiv w:val="1"/>
      <w:marLeft w:val="0"/>
      <w:marRight w:val="0"/>
      <w:marTop w:val="0"/>
      <w:marBottom w:val="0"/>
      <w:divBdr>
        <w:top w:val="none" w:sz="0" w:space="0" w:color="auto"/>
        <w:left w:val="none" w:sz="0" w:space="0" w:color="auto"/>
        <w:bottom w:val="none" w:sz="0" w:space="0" w:color="auto"/>
        <w:right w:val="none" w:sz="0" w:space="0" w:color="auto"/>
      </w:divBdr>
      <w:divsChild>
        <w:div w:id="46732993">
          <w:marLeft w:val="0"/>
          <w:marRight w:val="0"/>
          <w:marTop w:val="0"/>
          <w:marBottom w:val="0"/>
          <w:divBdr>
            <w:top w:val="none" w:sz="0" w:space="0" w:color="auto"/>
            <w:left w:val="none" w:sz="0" w:space="0" w:color="auto"/>
            <w:bottom w:val="none" w:sz="0" w:space="0" w:color="auto"/>
            <w:right w:val="none" w:sz="0" w:space="0" w:color="auto"/>
          </w:divBdr>
        </w:div>
        <w:div w:id="156190320">
          <w:marLeft w:val="0"/>
          <w:marRight w:val="0"/>
          <w:marTop w:val="0"/>
          <w:marBottom w:val="0"/>
          <w:divBdr>
            <w:top w:val="none" w:sz="0" w:space="0" w:color="auto"/>
            <w:left w:val="none" w:sz="0" w:space="0" w:color="auto"/>
            <w:bottom w:val="none" w:sz="0" w:space="0" w:color="auto"/>
            <w:right w:val="none" w:sz="0" w:space="0" w:color="auto"/>
          </w:divBdr>
        </w:div>
        <w:div w:id="691147076">
          <w:marLeft w:val="0"/>
          <w:marRight w:val="0"/>
          <w:marTop w:val="0"/>
          <w:marBottom w:val="0"/>
          <w:divBdr>
            <w:top w:val="none" w:sz="0" w:space="0" w:color="auto"/>
            <w:left w:val="none" w:sz="0" w:space="0" w:color="auto"/>
            <w:bottom w:val="none" w:sz="0" w:space="0" w:color="auto"/>
            <w:right w:val="none" w:sz="0" w:space="0" w:color="auto"/>
          </w:divBdr>
        </w:div>
        <w:div w:id="723530080">
          <w:marLeft w:val="0"/>
          <w:marRight w:val="0"/>
          <w:marTop w:val="0"/>
          <w:marBottom w:val="0"/>
          <w:divBdr>
            <w:top w:val="none" w:sz="0" w:space="0" w:color="auto"/>
            <w:left w:val="none" w:sz="0" w:space="0" w:color="auto"/>
            <w:bottom w:val="none" w:sz="0" w:space="0" w:color="auto"/>
            <w:right w:val="none" w:sz="0" w:space="0" w:color="auto"/>
          </w:divBdr>
        </w:div>
        <w:div w:id="1037049677">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1253009079">
          <w:marLeft w:val="0"/>
          <w:marRight w:val="0"/>
          <w:marTop w:val="0"/>
          <w:marBottom w:val="0"/>
          <w:divBdr>
            <w:top w:val="none" w:sz="0" w:space="0" w:color="auto"/>
            <w:left w:val="none" w:sz="0" w:space="0" w:color="auto"/>
            <w:bottom w:val="none" w:sz="0" w:space="0" w:color="auto"/>
            <w:right w:val="none" w:sz="0" w:space="0" w:color="auto"/>
          </w:divBdr>
        </w:div>
        <w:div w:id="1539777869">
          <w:marLeft w:val="0"/>
          <w:marRight w:val="0"/>
          <w:marTop w:val="0"/>
          <w:marBottom w:val="0"/>
          <w:divBdr>
            <w:top w:val="none" w:sz="0" w:space="0" w:color="auto"/>
            <w:left w:val="none" w:sz="0" w:space="0" w:color="auto"/>
            <w:bottom w:val="none" w:sz="0" w:space="0" w:color="auto"/>
            <w:right w:val="none" w:sz="0" w:space="0" w:color="auto"/>
          </w:divBdr>
        </w:div>
        <w:div w:id="1540239512">
          <w:marLeft w:val="0"/>
          <w:marRight w:val="0"/>
          <w:marTop w:val="0"/>
          <w:marBottom w:val="0"/>
          <w:divBdr>
            <w:top w:val="none" w:sz="0" w:space="0" w:color="auto"/>
            <w:left w:val="none" w:sz="0" w:space="0" w:color="auto"/>
            <w:bottom w:val="none" w:sz="0" w:space="0" w:color="auto"/>
            <w:right w:val="none" w:sz="0" w:space="0" w:color="auto"/>
          </w:divBdr>
        </w:div>
        <w:div w:id="1706254226">
          <w:marLeft w:val="0"/>
          <w:marRight w:val="0"/>
          <w:marTop w:val="0"/>
          <w:marBottom w:val="0"/>
          <w:divBdr>
            <w:top w:val="none" w:sz="0" w:space="0" w:color="auto"/>
            <w:left w:val="none" w:sz="0" w:space="0" w:color="auto"/>
            <w:bottom w:val="none" w:sz="0" w:space="0" w:color="auto"/>
            <w:right w:val="none" w:sz="0" w:space="0" w:color="auto"/>
          </w:divBdr>
        </w:div>
        <w:div w:id="1715694754">
          <w:marLeft w:val="0"/>
          <w:marRight w:val="0"/>
          <w:marTop w:val="0"/>
          <w:marBottom w:val="0"/>
          <w:divBdr>
            <w:top w:val="none" w:sz="0" w:space="0" w:color="auto"/>
            <w:left w:val="none" w:sz="0" w:space="0" w:color="auto"/>
            <w:bottom w:val="none" w:sz="0" w:space="0" w:color="auto"/>
            <w:right w:val="none" w:sz="0" w:space="0" w:color="auto"/>
          </w:divBdr>
        </w:div>
      </w:divsChild>
    </w:div>
    <w:div w:id="353187932">
      <w:bodyDiv w:val="1"/>
      <w:marLeft w:val="0"/>
      <w:marRight w:val="0"/>
      <w:marTop w:val="0"/>
      <w:marBottom w:val="0"/>
      <w:divBdr>
        <w:top w:val="none" w:sz="0" w:space="0" w:color="auto"/>
        <w:left w:val="none" w:sz="0" w:space="0" w:color="auto"/>
        <w:bottom w:val="none" w:sz="0" w:space="0" w:color="auto"/>
        <w:right w:val="none" w:sz="0" w:space="0" w:color="auto"/>
      </w:divBdr>
    </w:div>
    <w:div w:id="367872587">
      <w:bodyDiv w:val="1"/>
      <w:marLeft w:val="0"/>
      <w:marRight w:val="0"/>
      <w:marTop w:val="0"/>
      <w:marBottom w:val="0"/>
      <w:divBdr>
        <w:top w:val="none" w:sz="0" w:space="0" w:color="auto"/>
        <w:left w:val="none" w:sz="0" w:space="0" w:color="auto"/>
        <w:bottom w:val="none" w:sz="0" w:space="0" w:color="auto"/>
        <w:right w:val="none" w:sz="0" w:space="0" w:color="auto"/>
      </w:divBdr>
    </w:div>
    <w:div w:id="400055680">
      <w:bodyDiv w:val="1"/>
      <w:marLeft w:val="0"/>
      <w:marRight w:val="0"/>
      <w:marTop w:val="0"/>
      <w:marBottom w:val="0"/>
      <w:divBdr>
        <w:top w:val="none" w:sz="0" w:space="0" w:color="auto"/>
        <w:left w:val="none" w:sz="0" w:space="0" w:color="auto"/>
        <w:bottom w:val="none" w:sz="0" w:space="0" w:color="auto"/>
        <w:right w:val="none" w:sz="0" w:space="0" w:color="auto"/>
      </w:divBdr>
    </w:div>
    <w:div w:id="436221427">
      <w:bodyDiv w:val="1"/>
      <w:marLeft w:val="0"/>
      <w:marRight w:val="0"/>
      <w:marTop w:val="0"/>
      <w:marBottom w:val="0"/>
      <w:divBdr>
        <w:top w:val="none" w:sz="0" w:space="0" w:color="auto"/>
        <w:left w:val="none" w:sz="0" w:space="0" w:color="auto"/>
        <w:bottom w:val="none" w:sz="0" w:space="0" w:color="auto"/>
        <w:right w:val="none" w:sz="0" w:space="0" w:color="auto"/>
      </w:divBdr>
    </w:div>
    <w:div w:id="450980966">
      <w:bodyDiv w:val="1"/>
      <w:marLeft w:val="0"/>
      <w:marRight w:val="0"/>
      <w:marTop w:val="0"/>
      <w:marBottom w:val="0"/>
      <w:divBdr>
        <w:top w:val="none" w:sz="0" w:space="0" w:color="auto"/>
        <w:left w:val="none" w:sz="0" w:space="0" w:color="auto"/>
        <w:bottom w:val="none" w:sz="0" w:space="0" w:color="auto"/>
        <w:right w:val="none" w:sz="0" w:space="0" w:color="auto"/>
      </w:divBdr>
    </w:div>
    <w:div w:id="454325430">
      <w:bodyDiv w:val="1"/>
      <w:marLeft w:val="0"/>
      <w:marRight w:val="0"/>
      <w:marTop w:val="0"/>
      <w:marBottom w:val="0"/>
      <w:divBdr>
        <w:top w:val="none" w:sz="0" w:space="0" w:color="auto"/>
        <w:left w:val="none" w:sz="0" w:space="0" w:color="auto"/>
        <w:bottom w:val="none" w:sz="0" w:space="0" w:color="auto"/>
        <w:right w:val="none" w:sz="0" w:space="0" w:color="auto"/>
      </w:divBdr>
      <w:divsChild>
        <w:div w:id="195772985">
          <w:marLeft w:val="0"/>
          <w:marRight w:val="0"/>
          <w:marTop w:val="0"/>
          <w:marBottom w:val="0"/>
          <w:divBdr>
            <w:top w:val="none" w:sz="0" w:space="0" w:color="auto"/>
            <w:left w:val="none" w:sz="0" w:space="0" w:color="auto"/>
            <w:bottom w:val="none" w:sz="0" w:space="0" w:color="auto"/>
            <w:right w:val="none" w:sz="0" w:space="0" w:color="auto"/>
          </w:divBdr>
        </w:div>
      </w:divsChild>
    </w:div>
    <w:div w:id="472452430">
      <w:bodyDiv w:val="1"/>
      <w:marLeft w:val="0"/>
      <w:marRight w:val="0"/>
      <w:marTop w:val="0"/>
      <w:marBottom w:val="0"/>
      <w:divBdr>
        <w:top w:val="none" w:sz="0" w:space="0" w:color="auto"/>
        <w:left w:val="none" w:sz="0" w:space="0" w:color="auto"/>
        <w:bottom w:val="none" w:sz="0" w:space="0" w:color="auto"/>
        <w:right w:val="none" w:sz="0" w:space="0" w:color="auto"/>
      </w:divBdr>
    </w:div>
    <w:div w:id="483788468">
      <w:bodyDiv w:val="1"/>
      <w:marLeft w:val="0"/>
      <w:marRight w:val="0"/>
      <w:marTop w:val="0"/>
      <w:marBottom w:val="0"/>
      <w:divBdr>
        <w:top w:val="none" w:sz="0" w:space="0" w:color="auto"/>
        <w:left w:val="none" w:sz="0" w:space="0" w:color="auto"/>
        <w:bottom w:val="none" w:sz="0" w:space="0" w:color="auto"/>
        <w:right w:val="none" w:sz="0" w:space="0" w:color="auto"/>
      </w:divBdr>
    </w:div>
    <w:div w:id="566765696">
      <w:bodyDiv w:val="1"/>
      <w:marLeft w:val="0"/>
      <w:marRight w:val="0"/>
      <w:marTop w:val="0"/>
      <w:marBottom w:val="0"/>
      <w:divBdr>
        <w:top w:val="none" w:sz="0" w:space="0" w:color="auto"/>
        <w:left w:val="none" w:sz="0" w:space="0" w:color="auto"/>
        <w:bottom w:val="none" w:sz="0" w:space="0" w:color="auto"/>
        <w:right w:val="none" w:sz="0" w:space="0" w:color="auto"/>
      </w:divBdr>
    </w:div>
    <w:div w:id="596600670">
      <w:bodyDiv w:val="1"/>
      <w:marLeft w:val="0"/>
      <w:marRight w:val="0"/>
      <w:marTop w:val="0"/>
      <w:marBottom w:val="0"/>
      <w:divBdr>
        <w:top w:val="none" w:sz="0" w:space="0" w:color="auto"/>
        <w:left w:val="none" w:sz="0" w:space="0" w:color="auto"/>
        <w:bottom w:val="none" w:sz="0" w:space="0" w:color="auto"/>
        <w:right w:val="none" w:sz="0" w:space="0" w:color="auto"/>
      </w:divBdr>
    </w:div>
    <w:div w:id="606352296">
      <w:bodyDiv w:val="1"/>
      <w:marLeft w:val="0"/>
      <w:marRight w:val="0"/>
      <w:marTop w:val="0"/>
      <w:marBottom w:val="0"/>
      <w:divBdr>
        <w:top w:val="none" w:sz="0" w:space="0" w:color="auto"/>
        <w:left w:val="none" w:sz="0" w:space="0" w:color="auto"/>
        <w:bottom w:val="none" w:sz="0" w:space="0" w:color="auto"/>
        <w:right w:val="none" w:sz="0" w:space="0" w:color="auto"/>
      </w:divBdr>
    </w:div>
    <w:div w:id="656689973">
      <w:bodyDiv w:val="1"/>
      <w:marLeft w:val="0"/>
      <w:marRight w:val="0"/>
      <w:marTop w:val="0"/>
      <w:marBottom w:val="0"/>
      <w:divBdr>
        <w:top w:val="none" w:sz="0" w:space="0" w:color="auto"/>
        <w:left w:val="none" w:sz="0" w:space="0" w:color="auto"/>
        <w:bottom w:val="none" w:sz="0" w:space="0" w:color="auto"/>
        <w:right w:val="none" w:sz="0" w:space="0" w:color="auto"/>
      </w:divBdr>
    </w:div>
    <w:div w:id="660502197">
      <w:bodyDiv w:val="1"/>
      <w:marLeft w:val="0"/>
      <w:marRight w:val="0"/>
      <w:marTop w:val="0"/>
      <w:marBottom w:val="0"/>
      <w:divBdr>
        <w:top w:val="none" w:sz="0" w:space="0" w:color="auto"/>
        <w:left w:val="none" w:sz="0" w:space="0" w:color="auto"/>
        <w:bottom w:val="none" w:sz="0" w:space="0" w:color="auto"/>
        <w:right w:val="none" w:sz="0" w:space="0" w:color="auto"/>
      </w:divBdr>
      <w:divsChild>
        <w:div w:id="266431583">
          <w:marLeft w:val="0"/>
          <w:marRight w:val="0"/>
          <w:marTop w:val="0"/>
          <w:marBottom w:val="0"/>
          <w:divBdr>
            <w:top w:val="none" w:sz="0" w:space="0" w:color="auto"/>
            <w:left w:val="none" w:sz="0" w:space="0" w:color="auto"/>
            <w:bottom w:val="none" w:sz="0" w:space="0" w:color="auto"/>
            <w:right w:val="none" w:sz="0" w:space="0" w:color="auto"/>
          </w:divBdr>
        </w:div>
      </w:divsChild>
    </w:div>
    <w:div w:id="785732587">
      <w:bodyDiv w:val="1"/>
      <w:marLeft w:val="0"/>
      <w:marRight w:val="0"/>
      <w:marTop w:val="0"/>
      <w:marBottom w:val="0"/>
      <w:divBdr>
        <w:top w:val="none" w:sz="0" w:space="0" w:color="auto"/>
        <w:left w:val="none" w:sz="0" w:space="0" w:color="auto"/>
        <w:bottom w:val="none" w:sz="0" w:space="0" w:color="auto"/>
        <w:right w:val="none" w:sz="0" w:space="0" w:color="auto"/>
      </w:divBdr>
    </w:div>
    <w:div w:id="808863814">
      <w:bodyDiv w:val="1"/>
      <w:marLeft w:val="0"/>
      <w:marRight w:val="0"/>
      <w:marTop w:val="0"/>
      <w:marBottom w:val="0"/>
      <w:divBdr>
        <w:top w:val="none" w:sz="0" w:space="0" w:color="auto"/>
        <w:left w:val="none" w:sz="0" w:space="0" w:color="auto"/>
        <w:bottom w:val="none" w:sz="0" w:space="0" w:color="auto"/>
        <w:right w:val="none" w:sz="0" w:space="0" w:color="auto"/>
      </w:divBdr>
    </w:div>
    <w:div w:id="929853608">
      <w:bodyDiv w:val="1"/>
      <w:marLeft w:val="0"/>
      <w:marRight w:val="0"/>
      <w:marTop w:val="0"/>
      <w:marBottom w:val="0"/>
      <w:divBdr>
        <w:top w:val="none" w:sz="0" w:space="0" w:color="auto"/>
        <w:left w:val="none" w:sz="0" w:space="0" w:color="auto"/>
        <w:bottom w:val="none" w:sz="0" w:space="0" w:color="auto"/>
        <w:right w:val="none" w:sz="0" w:space="0" w:color="auto"/>
      </w:divBdr>
      <w:divsChild>
        <w:div w:id="639920430">
          <w:marLeft w:val="0"/>
          <w:marRight w:val="0"/>
          <w:marTop w:val="0"/>
          <w:marBottom w:val="0"/>
          <w:divBdr>
            <w:top w:val="none" w:sz="0" w:space="0" w:color="auto"/>
            <w:left w:val="none" w:sz="0" w:space="0" w:color="auto"/>
            <w:bottom w:val="none" w:sz="0" w:space="0" w:color="auto"/>
            <w:right w:val="none" w:sz="0" w:space="0" w:color="auto"/>
          </w:divBdr>
        </w:div>
      </w:divsChild>
    </w:div>
    <w:div w:id="951715066">
      <w:bodyDiv w:val="1"/>
      <w:marLeft w:val="0"/>
      <w:marRight w:val="0"/>
      <w:marTop w:val="0"/>
      <w:marBottom w:val="0"/>
      <w:divBdr>
        <w:top w:val="none" w:sz="0" w:space="0" w:color="auto"/>
        <w:left w:val="none" w:sz="0" w:space="0" w:color="auto"/>
        <w:bottom w:val="none" w:sz="0" w:space="0" w:color="auto"/>
        <w:right w:val="none" w:sz="0" w:space="0" w:color="auto"/>
      </w:divBdr>
    </w:div>
    <w:div w:id="1044912003">
      <w:bodyDiv w:val="1"/>
      <w:marLeft w:val="0"/>
      <w:marRight w:val="0"/>
      <w:marTop w:val="0"/>
      <w:marBottom w:val="0"/>
      <w:divBdr>
        <w:top w:val="none" w:sz="0" w:space="0" w:color="auto"/>
        <w:left w:val="none" w:sz="0" w:space="0" w:color="auto"/>
        <w:bottom w:val="none" w:sz="0" w:space="0" w:color="auto"/>
        <w:right w:val="none" w:sz="0" w:space="0" w:color="auto"/>
      </w:divBdr>
    </w:div>
    <w:div w:id="1059479451">
      <w:bodyDiv w:val="1"/>
      <w:marLeft w:val="0"/>
      <w:marRight w:val="0"/>
      <w:marTop w:val="0"/>
      <w:marBottom w:val="0"/>
      <w:divBdr>
        <w:top w:val="none" w:sz="0" w:space="0" w:color="auto"/>
        <w:left w:val="none" w:sz="0" w:space="0" w:color="auto"/>
        <w:bottom w:val="none" w:sz="0" w:space="0" w:color="auto"/>
        <w:right w:val="none" w:sz="0" w:space="0" w:color="auto"/>
      </w:divBdr>
    </w:div>
    <w:div w:id="1271931840">
      <w:bodyDiv w:val="1"/>
      <w:marLeft w:val="0"/>
      <w:marRight w:val="0"/>
      <w:marTop w:val="0"/>
      <w:marBottom w:val="0"/>
      <w:divBdr>
        <w:top w:val="none" w:sz="0" w:space="0" w:color="auto"/>
        <w:left w:val="none" w:sz="0" w:space="0" w:color="auto"/>
        <w:bottom w:val="none" w:sz="0" w:space="0" w:color="auto"/>
        <w:right w:val="none" w:sz="0" w:space="0" w:color="auto"/>
      </w:divBdr>
    </w:div>
    <w:div w:id="1350836355">
      <w:bodyDiv w:val="1"/>
      <w:marLeft w:val="0"/>
      <w:marRight w:val="0"/>
      <w:marTop w:val="0"/>
      <w:marBottom w:val="0"/>
      <w:divBdr>
        <w:top w:val="none" w:sz="0" w:space="0" w:color="auto"/>
        <w:left w:val="none" w:sz="0" w:space="0" w:color="auto"/>
        <w:bottom w:val="none" w:sz="0" w:space="0" w:color="auto"/>
        <w:right w:val="none" w:sz="0" w:space="0" w:color="auto"/>
      </w:divBdr>
    </w:div>
    <w:div w:id="1464497859">
      <w:bodyDiv w:val="1"/>
      <w:marLeft w:val="0"/>
      <w:marRight w:val="0"/>
      <w:marTop w:val="0"/>
      <w:marBottom w:val="0"/>
      <w:divBdr>
        <w:top w:val="none" w:sz="0" w:space="0" w:color="auto"/>
        <w:left w:val="none" w:sz="0" w:space="0" w:color="auto"/>
        <w:bottom w:val="none" w:sz="0" w:space="0" w:color="auto"/>
        <w:right w:val="none" w:sz="0" w:space="0" w:color="auto"/>
      </w:divBdr>
    </w:div>
    <w:div w:id="1492601049">
      <w:bodyDiv w:val="1"/>
      <w:marLeft w:val="0"/>
      <w:marRight w:val="0"/>
      <w:marTop w:val="0"/>
      <w:marBottom w:val="0"/>
      <w:divBdr>
        <w:top w:val="none" w:sz="0" w:space="0" w:color="auto"/>
        <w:left w:val="none" w:sz="0" w:space="0" w:color="auto"/>
        <w:bottom w:val="none" w:sz="0" w:space="0" w:color="auto"/>
        <w:right w:val="none" w:sz="0" w:space="0" w:color="auto"/>
      </w:divBdr>
    </w:div>
    <w:div w:id="1516576767">
      <w:bodyDiv w:val="1"/>
      <w:marLeft w:val="0"/>
      <w:marRight w:val="0"/>
      <w:marTop w:val="0"/>
      <w:marBottom w:val="0"/>
      <w:divBdr>
        <w:top w:val="none" w:sz="0" w:space="0" w:color="auto"/>
        <w:left w:val="none" w:sz="0" w:space="0" w:color="auto"/>
        <w:bottom w:val="none" w:sz="0" w:space="0" w:color="auto"/>
        <w:right w:val="none" w:sz="0" w:space="0" w:color="auto"/>
      </w:divBdr>
    </w:div>
    <w:div w:id="1537885603">
      <w:bodyDiv w:val="1"/>
      <w:marLeft w:val="0"/>
      <w:marRight w:val="0"/>
      <w:marTop w:val="0"/>
      <w:marBottom w:val="0"/>
      <w:divBdr>
        <w:top w:val="none" w:sz="0" w:space="0" w:color="auto"/>
        <w:left w:val="none" w:sz="0" w:space="0" w:color="auto"/>
        <w:bottom w:val="none" w:sz="0" w:space="0" w:color="auto"/>
        <w:right w:val="none" w:sz="0" w:space="0" w:color="auto"/>
      </w:divBdr>
    </w:div>
    <w:div w:id="1565407740">
      <w:bodyDiv w:val="1"/>
      <w:marLeft w:val="0"/>
      <w:marRight w:val="0"/>
      <w:marTop w:val="0"/>
      <w:marBottom w:val="0"/>
      <w:divBdr>
        <w:top w:val="none" w:sz="0" w:space="0" w:color="auto"/>
        <w:left w:val="none" w:sz="0" w:space="0" w:color="auto"/>
        <w:bottom w:val="none" w:sz="0" w:space="0" w:color="auto"/>
        <w:right w:val="none" w:sz="0" w:space="0" w:color="auto"/>
      </w:divBdr>
    </w:div>
    <w:div w:id="1589925452">
      <w:bodyDiv w:val="1"/>
      <w:marLeft w:val="0"/>
      <w:marRight w:val="0"/>
      <w:marTop w:val="0"/>
      <w:marBottom w:val="0"/>
      <w:divBdr>
        <w:top w:val="none" w:sz="0" w:space="0" w:color="auto"/>
        <w:left w:val="none" w:sz="0" w:space="0" w:color="auto"/>
        <w:bottom w:val="none" w:sz="0" w:space="0" w:color="auto"/>
        <w:right w:val="none" w:sz="0" w:space="0" w:color="auto"/>
      </w:divBdr>
      <w:divsChild>
        <w:div w:id="504368982">
          <w:marLeft w:val="0"/>
          <w:marRight w:val="0"/>
          <w:marTop w:val="0"/>
          <w:marBottom w:val="0"/>
          <w:divBdr>
            <w:top w:val="none" w:sz="0" w:space="0" w:color="auto"/>
            <w:left w:val="none" w:sz="0" w:space="0" w:color="auto"/>
            <w:bottom w:val="none" w:sz="0" w:space="0" w:color="auto"/>
            <w:right w:val="none" w:sz="0" w:space="0" w:color="auto"/>
          </w:divBdr>
        </w:div>
      </w:divsChild>
    </w:div>
    <w:div w:id="1626959847">
      <w:bodyDiv w:val="1"/>
      <w:marLeft w:val="0"/>
      <w:marRight w:val="0"/>
      <w:marTop w:val="0"/>
      <w:marBottom w:val="0"/>
      <w:divBdr>
        <w:top w:val="none" w:sz="0" w:space="0" w:color="auto"/>
        <w:left w:val="none" w:sz="0" w:space="0" w:color="auto"/>
        <w:bottom w:val="none" w:sz="0" w:space="0" w:color="auto"/>
        <w:right w:val="none" w:sz="0" w:space="0" w:color="auto"/>
      </w:divBdr>
    </w:div>
    <w:div w:id="1684286024">
      <w:bodyDiv w:val="1"/>
      <w:marLeft w:val="0"/>
      <w:marRight w:val="0"/>
      <w:marTop w:val="0"/>
      <w:marBottom w:val="0"/>
      <w:divBdr>
        <w:top w:val="none" w:sz="0" w:space="0" w:color="auto"/>
        <w:left w:val="none" w:sz="0" w:space="0" w:color="auto"/>
        <w:bottom w:val="none" w:sz="0" w:space="0" w:color="auto"/>
        <w:right w:val="none" w:sz="0" w:space="0" w:color="auto"/>
      </w:divBdr>
    </w:div>
    <w:div w:id="1698853134">
      <w:bodyDiv w:val="1"/>
      <w:marLeft w:val="0"/>
      <w:marRight w:val="0"/>
      <w:marTop w:val="0"/>
      <w:marBottom w:val="0"/>
      <w:divBdr>
        <w:top w:val="none" w:sz="0" w:space="0" w:color="auto"/>
        <w:left w:val="none" w:sz="0" w:space="0" w:color="auto"/>
        <w:bottom w:val="none" w:sz="0" w:space="0" w:color="auto"/>
        <w:right w:val="none" w:sz="0" w:space="0" w:color="auto"/>
      </w:divBdr>
    </w:div>
    <w:div w:id="1766799489">
      <w:bodyDiv w:val="1"/>
      <w:marLeft w:val="0"/>
      <w:marRight w:val="0"/>
      <w:marTop w:val="0"/>
      <w:marBottom w:val="0"/>
      <w:divBdr>
        <w:top w:val="none" w:sz="0" w:space="0" w:color="auto"/>
        <w:left w:val="none" w:sz="0" w:space="0" w:color="auto"/>
        <w:bottom w:val="none" w:sz="0" w:space="0" w:color="auto"/>
        <w:right w:val="none" w:sz="0" w:space="0" w:color="auto"/>
      </w:divBdr>
    </w:div>
    <w:div w:id="1798183236">
      <w:bodyDiv w:val="1"/>
      <w:marLeft w:val="0"/>
      <w:marRight w:val="0"/>
      <w:marTop w:val="0"/>
      <w:marBottom w:val="0"/>
      <w:divBdr>
        <w:top w:val="none" w:sz="0" w:space="0" w:color="auto"/>
        <w:left w:val="none" w:sz="0" w:space="0" w:color="auto"/>
        <w:bottom w:val="none" w:sz="0" w:space="0" w:color="auto"/>
        <w:right w:val="none" w:sz="0" w:space="0" w:color="auto"/>
      </w:divBdr>
    </w:div>
    <w:div w:id="1877768672">
      <w:bodyDiv w:val="1"/>
      <w:marLeft w:val="0"/>
      <w:marRight w:val="0"/>
      <w:marTop w:val="0"/>
      <w:marBottom w:val="0"/>
      <w:divBdr>
        <w:top w:val="none" w:sz="0" w:space="0" w:color="auto"/>
        <w:left w:val="none" w:sz="0" w:space="0" w:color="auto"/>
        <w:bottom w:val="none" w:sz="0" w:space="0" w:color="auto"/>
        <w:right w:val="none" w:sz="0" w:space="0" w:color="auto"/>
      </w:divBdr>
      <w:divsChild>
        <w:div w:id="208693621">
          <w:marLeft w:val="0"/>
          <w:marRight w:val="0"/>
          <w:marTop w:val="0"/>
          <w:marBottom w:val="0"/>
          <w:divBdr>
            <w:top w:val="none" w:sz="0" w:space="0" w:color="auto"/>
            <w:left w:val="none" w:sz="0" w:space="0" w:color="auto"/>
            <w:bottom w:val="none" w:sz="0" w:space="0" w:color="auto"/>
            <w:right w:val="none" w:sz="0" w:space="0" w:color="auto"/>
          </w:divBdr>
          <w:divsChild>
            <w:div w:id="33501054">
              <w:marLeft w:val="0"/>
              <w:marRight w:val="0"/>
              <w:marTop w:val="0"/>
              <w:marBottom w:val="0"/>
              <w:divBdr>
                <w:top w:val="none" w:sz="0" w:space="0" w:color="auto"/>
                <w:left w:val="none" w:sz="0" w:space="0" w:color="auto"/>
                <w:bottom w:val="none" w:sz="0" w:space="0" w:color="auto"/>
                <w:right w:val="none" w:sz="0" w:space="0" w:color="auto"/>
              </w:divBdr>
            </w:div>
            <w:div w:id="113787891">
              <w:marLeft w:val="0"/>
              <w:marRight w:val="0"/>
              <w:marTop w:val="0"/>
              <w:marBottom w:val="0"/>
              <w:divBdr>
                <w:top w:val="none" w:sz="0" w:space="0" w:color="auto"/>
                <w:left w:val="none" w:sz="0" w:space="0" w:color="auto"/>
                <w:bottom w:val="none" w:sz="0" w:space="0" w:color="auto"/>
                <w:right w:val="none" w:sz="0" w:space="0" w:color="auto"/>
              </w:divBdr>
            </w:div>
            <w:div w:id="1693453877">
              <w:marLeft w:val="0"/>
              <w:marRight w:val="0"/>
              <w:marTop w:val="0"/>
              <w:marBottom w:val="0"/>
              <w:divBdr>
                <w:top w:val="none" w:sz="0" w:space="0" w:color="auto"/>
                <w:left w:val="none" w:sz="0" w:space="0" w:color="auto"/>
                <w:bottom w:val="none" w:sz="0" w:space="0" w:color="auto"/>
                <w:right w:val="none" w:sz="0" w:space="0" w:color="auto"/>
              </w:divBdr>
            </w:div>
          </w:divsChild>
        </w:div>
        <w:div w:id="459298459">
          <w:marLeft w:val="0"/>
          <w:marRight w:val="0"/>
          <w:marTop w:val="0"/>
          <w:marBottom w:val="0"/>
          <w:divBdr>
            <w:top w:val="none" w:sz="0" w:space="0" w:color="auto"/>
            <w:left w:val="none" w:sz="0" w:space="0" w:color="auto"/>
            <w:bottom w:val="none" w:sz="0" w:space="0" w:color="auto"/>
            <w:right w:val="none" w:sz="0" w:space="0" w:color="auto"/>
          </w:divBdr>
          <w:divsChild>
            <w:div w:id="61804704">
              <w:marLeft w:val="0"/>
              <w:marRight w:val="0"/>
              <w:marTop w:val="0"/>
              <w:marBottom w:val="0"/>
              <w:divBdr>
                <w:top w:val="none" w:sz="0" w:space="0" w:color="auto"/>
                <w:left w:val="none" w:sz="0" w:space="0" w:color="auto"/>
                <w:bottom w:val="none" w:sz="0" w:space="0" w:color="auto"/>
                <w:right w:val="none" w:sz="0" w:space="0" w:color="auto"/>
              </w:divBdr>
            </w:div>
            <w:div w:id="1263415495">
              <w:marLeft w:val="0"/>
              <w:marRight w:val="0"/>
              <w:marTop w:val="0"/>
              <w:marBottom w:val="0"/>
              <w:divBdr>
                <w:top w:val="none" w:sz="0" w:space="0" w:color="auto"/>
                <w:left w:val="none" w:sz="0" w:space="0" w:color="auto"/>
                <w:bottom w:val="none" w:sz="0" w:space="0" w:color="auto"/>
                <w:right w:val="none" w:sz="0" w:space="0" w:color="auto"/>
              </w:divBdr>
            </w:div>
            <w:div w:id="1389381671">
              <w:marLeft w:val="0"/>
              <w:marRight w:val="0"/>
              <w:marTop w:val="0"/>
              <w:marBottom w:val="0"/>
              <w:divBdr>
                <w:top w:val="none" w:sz="0" w:space="0" w:color="auto"/>
                <w:left w:val="none" w:sz="0" w:space="0" w:color="auto"/>
                <w:bottom w:val="none" w:sz="0" w:space="0" w:color="auto"/>
                <w:right w:val="none" w:sz="0" w:space="0" w:color="auto"/>
              </w:divBdr>
            </w:div>
            <w:div w:id="1585995720">
              <w:marLeft w:val="0"/>
              <w:marRight w:val="0"/>
              <w:marTop w:val="0"/>
              <w:marBottom w:val="0"/>
              <w:divBdr>
                <w:top w:val="none" w:sz="0" w:space="0" w:color="auto"/>
                <w:left w:val="none" w:sz="0" w:space="0" w:color="auto"/>
                <w:bottom w:val="none" w:sz="0" w:space="0" w:color="auto"/>
                <w:right w:val="none" w:sz="0" w:space="0" w:color="auto"/>
              </w:divBdr>
            </w:div>
          </w:divsChild>
        </w:div>
        <w:div w:id="514661422">
          <w:marLeft w:val="0"/>
          <w:marRight w:val="0"/>
          <w:marTop w:val="0"/>
          <w:marBottom w:val="0"/>
          <w:divBdr>
            <w:top w:val="none" w:sz="0" w:space="0" w:color="auto"/>
            <w:left w:val="none" w:sz="0" w:space="0" w:color="auto"/>
            <w:bottom w:val="none" w:sz="0" w:space="0" w:color="auto"/>
            <w:right w:val="none" w:sz="0" w:space="0" w:color="auto"/>
          </w:divBdr>
          <w:divsChild>
            <w:div w:id="866410377">
              <w:marLeft w:val="0"/>
              <w:marRight w:val="0"/>
              <w:marTop w:val="0"/>
              <w:marBottom w:val="0"/>
              <w:divBdr>
                <w:top w:val="none" w:sz="0" w:space="0" w:color="auto"/>
                <w:left w:val="none" w:sz="0" w:space="0" w:color="auto"/>
                <w:bottom w:val="none" w:sz="0" w:space="0" w:color="auto"/>
                <w:right w:val="none" w:sz="0" w:space="0" w:color="auto"/>
              </w:divBdr>
            </w:div>
            <w:div w:id="1267420102">
              <w:marLeft w:val="0"/>
              <w:marRight w:val="0"/>
              <w:marTop w:val="0"/>
              <w:marBottom w:val="0"/>
              <w:divBdr>
                <w:top w:val="none" w:sz="0" w:space="0" w:color="auto"/>
                <w:left w:val="none" w:sz="0" w:space="0" w:color="auto"/>
                <w:bottom w:val="none" w:sz="0" w:space="0" w:color="auto"/>
                <w:right w:val="none" w:sz="0" w:space="0" w:color="auto"/>
              </w:divBdr>
            </w:div>
            <w:div w:id="1420177905">
              <w:marLeft w:val="0"/>
              <w:marRight w:val="0"/>
              <w:marTop w:val="0"/>
              <w:marBottom w:val="0"/>
              <w:divBdr>
                <w:top w:val="none" w:sz="0" w:space="0" w:color="auto"/>
                <w:left w:val="none" w:sz="0" w:space="0" w:color="auto"/>
                <w:bottom w:val="none" w:sz="0" w:space="0" w:color="auto"/>
                <w:right w:val="none" w:sz="0" w:space="0" w:color="auto"/>
              </w:divBdr>
            </w:div>
            <w:div w:id="1759790963">
              <w:marLeft w:val="0"/>
              <w:marRight w:val="0"/>
              <w:marTop w:val="0"/>
              <w:marBottom w:val="0"/>
              <w:divBdr>
                <w:top w:val="none" w:sz="0" w:space="0" w:color="auto"/>
                <w:left w:val="none" w:sz="0" w:space="0" w:color="auto"/>
                <w:bottom w:val="none" w:sz="0" w:space="0" w:color="auto"/>
                <w:right w:val="none" w:sz="0" w:space="0" w:color="auto"/>
              </w:divBdr>
            </w:div>
            <w:div w:id="2098822129">
              <w:marLeft w:val="0"/>
              <w:marRight w:val="0"/>
              <w:marTop w:val="0"/>
              <w:marBottom w:val="0"/>
              <w:divBdr>
                <w:top w:val="none" w:sz="0" w:space="0" w:color="auto"/>
                <w:left w:val="none" w:sz="0" w:space="0" w:color="auto"/>
                <w:bottom w:val="none" w:sz="0" w:space="0" w:color="auto"/>
                <w:right w:val="none" w:sz="0" w:space="0" w:color="auto"/>
              </w:divBdr>
            </w:div>
          </w:divsChild>
        </w:div>
        <w:div w:id="625501640">
          <w:marLeft w:val="0"/>
          <w:marRight w:val="0"/>
          <w:marTop w:val="0"/>
          <w:marBottom w:val="0"/>
          <w:divBdr>
            <w:top w:val="none" w:sz="0" w:space="0" w:color="auto"/>
            <w:left w:val="none" w:sz="0" w:space="0" w:color="auto"/>
            <w:bottom w:val="none" w:sz="0" w:space="0" w:color="auto"/>
            <w:right w:val="none" w:sz="0" w:space="0" w:color="auto"/>
          </w:divBdr>
          <w:divsChild>
            <w:div w:id="82922762">
              <w:marLeft w:val="-75"/>
              <w:marRight w:val="0"/>
              <w:marTop w:val="30"/>
              <w:marBottom w:val="30"/>
              <w:divBdr>
                <w:top w:val="none" w:sz="0" w:space="0" w:color="auto"/>
                <w:left w:val="none" w:sz="0" w:space="0" w:color="auto"/>
                <w:bottom w:val="none" w:sz="0" w:space="0" w:color="auto"/>
                <w:right w:val="none" w:sz="0" w:space="0" w:color="auto"/>
              </w:divBdr>
              <w:divsChild>
                <w:div w:id="33892674">
                  <w:marLeft w:val="0"/>
                  <w:marRight w:val="0"/>
                  <w:marTop w:val="0"/>
                  <w:marBottom w:val="0"/>
                  <w:divBdr>
                    <w:top w:val="none" w:sz="0" w:space="0" w:color="auto"/>
                    <w:left w:val="none" w:sz="0" w:space="0" w:color="auto"/>
                    <w:bottom w:val="none" w:sz="0" w:space="0" w:color="auto"/>
                    <w:right w:val="none" w:sz="0" w:space="0" w:color="auto"/>
                  </w:divBdr>
                  <w:divsChild>
                    <w:div w:id="1955864712">
                      <w:marLeft w:val="0"/>
                      <w:marRight w:val="0"/>
                      <w:marTop w:val="0"/>
                      <w:marBottom w:val="0"/>
                      <w:divBdr>
                        <w:top w:val="none" w:sz="0" w:space="0" w:color="auto"/>
                        <w:left w:val="none" w:sz="0" w:space="0" w:color="auto"/>
                        <w:bottom w:val="none" w:sz="0" w:space="0" w:color="auto"/>
                        <w:right w:val="none" w:sz="0" w:space="0" w:color="auto"/>
                      </w:divBdr>
                    </w:div>
                  </w:divsChild>
                </w:div>
                <w:div w:id="113670486">
                  <w:marLeft w:val="0"/>
                  <w:marRight w:val="0"/>
                  <w:marTop w:val="0"/>
                  <w:marBottom w:val="0"/>
                  <w:divBdr>
                    <w:top w:val="none" w:sz="0" w:space="0" w:color="auto"/>
                    <w:left w:val="none" w:sz="0" w:space="0" w:color="auto"/>
                    <w:bottom w:val="none" w:sz="0" w:space="0" w:color="auto"/>
                    <w:right w:val="none" w:sz="0" w:space="0" w:color="auto"/>
                  </w:divBdr>
                  <w:divsChild>
                    <w:div w:id="1644116719">
                      <w:marLeft w:val="0"/>
                      <w:marRight w:val="0"/>
                      <w:marTop w:val="0"/>
                      <w:marBottom w:val="0"/>
                      <w:divBdr>
                        <w:top w:val="none" w:sz="0" w:space="0" w:color="auto"/>
                        <w:left w:val="none" w:sz="0" w:space="0" w:color="auto"/>
                        <w:bottom w:val="none" w:sz="0" w:space="0" w:color="auto"/>
                        <w:right w:val="none" w:sz="0" w:space="0" w:color="auto"/>
                      </w:divBdr>
                    </w:div>
                  </w:divsChild>
                </w:div>
                <w:div w:id="263390241">
                  <w:marLeft w:val="0"/>
                  <w:marRight w:val="0"/>
                  <w:marTop w:val="0"/>
                  <w:marBottom w:val="0"/>
                  <w:divBdr>
                    <w:top w:val="none" w:sz="0" w:space="0" w:color="auto"/>
                    <w:left w:val="none" w:sz="0" w:space="0" w:color="auto"/>
                    <w:bottom w:val="none" w:sz="0" w:space="0" w:color="auto"/>
                    <w:right w:val="none" w:sz="0" w:space="0" w:color="auto"/>
                  </w:divBdr>
                  <w:divsChild>
                    <w:div w:id="69352429">
                      <w:marLeft w:val="0"/>
                      <w:marRight w:val="0"/>
                      <w:marTop w:val="0"/>
                      <w:marBottom w:val="0"/>
                      <w:divBdr>
                        <w:top w:val="none" w:sz="0" w:space="0" w:color="auto"/>
                        <w:left w:val="none" w:sz="0" w:space="0" w:color="auto"/>
                        <w:bottom w:val="none" w:sz="0" w:space="0" w:color="auto"/>
                        <w:right w:val="none" w:sz="0" w:space="0" w:color="auto"/>
                      </w:divBdr>
                    </w:div>
                  </w:divsChild>
                </w:div>
                <w:div w:id="561990492">
                  <w:marLeft w:val="0"/>
                  <w:marRight w:val="0"/>
                  <w:marTop w:val="0"/>
                  <w:marBottom w:val="0"/>
                  <w:divBdr>
                    <w:top w:val="none" w:sz="0" w:space="0" w:color="auto"/>
                    <w:left w:val="none" w:sz="0" w:space="0" w:color="auto"/>
                    <w:bottom w:val="none" w:sz="0" w:space="0" w:color="auto"/>
                    <w:right w:val="none" w:sz="0" w:space="0" w:color="auto"/>
                  </w:divBdr>
                  <w:divsChild>
                    <w:div w:id="960066629">
                      <w:marLeft w:val="0"/>
                      <w:marRight w:val="0"/>
                      <w:marTop w:val="0"/>
                      <w:marBottom w:val="0"/>
                      <w:divBdr>
                        <w:top w:val="none" w:sz="0" w:space="0" w:color="auto"/>
                        <w:left w:val="none" w:sz="0" w:space="0" w:color="auto"/>
                        <w:bottom w:val="none" w:sz="0" w:space="0" w:color="auto"/>
                        <w:right w:val="none" w:sz="0" w:space="0" w:color="auto"/>
                      </w:divBdr>
                    </w:div>
                  </w:divsChild>
                </w:div>
                <w:div w:id="1134955134">
                  <w:marLeft w:val="0"/>
                  <w:marRight w:val="0"/>
                  <w:marTop w:val="0"/>
                  <w:marBottom w:val="0"/>
                  <w:divBdr>
                    <w:top w:val="none" w:sz="0" w:space="0" w:color="auto"/>
                    <w:left w:val="none" w:sz="0" w:space="0" w:color="auto"/>
                    <w:bottom w:val="none" w:sz="0" w:space="0" w:color="auto"/>
                    <w:right w:val="none" w:sz="0" w:space="0" w:color="auto"/>
                  </w:divBdr>
                  <w:divsChild>
                    <w:div w:id="1644235598">
                      <w:marLeft w:val="0"/>
                      <w:marRight w:val="0"/>
                      <w:marTop w:val="0"/>
                      <w:marBottom w:val="0"/>
                      <w:divBdr>
                        <w:top w:val="none" w:sz="0" w:space="0" w:color="auto"/>
                        <w:left w:val="none" w:sz="0" w:space="0" w:color="auto"/>
                        <w:bottom w:val="none" w:sz="0" w:space="0" w:color="auto"/>
                        <w:right w:val="none" w:sz="0" w:space="0" w:color="auto"/>
                      </w:divBdr>
                    </w:div>
                  </w:divsChild>
                </w:div>
                <w:div w:id="1220673582">
                  <w:marLeft w:val="0"/>
                  <w:marRight w:val="0"/>
                  <w:marTop w:val="0"/>
                  <w:marBottom w:val="0"/>
                  <w:divBdr>
                    <w:top w:val="none" w:sz="0" w:space="0" w:color="auto"/>
                    <w:left w:val="none" w:sz="0" w:space="0" w:color="auto"/>
                    <w:bottom w:val="none" w:sz="0" w:space="0" w:color="auto"/>
                    <w:right w:val="none" w:sz="0" w:space="0" w:color="auto"/>
                  </w:divBdr>
                  <w:divsChild>
                    <w:div w:id="1861435799">
                      <w:marLeft w:val="0"/>
                      <w:marRight w:val="0"/>
                      <w:marTop w:val="0"/>
                      <w:marBottom w:val="0"/>
                      <w:divBdr>
                        <w:top w:val="none" w:sz="0" w:space="0" w:color="auto"/>
                        <w:left w:val="none" w:sz="0" w:space="0" w:color="auto"/>
                        <w:bottom w:val="none" w:sz="0" w:space="0" w:color="auto"/>
                        <w:right w:val="none" w:sz="0" w:space="0" w:color="auto"/>
                      </w:divBdr>
                    </w:div>
                  </w:divsChild>
                </w:div>
                <w:div w:id="1321814838">
                  <w:marLeft w:val="0"/>
                  <w:marRight w:val="0"/>
                  <w:marTop w:val="0"/>
                  <w:marBottom w:val="0"/>
                  <w:divBdr>
                    <w:top w:val="none" w:sz="0" w:space="0" w:color="auto"/>
                    <w:left w:val="none" w:sz="0" w:space="0" w:color="auto"/>
                    <w:bottom w:val="none" w:sz="0" w:space="0" w:color="auto"/>
                    <w:right w:val="none" w:sz="0" w:space="0" w:color="auto"/>
                  </w:divBdr>
                  <w:divsChild>
                    <w:div w:id="576942053">
                      <w:marLeft w:val="0"/>
                      <w:marRight w:val="0"/>
                      <w:marTop w:val="0"/>
                      <w:marBottom w:val="0"/>
                      <w:divBdr>
                        <w:top w:val="none" w:sz="0" w:space="0" w:color="auto"/>
                        <w:left w:val="none" w:sz="0" w:space="0" w:color="auto"/>
                        <w:bottom w:val="none" w:sz="0" w:space="0" w:color="auto"/>
                        <w:right w:val="none" w:sz="0" w:space="0" w:color="auto"/>
                      </w:divBdr>
                    </w:div>
                  </w:divsChild>
                </w:div>
                <w:div w:id="1456093895">
                  <w:marLeft w:val="0"/>
                  <w:marRight w:val="0"/>
                  <w:marTop w:val="0"/>
                  <w:marBottom w:val="0"/>
                  <w:divBdr>
                    <w:top w:val="none" w:sz="0" w:space="0" w:color="auto"/>
                    <w:left w:val="none" w:sz="0" w:space="0" w:color="auto"/>
                    <w:bottom w:val="none" w:sz="0" w:space="0" w:color="auto"/>
                    <w:right w:val="none" w:sz="0" w:space="0" w:color="auto"/>
                  </w:divBdr>
                  <w:divsChild>
                    <w:div w:id="92209164">
                      <w:marLeft w:val="0"/>
                      <w:marRight w:val="0"/>
                      <w:marTop w:val="0"/>
                      <w:marBottom w:val="0"/>
                      <w:divBdr>
                        <w:top w:val="none" w:sz="0" w:space="0" w:color="auto"/>
                        <w:left w:val="none" w:sz="0" w:space="0" w:color="auto"/>
                        <w:bottom w:val="none" w:sz="0" w:space="0" w:color="auto"/>
                        <w:right w:val="none" w:sz="0" w:space="0" w:color="auto"/>
                      </w:divBdr>
                    </w:div>
                  </w:divsChild>
                </w:div>
                <w:div w:id="1482234594">
                  <w:marLeft w:val="0"/>
                  <w:marRight w:val="0"/>
                  <w:marTop w:val="0"/>
                  <w:marBottom w:val="0"/>
                  <w:divBdr>
                    <w:top w:val="none" w:sz="0" w:space="0" w:color="auto"/>
                    <w:left w:val="none" w:sz="0" w:space="0" w:color="auto"/>
                    <w:bottom w:val="none" w:sz="0" w:space="0" w:color="auto"/>
                    <w:right w:val="none" w:sz="0" w:space="0" w:color="auto"/>
                  </w:divBdr>
                  <w:divsChild>
                    <w:div w:id="1344698162">
                      <w:marLeft w:val="0"/>
                      <w:marRight w:val="0"/>
                      <w:marTop w:val="0"/>
                      <w:marBottom w:val="0"/>
                      <w:divBdr>
                        <w:top w:val="none" w:sz="0" w:space="0" w:color="auto"/>
                        <w:left w:val="none" w:sz="0" w:space="0" w:color="auto"/>
                        <w:bottom w:val="none" w:sz="0" w:space="0" w:color="auto"/>
                        <w:right w:val="none" w:sz="0" w:space="0" w:color="auto"/>
                      </w:divBdr>
                    </w:div>
                  </w:divsChild>
                </w:div>
                <w:div w:id="2059431856">
                  <w:marLeft w:val="0"/>
                  <w:marRight w:val="0"/>
                  <w:marTop w:val="0"/>
                  <w:marBottom w:val="0"/>
                  <w:divBdr>
                    <w:top w:val="none" w:sz="0" w:space="0" w:color="auto"/>
                    <w:left w:val="none" w:sz="0" w:space="0" w:color="auto"/>
                    <w:bottom w:val="none" w:sz="0" w:space="0" w:color="auto"/>
                    <w:right w:val="none" w:sz="0" w:space="0" w:color="auto"/>
                  </w:divBdr>
                  <w:divsChild>
                    <w:div w:id="415908358">
                      <w:marLeft w:val="0"/>
                      <w:marRight w:val="0"/>
                      <w:marTop w:val="0"/>
                      <w:marBottom w:val="0"/>
                      <w:divBdr>
                        <w:top w:val="none" w:sz="0" w:space="0" w:color="auto"/>
                        <w:left w:val="none" w:sz="0" w:space="0" w:color="auto"/>
                        <w:bottom w:val="none" w:sz="0" w:space="0" w:color="auto"/>
                        <w:right w:val="none" w:sz="0" w:space="0" w:color="auto"/>
                      </w:divBdr>
                    </w:div>
                    <w:div w:id="453059400">
                      <w:marLeft w:val="0"/>
                      <w:marRight w:val="0"/>
                      <w:marTop w:val="0"/>
                      <w:marBottom w:val="0"/>
                      <w:divBdr>
                        <w:top w:val="none" w:sz="0" w:space="0" w:color="auto"/>
                        <w:left w:val="none" w:sz="0" w:space="0" w:color="auto"/>
                        <w:bottom w:val="none" w:sz="0" w:space="0" w:color="auto"/>
                        <w:right w:val="none" w:sz="0" w:space="0" w:color="auto"/>
                      </w:divBdr>
                    </w:div>
                    <w:div w:id="18991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2986">
          <w:marLeft w:val="0"/>
          <w:marRight w:val="0"/>
          <w:marTop w:val="0"/>
          <w:marBottom w:val="0"/>
          <w:divBdr>
            <w:top w:val="none" w:sz="0" w:space="0" w:color="auto"/>
            <w:left w:val="none" w:sz="0" w:space="0" w:color="auto"/>
            <w:bottom w:val="none" w:sz="0" w:space="0" w:color="auto"/>
            <w:right w:val="none" w:sz="0" w:space="0" w:color="auto"/>
          </w:divBdr>
          <w:divsChild>
            <w:div w:id="255094426">
              <w:marLeft w:val="0"/>
              <w:marRight w:val="0"/>
              <w:marTop w:val="0"/>
              <w:marBottom w:val="0"/>
              <w:divBdr>
                <w:top w:val="none" w:sz="0" w:space="0" w:color="auto"/>
                <w:left w:val="none" w:sz="0" w:space="0" w:color="auto"/>
                <w:bottom w:val="none" w:sz="0" w:space="0" w:color="auto"/>
                <w:right w:val="none" w:sz="0" w:space="0" w:color="auto"/>
              </w:divBdr>
            </w:div>
            <w:div w:id="597637675">
              <w:marLeft w:val="0"/>
              <w:marRight w:val="0"/>
              <w:marTop w:val="0"/>
              <w:marBottom w:val="0"/>
              <w:divBdr>
                <w:top w:val="none" w:sz="0" w:space="0" w:color="auto"/>
                <w:left w:val="none" w:sz="0" w:space="0" w:color="auto"/>
                <w:bottom w:val="none" w:sz="0" w:space="0" w:color="auto"/>
                <w:right w:val="none" w:sz="0" w:space="0" w:color="auto"/>
              </w:divBdr>
            </w:div>
            <w:div w:id="730079081">
              <w:marLeft w:val="0"/>
              <w:marRight w:val="0"/>
              <w:marTop w:val="0"/>
              <w:marBottom w:val="0"/>
              <w:divBdr>
                <w:top w:val="none" w:sz="0" w:space="0" w:color="auto"/>
                <w:left w:val="none" w:sz="0" w:space="0" w:color="auto"/>
                <w:bottom w:val="none" w:sz="0" w:space="0" w:color="auto"/>
                <w:right w:val="none" w:sz="0" w:space="0" w:color="auto"/>
              </w:divBdr>
            </w:div>
          </w:divsChild>
        </w:div>
        <w:div w:id="768089353">
          <w:marLeft w:val="0"/>
          <w:marRight w:val="0"/>
          <w:marTop w:val="0"/>
          <w:marBottom w:val="0"/>
          <w:divBdr>
            <w:top w:val="none" w:sz="0" w:space="0" w:color="auto"/>
            <w:left w:val="none" w:sz="0" w:space="0" w:color="auto"/>
            <w:bottom w:val="none" w:sz="0" w:space="0" w:color="auto"/>
            <w:right w:val="none" w:sz="0" w:space="0" w:color="auto"/>
          </w:divBdr>
          <w:divsChild>
            <w:div w:id="540900660">
              <w:marLeft w:val="0"/>
              <w:marRight w:val="0"/>
              <w:marTop w:val="0"/>
              <w:marBottom w:val="0"/>
              <w:divBdr>
                <w:top w:val="none" w:sz="0" w:space="0" w:color="auto"/>
                <w:left w:val="none" w:sz="0" w:space="0" w:color="auto"/>
                <w:bottom w:val="none" w:sz="0" w:space="0" w:color="auto"/>
                <w:right w:val="none" w:sz="0" w:space="0" w:color="auto"/>
              </w:divBdr>
            </w:div>
            <w:div w:id="573976860">
              <w:marLeft w:val="0"/>
              <w:marRight w:val="0"/>
              <w:marTop w:val="0"/>
              <w:marBottom w:val="0"/>
              <w:divBdr>
                <w:top w:val="none" w:sz="0" w:space="0" w:color="auto"/>
                <w:left w:val="none" w:sz="0" w:space="0" w:color="auto"/>
                <w:bottom w:val="none" w:sz="0" w:space="0" w:color="auto"/>
                <w:right w:val="none" w:sz="0" w:space="0" w:color="auto"/>
              </w:divBdr>
            </w:div>
            <w:div w:id="614675591">
              <w:marLeft w:val="0"/>
              <w:marRight w:val="0"/>
              <w:marTop w:val="0"/>
              <w:marBottom w:val="0"/>
              <w:divBdr>
                <w:top w:val="none" w:sz="0" w:space="0" w:color="auto"/>
                <w:left w:val="none" w:sz="0" w:space="0" w:color="auto"/>
                <w:bottom w:val="none" w:sz="0" w:space="0" w:color="auto"/>
                <w:right w:val="none" w:sz="0" w:space="0" w:color="auto"/>
              </w:divBdr>
            </w:div>
            <w:div w:id="1392387285">
              <w:marLeft w:val="0"/>
              <w:marRight w:val="0"/>
              <w:marTop w:val="0"/>
              <w:marBottom w:val="0"/>
              <w:divBdr>
                <w:top w:val="none" w:sz="0" w:space="0" w:color="auto"/>
                <w:left w:val="none" w:sz="0" w:space="0" w:color="auto"/>
                <w:bottom w:val="none" w:sz="0" w:space="0" w:color="auto"/>
                <w:right w:val="none" w:sz="0" w:space="0" w:color="auto"/>
              </w:divBdr>
            </w:div>
            <w:div w:id="1600022002">
              <w:marLeft w:val="0"/>
              <w:marRight w:val="0"/>
              <w:marTop w:val="0"/>
              <w:marBottom w:val="0"/>
              <w:divBdr>
                <w:top w:val="none" w:sz="0" w:space="0" w:color="auto"/>
                <w:left w:val="none" w:sz="0" w:space="0" w:color="auto"/>
                <w:bottom w:val="none" w:sz="0" w:space="0" w:color="auto"/>
                <w:right w:val="none" w:sz="0" w:space="0" w:color="auto"/>
              </w:divBdr>
            </w:div>
          </w:divsChild>
        </w:div>
        <w:div w:id="855726935">
          <w:marLeft w:val="0"/>
          <w:marRight w:val="0"/>
          <w:marTop w:val="0"/>
          <w:marBottom w:val="0"/>
          <w:divBdr>
            <w:top w:val="none" w:sz="0" w:space="0" w:color="auto"/>
            <w:left w:val="none" w:sz="0" w:space="0" w:color="auto"/>
            <w:bottom w:val="none" w:sz="0" w:space="0" w:color="auto"/>
            <w:right w:val="none" w:sz="0" w:space="0" w:color="auto"/>
          </w:divBdr>
          <w:divsChild>
            <w:div w:id="25910643">
              <w:marLeft w:val="0"/>
              <w:marRight w:val="0"/>
              <w:marTop w:val="0"/>
              <w:marBottom w:val="0"/>
              <w:divBdr>
                <w:top w:val="none" w:sz="0" w:space="0" w:color="auto"/>
                <w:left w:val="none" w:sz="0" w:space="0" w:color="auto"/>
                <w:bottom w:val="none" w:sz="0" w:space="0" w:color="auto"/>
                <w:right w:val="none" w:sz="0" w:space="0" w:color="auto"/>
              </w:divBdr>
            </w:div>
            <w:div w:id="87045499">
              <w:marLeft w:val="0"/>
              <w:marRight w:val="0"/>
              <w:marTop w:val="0"/>
              <w:marBottom w:val="0"/>
              <w:divBdr>
                <w:top w:val="none" w:sz="0" w:space="0" w:color="auto"/>
                <w:left w:val="none" w:sz="0" w:space="0" w:color="auto"/>
                <w:bottom w:val="none" w:sz="0" w:space="0" w:color="auto"/>
                <w:right w:val="none" w:sz="0" w:space="0" w:color="auto"/>
              </w:divBdr>
            </w:div>
            <w:div w:id="138159487">
              <w:marLeft w:val="0"/>
              <w:marRight w:val="0"/>
              <w:marTop w:val="0"/>
              <w:marBottom w:val="0"/>
              <w:divBdr>
                <w:top w:val="none" w:sz="0" w:space="0" w:color="auto"/>
                <w:left w:val="none" w:sz="0" w:space="0" w:color="auto"/>
                <w:bottom w:val="none" w:sz="0" w:space="0" w:color="auto"/>
                <w:right w:val="none" w:sz="0" w:space="0" w:color="auto"/>
              </w:divBdr>
            </w:div>
            <w:div w:id="1077824169">
              <w:marLeft w:val="0"/>
              <w:marRight w:val="0"/>
              <w:marTop w:val="0"/>
              <w:marBottom w:val="0"/>
              <w:divBdr>
                <w:top w:val="none" w:sz="0" w:space="0" w:color="auto"/>
                <w:left w:val="none" w:sz="0" w:space="0" w:color="auto"/>
                <w:bottom w:val="none" w:sz="0" w:space="0" w:color="auto"/>
                <w:right w:val="none" w:sz="0" w:space="0" w:color="auto"/>
              </w:divBdr>
            </w:div>
            <w:div w:id="1349478759">
              <w:marLeft w:val="0"/>
              <w:marRight w:val="0"/>
              <w:marTop w:val="0"/>
              <w:marBottom w:val="0"/>
              <w:divBdr>
                <w:top w:val="none" w:sz="0" w:space="0" w:color="auto"/>
                <w:left w:val="none" w:sz="0" w:space="0" w:color="auto"/>
                <w:bottom w:val="none" w:sz="0" w:space="0" w:color="auto"/>
                <w:right w:val="none" w:sz="0" w:space="0" w:color="auto"/>
              </w:divBdr>
            </w:div>
          </w:divsChild>
        </w:div>
        <w:div w:id="1033772694">
          <w:marLeft w:val="0"/>
          <w:marRight w:val="0"/>
          <w:marTop w:val="0"/>
          <w:marBottom w:val="0"/>
          <w:divBdr>
            <w:top w:val="none" w:sz="0" w:space="0" w:color="auto"/>
            <w:left w:val="none" w:sz="0" w:space="0" w:color="auto"/>
            <w:bottom w:val="none" w:sz="0" w:space="0" w:color="auto"/>
            <w:right w:val="none" w:sz="0" w:space="0" w:color="auto"/>
          </w:divBdr>
          <w:divsChild>
            <w:div w:id="1405371822">
              <w:marLeft w:val="0"/>
              <w:marRight w:val="0"/>
              <w:marTop w:val="0"/>
              <w:marBottom w:val="0"/>
              <w:divBdr>
                <w:top w:val="none" w:sz="0" w:space="0" w:color="auto"/>
                <w:left w:val="none" w:sz="0" w:space="0" w:color="auto"/>
                <w:bottom w:val="none" w:sz="0" w:space="0" w:color="auto"/>
                <w:right w:val="none" w:sz="0" w:space="0" w:color="auto"/>
              </w:divBdr>
            </w:div>
            <w:div w:id="1577402538">
              <w:marLeft w:val="0"/>
              <w:marRight w:val="0"/>
              <w:marTop w:val="0"/>
              <w:marBottom w:val="0"/>
              <w:divBdr>
                <w:top w:val="none" w:sz="0" w:space="0" w:color="auto"/>
                <w:left w:val="none" w:sz="0" w:space="0" w:color="auto"/>
                <w:bottom w:val="none" w:sz="0" w:space="0" w:color="auto"/>
                <w:right w:val="none" w:sz="0" w:space="0" w:color="auto"/>
              </w:divBdr>
            </w:div>
            <w:div w:id="1622612685">
              <w:marLeft w:val="0"/>
              <w:marRight w:val="0"/>
              <w:marTop w:val="0"/>
              <w:marBottom w:val="0"/>
              <w:divBdr>
                <w:top w:val="none" w:sz="0" w:space="0" w:color="auto"/>
                <w:left w:val="none" w:sz="0" w:space="0" w:color="auto"/>
                <w:bottom w:val="none" w:sz="0" w:space="0" w:color="auto"/>
                <w:right w:val="none" w:sz="0" w:space="0" w:color="auto"/>
              </w:divBdr>
            </w:div>
            <w:div w:id="2030981848">
              <w:marLeft w:val="0"/>
              <w:marRight w:val="0"/>
              <w:marTop w:val="0"/>
              <w:marBottom w:val="0"/>
              <w:divBdr>
                <w:top w:val="none" w:sz="0" w:space="0" w:color="auto"/>
                <w:left w:val="none" w:sz="0" w:space="0" w:color="auto"/>
                <w:bottom w:val="none" w:sz="0" w:space="0" w:color="auto"/>
                <w:right w:val="none" w:sz="0" w:space="0" w:color="auto"/>
              </w:divBdr>
            </w:div>
            <w:div w:id="2118058553">
              <w:marLeft w:val="0"/>
              <w:marRight w:val="0"/>
              <w:marTop w:val="0"/>
              <w:marBottom w:val="0"/>
              <w:divBdr>
                <w:top w:val="none" w:sz="0" w:space="0" w:color="auto"/>
                <w:left w:val="none" w:sz="0" w:space="0" w:color="auto"/>
                <w:bottom w:val="none" w:sz="0" w:space="0" w:color="auto"/>
                <w:right w:val="none" w:sz="0" w:space="0" w:color="auto"/>
              </w:divBdr>
            </w:div>
          </w:divsChild>
        </w:div>
        <w:div w:id="1057977941">
          <w:marLeft w:val="0"/>
          <w:marRight w:val="0"/>
          <w:marTop w:val="0"/>
          <w:marBottom w:val="0"/>
          <w:divBdr>
            <w:top w:val="none" w:sz="0" w:space="0" w:color="auto"/>
            <w:left w:val="none" w:sz="0" w:space="0" w:color="auto"/>
            <w:bottom w:val="none" w:sz="0" w:space="0" w:color="auto"/>
            <w:right w:val="none" w:sz="0" w:space="0" w:color="auto"/>
          </w:divBdr>
          <w:divsChild>
            <w:div w:id="1488014601">
              <w:marLeft w:val="0"/>
              <w:marRight w:val="0"/>
              <w:marTop w:val="0"/>
              <w:marBottom w:val="0"/>
              <w:divBdr>
                <w:top w:val="none" w:sz="0" w:space="0" w:color="auto"/>
                <w:left w:val="none" w:sz="0" w:space="0" w:color="auto"/>
                <w:bottom w:val="none" w:sz="0" w:space="0" w:color="auto"/>
                <w:right w:val="none" w:sz="0" w:space="0" w:color="auto"/>
              </w:divBdr>
            </w:div>
            <w:div w:id="1919516279">
              <w:marLeft w:val="0"/>
              <w:marRight w:val="0"/>
              <w:marTop w:val="0"/>
              <w:marBottom w:val="0"/>
              <w:divBdr>
                <w:top w:val="none" w:sz="0" w:space="0" w:color="auto"/>
                <w:left w:val="none" w:sz="0" w:space="0" w:color="auto"/>
                <w:bottom w:val="none" w:sz="0" w:space="0" w:color="auto"/>
                <w:right w:val="none" w:sz="0" w:space="0" w:color="auto"/>
              </w:divBdr>
            </w:div>
          </w:divsChild>
        </w:div>
        <w:div w:id="1314482145">
          <w:marLeft w:val="0"/>
          <w:marRight w:val="0"/>
          <w:marTop w:val="0"/>
          <w:marBottom w:val="0"/>
          <w:divBdr>
            <w:top w:val="none" w:sz="0" w:space="0" w:color="auto"/>
            <w:left w:val="none" w:sz="0" w:space="0" w:color="auto"/>
            <w:bottom w:val="none" w:sz="0" w:space="0" w:color="auto"/>
            <w:right w:val="none" w:sz="0" w:space="0" w:color="auto"/>
          </w:divBdr>
          <w:divsChild>
            <w:div w:id="1040400237">
              <w:marLeft w:val="0"/>
              <w:marRight w:val="0"/>
              <w:marTop w:val="0"/>
              <w:marBottom w:val="0"/>
              <w:divBdr>
                <w:top w:val="none" w:sz="0" w:space="0" w:color="auto"/>
                <w:left w:val="none" w:sz="0" w:space="0" w:color="auto"/>
                <w:bottom w:val="none" w:sz="0" w:space="0" w:color="auto"/>
                <w:right w:val="none" w:sz="0" w:space="0" w:color="auto"/>
              </w:divBdr>
            </w:div>
            <w:div w:id="1476337081">
              <w:marLeft w:val="0"/>
              <w:marRight w:val="0"/>
              <w:marTop w:val="0"/>
              <w:marBottom w:val="0"/>
              <w:divBdr>
                <w:top w:val="none" w:sz="0" w:space="0" w:color="auto"/>
                <w:left w:val="none" w:sz="0" w:space="0" w:color="auto"/>
                <w:bottom w:val="none" w:sz="0" w:space="0" w:color="auto"/>
                <w:right w:val="none" w:sz="0" w:space="0" w:color="auto"/>
              </w:divBdr>
            </w:div>
            <w:div w:id="1610043313">
              <w:marLeft w:val="0"/>
              <w:marRight w:val="0"/>
              <w:marTop w:val="0"/>
              <w:marBottom w:val="0"/>
              <w:divBdr>
                <w:top w:val="none" w:sz="0" w:space="0" w:color="auto"/>
                <w:left w:val="none" w:sz="0" w:space="0" w:color="auto"/>
                <w:bottom w:val="none" w:sz="0" w:space="0" w:color="auto"/>
                <w:right w:val="none" w:sz="0" w:space="0" w:color="auto"/>
              </w:divBdr>
            </w:div>
            <w:div w:id="1723626671">
              <w:marLeft w:val="0"/>
              <w:marRight w:val="0"/>
              <w:marTop w:val="0"/>
              <w:marBottom w:val="0"/>
              <w:divBdr>
                <w:top w:val="none" w:sz="0" w:space="0" w:color="auto"/>
                <w:left w:val="none" w:sz="0" w:space="0" w:color="auto"/>
                <w:bottom w:val="none" w:sz="0" w:space="0" w:color="auto"/>
                <w:right w:val="none" w:sz="0" w:space="0" w:color="auto"/>
              </w:divBdr>
            </w:div>
            <w:div w:id="2036037382">
              <w:marLeft w:val="0"/>
              <w:marRight w:val="0"/>
              <w:marTop w:val="0"/>
              <w:marBottom w:val="0"/>
              <w:divBdr>
                <w:top w:val="none" w:sz="0" w:space="0" w:color="auto"/>
                <w:left w:val="none" w:sz="0" w:space="0" w:color="auto"/>
                <w:bottom w:val="none" w:sz="0" w:space="0" w:color="auto"/>
                <w:right w:val="none" w:sz="0" w:space="0" w:color="auto"/>
              </w:divBdr>
            </w:div>
          </w:divsChild>
        </w:div>
        <w:div w:id="1341003504">
          <w:marLeft w:val="0"/>
          <w:marRight w:val="0"/>
          <w:marTop w:val="0"/>
          <w:marBottom w:val="0"/>
          <w:divBdr>
            <w:top w:val="none" w:sz="0" w:space="0" w:color="auto"/>
            <w:left w:val="none" w:sz="0" w:space="0" w:color="auto"/>
            <w:bottom w:val="none" w:sz="0" w:space="0" w:color="auto"/>
            <w:right w:val="none" w:sz="0" w:space="0" w:color="auto"/>
          </w:divBdr>
          <w:divsChild>
            <w:div w:id="1780055036">
              <w:marLeft w:val="0"/>
              <w:marRight w:val="0"/>
              <w:marTop w:val="0"/>
              <w:marBottom w:val="0"/>
              <w:divBdr>
                <w:top w:val="none" w:sz="0" w:space="0" w:color="auto"/>
                <w:left w:val="none" w:sz="0" w:space="0" w:color="auto"/>
                <w:bottom w:val="none" w:sz="0" w:space="0" w:color="auto"/>
                <w:right w:val="none" w:sz="0" w:space="0" w:color="auto"/>
              </w:divBdr>
            </w:div>
            <w:div w:id="1976834252">
              <w:marLeft w:val="0"/>
              <w:marRight w:val="0"/>
              <w:marTop w:val="0"/>
              <w:marBottom w:val="0"/>
              <w:divBdr>
                <w:top w:val="none" w:sz="0" w:space="0" w:color="auto"/>
                <w:left w:val="none" w:sz="0" w:space="0" w:color="auto"/>
                <w:bottom w:val="none" w:sz="0" w:space="0" w:color="auto"/>
                <w:right w:val="none" w:sz="0" w:space="0" w:color="auto"/>
              </w:divBdr>
            </w:div>
          </w:divsChild>
        </w:div>
        <w:div w:id="1457875254">
          <w:marLeft w:val="0"/>
          <w:marRight w:val="0"/>
          <w:marTop w:val="0"/>
          <w:marBottom w:val="0"/>
          <w:divBdr>
            <w:top w:val="none" w:sz="0" w:space="0" w:color="auto"/>
            <w:left w:val="none" w:sz="0" w:space="0" w:color="auto"/>
            <w:bottom w:val="none" w:sz="0" w:space="0" w:color="auto"/>
            <w:right w:val="none" w:sz="0" w:space="0" w:color="auto"/>
          </w:divBdr>
          <w:divsChild>
            <w:div w:id="1736857481">
              <w:marLeft w:val="0"/>
              <w:marRight w:val="0"/>
              <w:marTop w:val="0"/>
              <w:marBottom w:val="0"/>
              <w:divBdr>
                <w:top w:val="none" w:sz="0" w:space="0" w:color="auto"/>
                <w:left w:val="none" w:sz="0" w:space="0" w:color="auto"/>
                <w:bottom w:val="none" w:sz="0" w:space="0" w:color="auto"/>
                <w:right w:val="none" w:sz="0" w:space="0" w:color="auto"/>
              </w:divBdr>
            </w:div>
            <w:div w:id="1750081945">
              <w:marLeft w:val="0"/>
              <w:marRight w:val="0"/>
              <w:marTop w:val="0"/>
              <w:marBottom w:val="0"/>
              <w:divBdr>
                <w:top w:val="none" w:sz="0" w:space="0" w:color="auto"/>
                <w:left w:val="none" w:sz="0" w:space="0" w:color="auto"/>
                <w:bottom w:val="none" w:sz="0" w:space="0" w:color="auto"/>
                <w:right w:val="none" w:sz="0" w:space="0" w:color="auto"/>
              </w:divBdr>
            </w:div>
            <w:div w:id="2031638531">
              <w:marLeft w:val="0"/>
              <w:marRight w:val="0"/>
              <w:marTop w:val="0"/>
              <w:marBottom w:val="0"/>
              <w:divBdr>
                <w:top w:val="none" w:sz="0" w:space="0" w:color="auto"/>
                <w:left w:val="none" w:sz="0" w:space="0" w:color="auto"/>
                <w:bottom w:val="none" w:sz="0" w:space="0" w:color="auto"/>
                <w:right w:val="none" w:sz="0" w:space="0" w:color="auto"/>
              </w:divBdr>
            </w:div>
            <w:div w:id="2088139995">
              <w:marLeft w:val="0"/>
              <w:marRight w:val="0"/>
              <w:marTop w:val="0"/>
              <w:marBottom w:val="0"/>
              <w:divBdr>
                <w:top w:val="none" w:sz="0" w:space="0" w:color="auto"/>
                <w:left w:val="none" w:sz="0" w:space="0" w:color="auto"/>
                <w:bottom w:val="none" w:sz="0" w:space="0" w:color="auto"/>
                <w:right w:val="none" w:sz="0" w:space="0" w:color="auto"/>
              </w:divBdr>
            </w:div>
            <w:div w:id="2132160548">
              <w:marLeft w:val="0"/>
              <w:marRight w:val="0"/>
              <w:marTop w:val="0"/>
              <w:marBottom w:val="0"/>
              <w:divBdr>
                <w:top w:val="none" w:sz="0" w:space="0" w:color="auto"/>
                <w:left w:val="none" w:sz="0" w:space="0" w:color="auto"/>
                <w:bottom w:val="none" w:sz="0" w:space="0" w:color="auto"/>
                <w:right w:val="none" w:sz="0" w:space="0" w:color="auto"/>
              </w:divBdr>
            </w:div>
          </w:divsChild>
        </w:div>
        <w:div w:id="1572884048">
          <w:marLeft w:val="0"/>
          <w:marRight w:val="0"/>
          <w:marTop w:val="0"/>
          <w:marBottom w:val="0"/>
          <w:divBdr>
            <w:top w:val="none" w:sz="0" w:space="0" w:color="auto"/>
            <w:left w:val="none" w:sz="0" w:space="0" w:color="auto"/>
            <w:bottom w:val="none" w:sz="0" w:space="0" w:color="auto"/>
            <w:right w:val="none" w:sz="0" w:space="0" w:color="auto"/>
          </w:divBdr>
          <w:divsChild>
            <w:div w:id="511914202">
              <w:marLeft w:val="0"/>
              <w:marRight w:val="0"/>
              <w:marTop w:val="0"/>
              <w:marBottom w:val="0"/>
              <w:divBdr>
                <w:top w:val="none" w:sz="0" w:space="0" w:color="auto"/>
                <w:left w:val="none" w:sz="0" w:space="0" w:color="auto"/>
                <w:bottom w:val="none" w:sz="0" w:space="0" w:color="auto"/>
                <w:right w:val="none" w:sz="0" w:space="0" w:color="auto"/>
              </w:divBdr>
            </w:div>
            <w:div w:id="1155033191">
              <w:marLeft w:val="0"/>
              <w:marRight w:val="0"/>
              <w:marTop w:val="0"/>
              <w:marBottom w:val="0"/>
              <w:divBdr>
                <w:top w:val="none" w:sz="0" w:space="0" w:color="auto"/>
                <w:left w:val="none" w:sz="0" w:space="0" w:color="auto"/>
                <w:bottom w:val="none" w:sz="0" w:space="0" w:color="auto"/>
                <w:right w:val="none" w:sz="0" w:space="0" w:color="auto"/>
              </w:divBdr>
            </w:div>
            <w:div w:id="1310089523">
              <w:marLeft w:val="0"/>
              <w:marRight w:val="0"/>
              <w:marTop w:val="0"/>
              <w:marBottom w:val="0"/>
              <w:divBdr>
                <w:top w:val="none" w:sz="0" w:space="0" w:color="auto"/>
                <w:left w:val="none" w:sz="0" w:space="0" w:color="auto"/>
                <w:bottom w:val="none" w:sz="0" w:space="0" w:color="auto"/>
                <w:right w:val="none" w:sz="0" w:space="0" w:color="auto"/>
              </w:divBdr>
            </w:div>
            <w:div w:id="1395276948">
              <w:marLeft w:val="0"/>
              <w:marRight w:val="0"/>
              <w:marTop w:val="0"/>
              <w:marBottom w:val="0"/>
              <w:divBdr>
                <w:top w:val="none" w:sz="0" w:space="0" w:color="auto"/>
                <w:left w:val="none" w:sz="0" w:space="0" w:color="auto"/>
                <w:bottom w:val="none" w:sz="0" w:space="0" w:color="auto"/>
                <w:right w:val="none" w:sz="0" w:space="0" w:color="auto"/>
              </w:divBdr>
            </w:div>
          </w:divsChild>
        </w:div>
        <w:div w:id="1634631416">
          <w:marLeft w:val="0"/>
          <w:marRight w:val="0"/>
          <w:marTop w:val="0"/>
          <w:marBottom w:val="0"/>
          <w:divBdr>
            <w:top w:val="none" w:sz="0" w:space="0" w:color="auto"/>
            <w:left w:val="none" w:sz="0" w:space="0" w:color="auto"/>
            <w:bottom w:val="none" w:sz="0" w:space="0" w:color="auto"/>
            <w:right w:val="none" w:sz="0" w:space="0" w:color="auto"/>
          </w:divBdr>
          <w:divsChild>
            <w:div w:id="1252931767">
              <w:marLeft w:val="0"/>
              <w:marRight w:val="0"/>
              <w:marTop w:val="0"/>
              <w:marBottom w:val="0"/>
              <w:divBdr>
                <w:top w:val="none" w:sz="0" w:space="0" w:color="auto"/>
                <w:left w:val="none" w:sz="0" w:space="0" w:color="auto"/>
                <w:bottom w:val="none" w:sz="0" w:space="0" w:color="auto"/>
                <w:right w:val="none" w:sz="0" w:space="0" w:color="auto"/>
              </w:divBdr>
            </w:div>
          </w:divsChild>
        </w:div>
        <w:div w:id="2125345471">
          <w:marLeft w:val="0"/>
          <w:marRight w:val="0"/>
          <w:marTop w:val="0"/>
          <w:marBottom w:val="0"/>
          <w:divBdr>
            <w:top w:val="none" w:sz="0" w:space="0" w:color="auto"/>
            <w:left w:val="none" w:sz="0" w:space="0" w:color="auto"/>
            <w:bottom w:val="none" w:sz="0" w:space="0" w:color="auto"/>
            <w:right w:val="none" w:sz="0" w:space="0" w:color="auto"/>
          </w:divBdr>
          <w:divsChild>
            <w:div w:id="864564359">
              <w:marLeft w:val="0"/>
              <w:marRight w:val="0"/>
              <w:marTop w:val="0"/>
              <w:marBottom w:val="0"/>
              <w:divBdr>
                <w:top w:val="none" w:sz="0" w:space="0" w:color="auto"/>
                <w:left w:val="none" w:sz="0" w:space="0" w:color="auto"/>
                <w:bottom w:val="none" w:sz="0" w:space="0" w:color="auto"/>
                <w:right w:val="none" w:sz="0" w:space="0" w:color="auto"/>
              </w:divBdr>
            </w:div>
            <w:div w:id="865607244">
              <w:marLeft w:val="0"/>
              <w:marRight w:val="0"/>
              <w:marTop w:val="0"/>
              <w:marBottom w:val="0"/>
              <w:divBdr>
                <w:top w:val="none" w:sz="0" w:space="0" w:color="auto"/>
                <w:left w:val="none" w:sz="0" w:space="0" w:color="auto"/>
                <w:bottom w:val="none" w:sz="0" w:space="0" w:color="auto"/>
                <w:right w:val="none" w:sz="0" w:space="0" w:color="auto"/>
              </w:divBdr>
            </w:div>
            <w:div w:id="1532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949">
      <w:bodyDiv w:val="1"/>
      <w:marLeft w:val="0"/>
      <w:marRight w:val="0"/>
      <w:marTop w:val="0"/>
      <w:marBottom w:val="0"/>
      <w:divBdr>
        <w:top w:val="none" w:sz="0" w:space="0" w:color="auto"/>
        <w:left w:val="none" w:sz="0" w:space="0" w:color="auto"/>
        <w:bottom w:val="none" w:sz="0" w:space="0" w:color="auto"/>
        <w:right w:val="none" w:sz="0" w:space="0" w:color="auto"/>
      </w:divBdr>
    </w:div>
    <w:div w:id="1931771043">
      <w:bodyDiv w:val="1"/>
      <w:marLeft w:val="0"/>
      <w:marRight w:val="0"/>
      <w:marTop w:val="0"/>
      <w:marBottom w:val="0"/>
      <w:divBdr>
        <w:top w:val="none" w:sz="0" w:space="0" w:color="auto"/>
        <w:left w:val="none" w:sz="0" w:space="0" w:color="auto"/>
        <w:bottom w:val="none" w:sz="0" w:space="0" w:color="auto"/>
        <w:right w:val="none" w:sz="0" w:space="0" w:color="auto"/>
      </w:divBdr>
      <w:divsChild>
        <w:div w:id="656613781">
          <w:marLeft w:val="0"/>
          <w:marRight w:val="0"/>
          <w:marTop w:val="0"/>
          <w:marBottom w:val="0"/>
          <w:divBdr>
            <w:top w:val="none" w:sz="0" w:space="0" w:color="auto"/>
            <w:left w:val="none" w:sz="0" w:space="0" w:color="auto"/>
            <w:bottom w:val="none" w:sz="0" w:space="0" w:color="auto"/>
            <w:right w:val="none" w:sz="0" w:space="0" w:color="auto"/>
          </w:divBdr>
          <w:divsChild>
            <w:div w:id="289363623">
              <w:marLeft w:val="0"/>
              <w:marRight w:val="0"/>
              <w:marTop w:val="0"/>
              <w:marBottom w:val="0"/>
              <w:divBdr>
                <w:top w:val="none" w:sz="0" w:space="0" w:color="auto"/>
                <w:left w:val="none" w:sz="0" w:space="0" w:color="auto"/>
                <w:bottom w:val="none" w:sz="0" w:space="0" w:color="auto"/>
                <w:right w:val="none" w:sz="0" w:space="0" w:color="auto"/>
              </w:divBdr>
            </w:div>
            <w:div w:id="397437443">
              <w:marLeft w:val="0"/>
              <w:marRight w:val="0"/>
              <w:marTop w:val="0"/>
              <w:marBottom w:val="0"/>
              <w:divBdr>
                <w:top w:val="none" w:sz="0" w:space="0" w:color="auto"/>
                <w:left w:val="none" w:sz="0" w:space="0" w:color="auto"/>
                <w:bottom w:val="none" w:sz="0" w:space="0" w:color="auto"/>
                <w:right w:val="none" w:sz="0" w:space="0" w:color="auto"/>
              </w:divBdr>
            </w:div>
            <w:div w:id="1167672007">
              <w:marLeft w:val="0"/>
              <w:marRight w:val="0"/>
              <w:marTop w:val="0"/>
              <w:marBottom w:val="0"/>
              <w:divBdr>
                <w:top w:val="none" w:sz="0" w:space="0" w:color="auto"/>
                <w:left w:val="none" w:sz="0" w:space="0" w:color="auto"/>
                <w:bottom w:val="none" w:sz="0" w:space="0" w:color="auto"/>
                <w:right w:val="none" w:sz="0" w:space="0" w:color="auto"/>
              </w:divBdr>
            </w:div>
            <w:div w:id="1834638791">
              <w:marLeft w:val="0"/>
              <w:marRight w:val="0"/>
              <w:marTop w:val="0"/>
              <w:marBottom w:val="0"/>
              <w:divBdr>
                <w:top w:val="none" w:sz="0" w:space="0" w:color="auto"/>
                <w:left w:val="none" w:sz="0" w:space="0" w:color="auto"/>
                <w:bottom w:val="none" w:sz="0" w:space="0" w:color="auto"/>
                <w:right w:val="none" w:sz="0" w:space="0" w:color="auto"/>
              </w:divBdr>
            </w:div>
          </w:divsChild>
        </w:div>
        <w:div w:id="730078393">
          <w:marLeft w:val="0"/>
          <w:marRight w:val="0"/>
          <w:marTop w:val="0"/>
          <w:marBottom w:val="0"/>
          <w:divBdr>
            <w:top w:val="none" w:sz="0" w:space="0" w:color="auto"/>
            <w:left w:val="none" w:sz="0" w:space="0" w:color="auto"/>
            <w:bottom w:val="none" w:sz="0" w:space="0" w:color="auto"/>
            <w:right w:val="none" w:sz="0" w:space="0" w:color="auto"/>
          </w:divBdr>
          <w:divsChild>
            <w:div w:id="449130145">
              <w:marLeft w:val="0"/>
              <w:marRight w:val="0"/>
              <w:marTop w:val="0"/>
              <w:marBottom w:val="0"/>
              <w:divBdr>
                <w:top w:val="none" w:sz="0" w:space="0" w:color="auto"/>
                <w:left w:val="none" w:sz="0" w:space="0" w:color="auto"/>
                <w:bottom w:val="none" w:sz="0" w:space="0" w:color="auto"/>
                <w:right w:val="none" w:sz="0" w:space="0" w:color="auto"/>
              </w:divBdr>
            </w:div>
            <w:div w:id="1633058209">
              <w:marLeft w:val="0"/>
              <w:marRight w:val="0"/>
              <w:marTop w:val="0"/>
              <w:marBottom w:val="0"/>
              <w:divBdr>
                <w:top w:val="none" w:sz="0" w:space="0" w:color="auto"/>
                <w:left w:val="none" w:sz="0" w:space="0" w:color="auto"/>
                <w:bottom w:val="none" w:sz="0" w:space="0" w:color="auto"/>
                <w:right w:val="none" w:sz="0" w:space="0" w:color="auto"/>
              </w:divBdr>
            </w:div>
          </w:divsChild>
        </w:div>
        <w:div w:id="830367200">
          <w:marLeft w:val="0"/>
          <w:marRight w:val="0"/>
          <w:marTop w:val="0"/>
          <w:marBottom w:val="0"/>
          <w:divBdr>
            <w:top w:val="none" w:sz="0" w:space="0" w:color="auto"/>
            <w:left w:val="none" w:sz="0" w:space="0" w:color="auto"/>
            <w:bottom w:val="none" w:sz="0" w:space="0" w:color="auto"/>
            <w:right w:val="none" w:sz="0" w:space="0" w:color="auto"/>
          </w:divBdr>
          <w:divsChild>
            <w:div w:id="684869445">
              <w:marLeft w:val="0"/>
              <w:marRight w:val="0"/>
              <w:marTop w:val="0"/>
              <w:marBottom w:val="0"/>
              <w:divBdr>
                <w:top w:val="none" w:sz="0" w:space="0" w:color="auto"/>
                <w:left w:val="none" w:sz="0" w:space="0" w:color="auto"/>
                <w:bottom w:val="none" w:sz="0" w:space="0" w:color="auto"/>
                <w:right w:val="none" w:sz="0" w:space="0" w:color="auto"/>
              </w:divBdr>
            </w:div>
            <w:div w:id="1411927239">
              <w:marLeft w:val="0"/>
              <w:marRight w:val="0"/>
              <w:marTop w:val="0"/>
              <w:marBottom w:val="0"/>
              <w:divBdr>
                <w:top w:val="none" w:sz="0" w:space="0" w:color="auto"/>
                <w:left w:val="none" w:sz="0" w:space="0" w:color="auto"/>
                <w:bottom w:val="none" w:sz="0" w:space="0" w:color="auto"/>
                <w:right w:val="none" w:sz="0" w:space="0" w:color="auto"/>
              </w:divBdr>
            </w:div>
            <w:div w:id="1687518665">
              <w:marLeft w:val="0"/>
              <w:marRight w:val="0"/>
              <w:marTop w:val="0"/>
              <w:marBottom w:val="0"/>
              <w:divBdr>
                <w:top w:val="none" w:sz="0" w:space="0" w:color="auto"/>
                <w:left w:val="none" w:sz="0" w:space="0" w:color="auto"/>
                <w:bottom w:val="none" w:sz="0" w:space="0" w:color="auto"/>
                <w:right w:val="none" w:sz="0" w:space="0" w:color="auto"/>
              </w:divBdr>
            </w:div>
            <w:div w:id="1836333966">
              <w:marLeft w:val="0"/>
              <w:marRight w:val="0"/>
              <w:marTop w:val="0"/>
              <w:marBottom w:val="0"/>
              <w:divBdr>
                <w:top w:val="none" w:sz="0" w:space="0" w:color="auto"/>
                <w:left w:val="none" w:sz="0" w:space="0" w:color="auto"/>
                <w:bottom w:val="none" w:sz="0" w:space="0" w:color="auto"/>
                <w:right w:val="none" w:sz="0" w:space="0" w:color="auto"/>
              </w:divBdr>
            </w:div>
          </w:divsChild>
        </w:div>
        <w:div w:id="1435517529">
          <w:marLeft w:val="0"/>
          <w:marRight w:val="0"/>
          <w:marTop w:val="0"/>
          <w:marBottom w:val="0"/>
          <w:divBdr>
            <w:top w:val="none" w:sz="0" w:space="0" w:color="auto"/>
            <w:left w:val="none" w:sz="0" w:space="0" w:color="auto"/>
            <w:bottom w:val="none" w:sz="0" w:space="0" w:color="auto"/>
            <w:right w:val="none" w:sz="0" w:space="0" w:color="auto"/>
          </w:divBdr>
          <w:divsChild>
            <w:div w:id="635765098">
              <w:marLeft w:val="0"/>
              <w:marRight w:val="0"/>
              <w:marTop w:val="0"/>
              <w:marBottom w:val="0"/>
              <w:divBdr>
                <w:top w:val="none" w:sz="0" w:space="0" w:color="auto"/>
                <w:left w:val="none" w:sz="0" w:space="0" w:color="auto"/>
                <w:bottom w:val="none" w:sz="0" w:space="0" w:color="auto"/>
                <w:right w:val="none" w:sz="0" w:space="0" w:color="auto"/>
              </w:divBdr>
            </w:div>
            <w:div w:id="710769005">
              <w:marLeft w:val="0"/>
              <w:marRight w:val="0"/>
              <w:marTop w:val="0"/>
              <w:marBottom w:val="0"/>
              <w:divBdr>
                <w:top w:val="none" w:sz="0" w:space="0" w:color="auto"/>
                <w:left w:val="none" w:sz="0" w:space="0" w:color="auto"/>
                <w:bottom w:val="none" w:sz="0" w:space="0" w:color="auto"/>
                <w:right w:val="none" w:sz="0" w:space="0" w:color="auto"/>
              </w:divBdr>
            </w:div>
            <w:div w:id="978076912">
              <w:marLeft w:val="0"/>
              <w:marRight w:val="0"/>
              <w:marTop w:val="0"/>
              <w:marBottom w:val="0"/>
              <w:divBdr>
                <w:top w:val="none" w:sz="0" w:space="0" w:color="auto"/>
                <w:left w:val="none" w:sz="0" w:space="0" w:color="auto"/>
                <w:bottom w:val="none" w:sz="0" w:space="0" w:color="auto"/>
                <w:right w:val="none" w:sz="0" w:space="0" w:color="auto"/>
              </w:divBdr>
            </w:div>
            <w:div w:id="1653098783">
              <w:marLeft w:val="0"/>
              <w:marRight w:val="0"/>
              <w:marTop w:val="0"/>
              <w:marBottom w:val="0"/>
              <w:divBdr>
                <w:top w:val="none" w:sz="0" w:space="0" w:color="auto"/>
                <w:left w:val="none" w:sz="0" w:space="0" w:color="auto"/>
                <w:bottom w:val="none" w:sz="0" w:space="0" w:color="auto"/>
                <w:right w:val="none" w:sz="0" w:space="0" w:color="auto"/>
              </w:divBdr>
            </w:div>
          </w:divsChild>
        </w:div>
        <w:div w:id="2089688933">
          <w:marLeft w:val="0"/>
          <w:marRight w:val="0"/>
          <w:marTop w:val="0"/>
          <w:marBottom w:val="0"/>
          <w:divBdr>
            <w:top w:val="none" w:sz="0" w:space="0" w:color="auto"/>
            <w:left w:val="none" w:sz="0" w:space="0" w:color="auto"/>
            <w:bottom w:val="none" w:sz="0" w:space="0" w:color="auto"/>
            <w:right w:val="none" w:sz="0" w:space="0" w:color="auto"/>
          </w:divBdr>
          <w:divsChild>
            <w:div w:id="402920646">
              <w:marLeft w:val="0"/>
              <w:marRight w:val="0"/>
              <w:marTop w:val="0"/>
              <w:marBottom w:val="0"/>
              <w:divBdr>
                <w:top w:val="none" w:sz="0" w:space="0" w:color="auto"/>
                <w:left w:val="none" w:sz="0" w:space="0" w:color="auto"/>
                <w:bottom w:val="none" w:sz="0" w:space="0" w:color="auto"/>
                <w:right w:val="none" w:sz="0" w:space="0" w:color="auto"/>
              </w:divBdr>
            </w:div>
            <w:div w:id="519274092">
              <w:marLeft w:val="0"/>
              <w:marRight w:val="0"/>
              <w:marTop w:val="0"/>
              <w:marBottom w:val="0"/>
              <w:divBdr>
                <w:top w:val="none" w:sz="0" w:space="0" w:color="auto"/>
                <w:left w:val="none" w:sz="0" w:space="0" w:color="auto"/>
                <w:bottom w:val="none" w:sz="0" w:space="0" w:color="auto"/>
                <w:right w:val="none" w:sz="0" w:space="0" w:color="auto"/>
              </w:divBdr>
            </w:div>
            <w:div w:id="724256924">
              <w:marLeft w:val="0"/>
              <w:marRight w:val="0"/>
              <w:marTop w:val="0"/>
              <w:marBottom w:val="0"/>
              <w:divBdr>
                <w:top w:val="none" w:sz="0" w:space="0" w:color="auto"/>
                <w:left w:val="none" w:sz="0" w:space="0" w:color="auto"/>
                <w:bottom w:val="none" w:sz="0" w:space="0" w:color="auto"/>
                <w:right w:val="none" w:sz="0" w:space="0" w:color="auto"/>
              </w:divBdr>
            </w:div>
            <w:div w:id="8718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3694">
      <w:bodyDiv w:val="1"/>
      <w:marLeft w:val="0"/>
      <w:marRight w:val="0"/>
      <w:marTop w:val="0"/>
      <w:marBottom w:val="0"/>
      <w:divBdr>
        <w:top w:val="none" w:sz="0" w:space="0" w:color="auto"/>
        <w:left w:val="none" w:sz="0" w:space="0" w:color="auto"/>
        <w:bottom w:val="none" w:sz="0" w:space="0" w:color="auto"/>
        <w:right w:val="none" w:sz="0" w:space="0" w:color="auto"/>
      </w:divBdr>
      <w:divsChild>
        <w:div w:id="160968725">
          <w:marLeft w:val="0"/>
          <w:marRight w:val="0"/>
          <w:marTop w:val="0"/>
          <w:marBottom w:val="0"/>
          <w:divBdr>
            <w:top w:val="none" w:sz="0" w:space="0" w:color="auto"/>
            <w:left w:val="none" w:sz="0" w:space="0" w:color="auto"/>
            <w:bottom w:val="none" w:sz="0" w:space="0" w:color="auto"/>
            <w:right w:val="none" w:sz="0" w:space="0" w:color="auto"/>
          </w:divBdr>
        </w:div>
        <w:div w:id="250045975">
          <w:marLeft w:val="0"/>
          <w:marRight w:val="0"/>
          <w:marTop w:val="0"/>
          <w:marBottom w:val="0"/>
          <w:divBdr>
            <w:top w:val="none" w:sz="0" w:space="0" w:color="auto"/>
            <w:left w:val="none" w:sz="0" w:space="0" w:color="auto"/>
            <w:bottom w:val="none" w:sz="0" w:space="0" w:color="auto"/>
            <w:right w:val="none" w:sz="0" w:space="0" w:color="auto"/>
          </w:divBdr>
        </w:div>
        <w:div w:id="545803308">
          <w:marLeft w:val="0"/>
          <w:marRight w:val="0"/>
          <w:marTop w:val="0"/>
          <w:marBottom w:val="0"/>
          <w:divBdr>
            <w:top w:val="none" w:sz="0" w:space="0" w:color="auto"/>
            <w:left w:val="none" w:sz="0" w:space="0" w:color="auto"/>
            <w:bottom w:val="none" w:sz="0" w:space="0" w:color="auto"/>
            <w:right w:val="none" w:sz="0" w:space="0" w:color="auto"/>
          </w:divBdr>
        </w:div>
        <w:div w:id="592402277">
          <w:marLeft w:val="0"/>
          <w:marRight w:val="0"/>
          <w:marTop w:val="0"/>
          <w:marBottom w:val="0"/>
          <w:divBdr>
            <w:top w:val="none" w:sz="0" w:space="0" w:color="auto"/>
            <w:left w:val="none" w:sz="0" w:space="0" w:color="auto"/>
            <w:bottom w:val="none" w:sz="0" w:space="0" w:color="auto"/>
            <w:right w:val="none" w:sz="0" w:space="0" w:color="auto"/>
          </w:divBdr>
        </w:div>
        <w:div w:id="686491221">
          <w:marLeft w:val="0"/>
          <w:marRight w:val="0"/>
          <w:marTop w:val="0"/>
          <w:marBottom w:val="0"/>
          <w:divBdr>
            <w:top w:val="none" w:sz="0" w:space="0" w:color="auto"/>
            <w:left w:val="none" w:sz="0" w:space="0" w:color="auto"/>
            <w:bottom w:val="none" w:sz="0" w:space="0" w:color="auto"/>
            <w:right w:val="none" w:sz="0" w:space="0" w:color="auto"/>
          </w:divBdr>
        </w:div>
        <w:div w:id="1198153614">
          <w:marLeft w:val="0"/>
          <w:marRight w:val="0"/>
          <w:marTop w:val="0"/>
          <w:marBottom w:val="0"/>
          <w:divBdr>
            <w:top w:val="none" w:sz="0" w:space="0" w:color="auto"/>
            <w:left w:val="none" w:sz="0" w:space="0" w:color="auto"/>
            <w:bottom w:val="none" w:sz="0" w:space="0" w:color="auto"/>
            <w:right w:val="none" w:sz="0" w:space="0" w:color="auto"/>
          </w:divBdr>
        </w:div>
        <w:div w:id="1221404779">
          <w:marLeft w:val="0"/>
          <w:marRight w:val="0"/>
          <w:marTop w:val="0"/>
          <w:marBottom w:val="0"/>
          <w:divBdr>
            <w:top w:val="none" w:sz="0" w:space="0" w:color="auto"/>
            <w:left w:val="none" w:sz="0" w:space="0" w:color="auto"/>
            <w:bottom w:val="none" w:sz="0" w:space="0" w:color="auto"/>
            <w:right w:val="none" w:sz="0" w:space="0" w:color="auto"/>
          </w:divBdr>
        </w:div>
        <w:div w:id="1465081959">
          <w:marLeft w:val="0"/>
          <w:marRight w:val="0"/>
          <w:marTop w:val="0"/>
          <w:marBottom w:val="0"/>
          <w:divBdr>
            <w:top w:val="none" w:sz="0" w:space="0" w:color="auto"/>
            <w:left w:val="none" w:sz="0" w:space="0" w:color="auto"/>
            <w:bottom w:val="none" w:sz="0" w:space="0" w:color="auto"/>
            <w:right w:val="none" w:sz="0" w:space="0" w:color="auto"/>
          </w:divBdr>
        </w:div>
        <w:div w:id="1473643367">
          <w:marLeft w:val="0"/>
          <w:marRight w:val="0"/>
          <w:marTop w:val="0"/>
          <w:marBottom w:val="0"/>
          <w:divBdr>
            <w:top w:val="none" w:sz="0" w:space="0" w:color="auto"/>
            <w:left w:val="none" w:sz="0" w:space="0" w:color="auto"/>
            <w:bottom w:val="none" w:sz="0" w:space="0" w:color="auto"/>
            <w:right w:val="none" w:sz="0" w:space="0" w:color="auto"/>
          </w:divBdr>
        </w:div>
        <w:div w:id="1591743715">
          <w:marLeft w:val="0"/>
          <w:marRight w:val="0"/>
          <w:marTop w:val="0"/>
          <w:marBottom w:val="0"/>
          <w:divBdr>
            <w:top w:val="none" w:sz="0" w:space="0" w:color="auto"/>
            <w:left w:val="none" w:sz="0" w:space="0" w:color="auto"/>
            <w:bottom w:val="none" w:sz="0" w:space="0" w:color="auto"/>
            <w:right w:val="none" w:sz="0" w:space="0" w:color="auto"/>
          </w:divBdr>
        </w:div>
        <w:div w:id="1664813010">
          <w:marLeft w:val="0"/>
          <w:marRight w:val="0"/>
          <w:marTop w:val="0"/>
          <w:marBottom w:val="0"/>
          <w:divBdr>
            <w:top w:val="none" w:sz="0" w:space="0" w:color="auto"/>
            <w:left w:val="none" w:sz="0" w:space="0" w:color="auto"/>
            <w:bottom w:val="none" w:sz="0" w:space="0" w:color="auto"/>
            <w:right w:val="none" w:sz="0" w:space="0" w:color="auto"/>
          </w:divBdr>
        </w:div>
      </w:divsChild>
    </w:div>
    <w:div w:id="2005081755">
      <w:bodyDiv w:val="1"/>
      <w:marLeft w:val="0"/>
      <w:marRight w:val="0"/>
      <w:marTop w:val="0"/>
      <w:marBottom w:val="0"/>
      <w:divBdr>
        <w:top w:val="none" w:sz="0" w:space="0" w:color="auto"/>
        <w:left w:val="none" w:sz="0" w:space="0" w:color="auto"/>
        <w:bottom w:val="none" w:sz="0" w:space="0" w:color="auto"/>
        <w:right w:val="none" w:sz="0" w:space="0" w:color="auto"/>
      </w:divBdr>
    </w:div>
    <w:div w:id="2023042316">
      <w:bodyDiv w:val="1"/>
      <w:marLeft w:val="0"/>
      <w:marRight w:val="0"/>
      <w:marTop w:val="0"/>
      <w:marBottom w:val="0"/>
      <w:divBdr>
        <w:top w:val="none" w:sz="0" w:space="0" w:color="auto"/>
        <w:left w:val="none" w:sz="0" w:space="0" w:color="auto"/>
        <w:bottom w:val="none" w:sz="0" w:space="0" w:color="auto"/>
        <w:right w:val="none" w:sz="0" w:space="0" w:color="auto"/>
      </w:divBdr>
    </w:div>
    <w:div w:id="2077580355">
      <w:bodyDiv w:val="1"/>
      <w:marLeft w:val="0"/>
      <w:marRight w:val="0"/>
      <w:marTop w:val="0"/>
      <w:marBottom w:val="0"/>
      <w:divBdr>
        <w:top w:val="none" w:sz="0" w:space="0" w:color="auto"/>
        <w:left w:val="none" w:sz="0" w:space="0" w:color="auto"/>
        <w:bottom w:val="none" w:sz="0" w:space="0" w:color="auto"/>
        <w:right w:val="none" w:sz="0" w:space="0" w:color="auto"/>
      </w:divBdr>
    </w:div>
    <w:div w:id="2121491205">
      <w:bodyDiv w:val="1"/>
      <w:marLeft w:val="0"/>
      <w:marRight w:val="0"/>
      <w:marTop w:val="0"/>
      <w:marBottom w:val="0"/>
      <w:divBdr>
        <w:top w:val="none" w:sz="0" w:space="0" w:color="auto"/>
        <w:left w:val="none" w:sz="0" w:space="0" w:color="auto"/>
        <w:bottom w:val="none" w:sz="0" w:space="0" w:color="auto"/>
        <w:right w:val="none" w:sz="0" w:space="0" w:color="auto"/>
      </w:divBdr>
      <w:divsChild>
        <w:div w:id="810170035">
          <w:marLeft w:val="0"/>
          <w:marRight w:val="0"/>
          <w:marTop w:val="0"/>
          <w:marBottom w:val="0"/>
          <w:divBdr>
            <w:top w:val="none" w:sz="0" w:space="0" w:color="auto"/>
            <w:left w:val="none" w:sz="0" w:space="0" w:color="auto"/>
            <w:bottom w:val="none" w:sz="0" w:space="0" w:color="auto"/>
            <w:right w:val="none" w:sz="0" w:space="0" w:color="auto"/>
          </w:divBdr>
          <w:divsChild>
            <w:div w:id="341206419">
              <w:marLeft w:val="0"/>
              <w:marRight w:val="0"/>
              <w:marTop w:val="0"/>
              <w:marBottom w:val="0"/>
              <w:divBdr>
                <w:top w:val="none" w:sz="0" w:space="0" w:color="auto"/>
                <w:left w:val="none" w:sz="0" w:space="0" w:color="auto"/>
                <w:bottom w:val="none" w:sz="0" w:space="0" w:color="auto"/>
                <w:right w:val="none" w:sz="0" w:space="0" w:color="auto"/>
              </w:divBdr>
            </w:div>
            <w:div w:id="537206263">
              <w:marLeft w:val="0"/>
              <w:marRight w:val="0"/>
              <w:marTop w:val="0"/>
              <w:marBottom w:val="0"/>
              <w:divBdr>
                <w:top w:val="none" w:sz="0" w:space="0" w:color="auto"/>
                <w:left w:val="none" w:sz="0" w:space="0" w:color="auto"/>
                <w:bottom w:val="none" w:sz="0" w:space="0" w:color="auto"/>
                <w:right w:val="none" w:sz="0" w:space="0" w:color="auto"/>
              </w:divBdr>
            </w:div>
            <w:div w:id="1153176025">
              <w:marLeft w:val="0"/>
              <w:marRight w:val="0"/>
              <w:marTop w:val="0"/>
              <w:marBottom w:val="0"/>
              <w:divBdr>
                <w:top w:val="none" w:sz="0" w:space="0" w:color="auto"/>
                <w:left w:val="none" w:sz="0" w:space="0" w:color="auto"/>
                <w:bottom w:val="none" w:sz="0" w:space="0" w:color="auto"/>
                <w:right w:val="none" w:sz="0" w:space="0" w:color="auto"/>
              </w:divBdr>
            </w:div>
            <w:div w:id="1745689318">
              <w:marLeft w:val="0"/>
              <w:marRight w:val="0"/>
              <w:marTop w:val="0"/>
              <w:marBottom w:val="0"/>
              <w:divBdr>
                <w:top w:val="none" w:sz="0" w:space="0" w:color="auto"/>
                <w:left w:val="none" w:sz="0" w:space="0" w:color="auto"/>
                <w:bottom w:val="none" w:sz="0" w:space="0" w:color="auto"/>
                <w:right w:val="none" w:sz="0" w:space="0" w:color="auto"/>
              </w:divBdr>
            </w:div>
          </w:divsChild>
        </w:div>
        <w:div w:id="909999251">
          <w:marLeft w:val="0"/>
          <w:marRight w:val="0"/>
          <w:marTop w:val="0"/>
          <w:marBottom w:val="0"/>
          <w:divBdr>
            <w:top w:val="none" w:sz="0" w:space="0" w:color="auto"/>
            <w:left w:val="none" w:sz="0" w:space="0" w:color="auto"/>
            <w:bottom w:val="none" w:sz="0" w:space="0" w:color="auto"/>
            <w:right w:val="none" w:sz="0" w:space="0" w:color="auto"/>
          </w:divBdr>
          <w:divsChild>
            <w:div w:id="346178509">
              <w:marLeft w:val="0"/>
              <w:marRight w:val="0"/>
              <w:marTop w:val="0"/>
              <w:marBottom w:val="0"/>
              <w:divBdr>
                <w:top w:val="none" w:sz="0" w:space="0" w:color="auto"/>
                <w:left w:val="none" w:sz="0" w:space="0" w:color="auto"/>
                <w:bottom w:val="none" w:sz="0" w:space="0" w:color="auto"/>
                <w:right w:val="none" w:sz="0" w:space="0" w:color="auto"/>
              </w:divBdr>
            </w:div>
            <w:div w:id="986785433">
              <w:marLeft w:val="0"/>
              <w:marRight w:val="0"/>
              <w:marTop w:val="0"/>
              <w:marBottom w:val="0"/>
              <w:divBdr>
                <w:top w:val="none" w:sz="0" w:space="0" w:color="auto"/>
                <w:left w:val="none" w:sz="0" w:space="0" w:color="auto"/>
                <w:bottom w:val="none" w:sz="0" w:space="0" w:color="auto"/>
                <w:right w:val="none" w:sz="0" w:space="0" w:color="auto"/>
              </w:divBdr>
            </w:div>
            <w:div w:id="1544755308">
              <w:marLeft w:val="0"/>
              <w:marRight w:val="0"/>
              <w:marTop w:val="0"/>
              <w:marBottom w:val="0"/>
              <w:divBdr>
                <w:top w:val="none" w:sz="0" w:space="0" w:color="auto"/>
                <w:left w:val="none" w:sz="0" w:space="0" w:color="auto"/>
                <w:bottom w:val="none" w:sz="0" w:space="0" w:color="auto"/>
                <w:right w:val="none" w:sz="0" w:space="0" w:color="auto"/>
              </w:divBdr>
            </w:div>
            <w:div w:id="1639070755">
              <w:marLeft w:val="0"/>
              <w:marRight w:val="0"/>
              <w:marTop w:val="0"/>
              <w:marBottom w:val="0"/>
              <w:divBdr>
                <w:top w:val="none" w:sz="0" w:space="0" w:color="auto"/>
                <w:left w:val="none" w:sz="0" w:space="0" w:color="auto"/>
                <w:bottom w:val="none" w:sz="0" w:space="0" w:color="auto"/>
                <w:right w:val="none" w:sz="0" w:space="0" w:color="auto"/>
              </w:divBdr>
            </w:div>
          </w:divsChild>
        </w:div>
        <w:div w:id="1515848405">
          <w:marLeft w:val="0"/>
          <w:marRight w:val="0"/>
          <w:marTop w:val="0"/>
          <w:marBottom w:val="0"/>
          <w:divBdr>
            <w:top w:val="none" w:sz="0" w:space="0" w:color="auto"/>
            <w:left w:val="none" w:sz="0" w:space="0" w:color="auto"/>
            <w:bottom w:val="none" w:sz="0" w:space="0" w:color="auto"/>
            <w:right w:val="none" w:sz="0" w:space="0" w:color="auto"/>
          </w:divBdr>
          <w:divsChild>
            <w:div w:id="151260935">
              <w:marLeft w:val="0"/>
              <w:marRight w:val="0"/>
              <w:marTop w:val="0"/>
              <w:marBottom w:val="0"/>
              <w:divBdr>
                <w:top w:val="none" w:sz="0" w:space="0" w:color="auto"/>
                <w:left w:val="none" w:sz="0" w:space="0" w:color="auto"/>
                <w:bottom w:val="none" w:sz="0" w:space="0" w:color="auto"/>
                <w:right w:val="none" w:sz="0" w:space="0" w:color="auto"/>
              </w:divBdr>
            </w:div>
            <w:div w:id="260186860">
              <w:marLeft w:val="0"/>
              <w:marRight w:val="0"/>
              <w:marTop w:val="0"/>
              <w:marBottom w:val="0"/>
              <w:divBdr>
                <w:top w:val="none" w:sz="0" w:space="0" w:color="auto"/>
                <w:left w:val="none" w:sz="0" w:space="0" w:color="auto"/>
                <w:bottom w:val="none" w:sz="0" w:space="0" w:color="auto"/>
                <w:right w:val="none" w:sz="0" w:space="0" w:color="auto"/>
              </w:divBdr>
            </w:div>
            <w:div w:id="846866507">
              <w:marLeft w:val="0"/>
              <w:marRight w:val="0"/>
              <w:marTop w:val="0"/>
              <w:marBottom w:val="0"/>
              <w:divBdr>
                <w:top w:val="none" w:sz="0" w:space="0" w:color="auto"/>
                <w:left w:val="none" w:sz="0" w:space="0" w:color="auto"/>
                <w:bottom w:val="none" w:sz="0" w:space="0" w:color="auto"/>
                <w:right w:val="none" w:sz="0" w:space="0" w:color="auto"/>
              </w:divBdr>
            </w:div>
            <w:div w:id="888612544">
              <w:marLeft w:val="0"/>
              <w:marRight w:val="0"/>
              <w:marTop w:val="0"/>
              <w:marBottom w:val="0"/>
              <w:divBdr>
                <w:top w:val="none" w:sz="0" w:space="0" w:color="auto"/>
                <w:left w:val="none" w:sz="0" w:space="0" w:color="auto"/>
                <w:bottom w:val="none" w:sz="0" w:space="0" w:color="auto"/>
                <w:right w:val="none" w:sz="0" w:space="0" w:color="auto"/>
              </w:divBdr>
            </w:div>
          </w:divsChild>
        </w:div>
        <w:div w:id="1664237272">
          <w:marLeft w:val="0"/>
          <w:marRight w:val="0"/>
          <w:marTop w:val="0"/>
          <w:marBottom w:val="0"/>
          <w:divBdr>
            <w:top w:val="none" w:sz="0" w:space="0" w:color="auto"/>
            <w:left w:val="none" w:sz="0" w:space="0" w:color="auto"/>
            <w:bottom w:val="none" w:sz="0" w:space="0" w:color="auto"/>
            <w:right w:val="none" w:sz="0" w:space="0" w:color="auto"/>
          </w:divBdr>
          <w:divsChild>
            <w:div w:id="1123112791">
              <w:marLeft w:val="0"/>
              <w:marRight w:val="0"/>
              <w:marTop w:val="0"/>
              <w:marBottom w:val="0"/>
              <w:divBdr>
                <w:top w:val="none" w:sz="0" w:space="0" w:color="auto"/>
                <w:left w:val="none" w:sz="0" w:space="0" w:color="auto"/>
                <w:bottom w:val="none" w:sz="0" w:space="0" w:color="auto"/>
                <w:right w:val="none" w:sz="0" w:space="0" w:color="auto"/>
              </w:divBdr>
            </w:div>
            <w:div w:id="1495415911">
              <w:marLeft w:val="0"/>
              <w:marRight w:val="0"/>
              <w:marTop w:val="0"/>
              <w:marBottom w:val="0"/>
              <w:divBdr>
                <w:top w:val="none" w:sz="0" w:space="0" w:color="auto"/>
                <w:left w:val="none" w:sz="0" w:space="0" w:color="auto"/>
                <w:bottom w:val="none" w:sz="0" w:space="0" w:color="auto"/>
                <w:right w:val="none" w:sz="0" w:space="0" w:color="auto"/>
              </w:divBdr>
            </w:div>
          </w:divsChild>
        </w:div>
        <w:div w:id="1858229019">
          <w:marLeft w:val="0"/>
          <w:marRight w:val="0"/>
          <w:marTop w:val="0"/>
          <w:marBottom w:val="0"/>
          <w:divBdr>
            <w:top w:val="none" w:sz="0" w:space="0" w:color="auto"/>
            <w:left w:val="none" w:sz="0" w:space="0" w:color="auto"/>
            <w:bottom w:val="none" w:sz="0" w:space="0" w:color="auto"/>
            <w:right w:val="none" w:sz="0" w:space="0" w:color="auto"/>
          </w:divBdr>
          <w:divsChild>
            <w:div w:id="1139298324">
              <w:marLeft w:val="0"/>
              <w:marRight w:val="0"/>
              <w:marTop w:val="0"/>
              <w:marBottom w:val="0"/>
              <w:divBdr>
                <w:top w:val="none" w:sz="0" w:space="0" w:color="auto"/>
                <w:left w:val="none" w:sz="0" w:space="0" w:color="auto"/>
                <w:bottom w:val="none" w:sz="0" w:space="0" w:color="auto"/>
                <w:right w:val="none" w:sz="0" w:space="0" w:color="auto"/>
              </w:divBdr>
            </w:div>
            <w:div w:id="1144855058">
              <w:marLeft w:val="0"/>
              <w:marRight w:val="0"/>
              <w:marTop w:val="0"/>
              <w:marBottom w:val="0"/>
              <w:divBdr>
                <w:top w:val="none" w:sz="0" w:space="0" w:color="auto"/>
                <w:left w:val="none" w:sz="0" w:space="0" w:color="auto"/>
                <w:bottom w:val="none" w:sz="0" w:space="0" w:color="auto"/>
                <w:right w:val="none" w:sz="0" w:space="0" w:color="auto"/>
              </w:divBdr>
            </w:div>
            <w:div w:id="1328172487">
              <w:marLeft w:val="0"/>
              <w:marRight w:val="0"/>
              <w:marTop w:val="0"/>
              <w:marBottom w:val="0"/>
              <w:divBdr>
                <w:top w:val="none" w:sz="0" w:space="0" w:color="auto"/>
                <w:left w:val="none" w:sz="0" w:space="0" w:color="auto"/>
                <w:bottom w:val="none" w:sz="0" w:space="0" w:color="auto"/>
                <w:right w:val="none" w:sz="0" w:space="0" w:color="auto"/>
              </w:divBdr>
            </w:div>
            <w:div w:id="20040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azure/cloud-adoption-framework/get-started/migrate" TargetMode="External"/><Relationship Id="rId18" Type="http://schemas.openxmlformats.org/officeDocument/2006/relationships/hyperlink" Target="https://archcenter.blob.core.windows.net/cdn/business-outcome-template.xlsx" TargetMode="External"/><Relationship Id="rId26" Type="http://schemas.openxmlformats.org/officeDocument/2006/relationships/hyperlink" Target="https://azure.microsoft.com/pricing/tco/calculator" TargetMode="External"/><Relationship Id="rId39"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docs.microsoft.com/en-us/azure/cloud-adoption-framework/strategy/business-outcomes/reach-outcomes" TargetMode="External"/><Relationship Id="rId34" Type="http://schemas.openxmlformats.org/officeDocument/2006/relationships/image" Target="media/image6.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azure/cloud-adoption-framework/strategy/business-outcomes/business-outcome-template" TargetMode="External"/><Relationship Id="rId25" Type="http://schemas.openxmlformats.org/officeDocument/2006/relationships/hyperlink" Target="https://azure.microsoft.com/pricing/calculator"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archcenter.blob.core.windows.net/cdn/business-outcome-template.xlsx" TargetMode="External"/><Relationship Id="rId20" Type="http://schemas.openxmlformats.org/officeDocument/2006/relationships/hyperlink" Target="https://docs.microsoft.com/en-us/azure/cloud-adoption-framework/strategy/business-outcomes/agility-outcomes" TargetMode="External"/><Relationship Id="rId29" Type="http://schemas.openxmlformats.org/officeDocument/2006/relationships/hyperlink" Target="https://docs.microsoft.com/en-us/azure/cloud-adoption-framework/strategy/financial-model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microsoft.com/en-us/azure/cloud-adoption-framework/strategy/financial-models"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docs.microsoft.com/en-us/azure/cloud-adoption-framework/strategy/business-outcomes/business-outcome-template" TargetMode="External"/><Relationship Id="rId23" Type="http://schemas.openxmlformats.org/officeDocument/2006/relationships/hyperlink" Target="https://docs.microsoft.com/en-us/azure/cloud-adoption-framework/strategy/business-outcomes/performance-outcomes" TargetMode="External"/><Relationship Id="rId28" Type="http://schemas.openxmlformats.org/officeDocument/2006/relationships/hyperlink" Target="https://docs.microsoft.com/en-us/learn" TargetMode="Externa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docs.microsoft.com/en-us/azure/cloud-adoption-framework/strategy/business-outcomes/fiscal-outcomes" TargetMode="External"/><Relationship Id="rId31" Type="http://schemas.openxmlformats.org/officeDocument/2006/relationships/image" Target="media/image3.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cloud-adoption-framework/get-started/innovate" TargetMode="External"/><Relationship Id="rId22" Type="http://schemas.openxmlformats.org/officeDocument/2006/relationships/hyperlink" Target="https://docs.microsoft.com/en-us/azure/cloud-adoption-framework/strategy/business-outcomes/engagement-outcomes" TargetMode="External"/><Relationship Id="rId27" Type="http://schemas.openxmlformats.org/officeDocument/2006/relationships/hyperlink" Target="https://docs.microsoft.com/en-us/azure/cloud-adoption-framework/digital-estate/" TargetMode="External"/><Relationship Id="rId30" Type="http://schemas.openxmlformats.org/officeDocument/2006/relationships/hyperlink" Target="https://azure.microsoft.com/en-us/pricing/tco/calculator/" TargetMode="External"/><Relationship Id="rId35" Type="http://schemas.openxmlformats.org/officeDocument/2006/relationships/image" Target="media/image7.png"/><Relationship Id="rId43" Type="http://schemas.openxmlformats.org/officeDocument/2006/relationships/footer" Target="footer1.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0056F-1E9E-4EA9-8C6D-7B1762797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e65f2-f4ee-4734-b023-07c740501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92021-0248-4A00-BDB2-E562C0626C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5E4ADB-21B0-4FB4-B443-221A59CE3A74}">
  <ds:schemaRefs>
    <ds:schemaRef ds:uri="http://schemas.microsoft.com/sharepoint/v3/contenttype/forms"/>
  </ds:schemaRefs>
</ds:datastoreItem>
</file>

<file path=customXml/itemProps4.xml><?xml version="1.0" encoding="utf-8"?>
<ds:datastoreItem xmlns:ds="http://schemas.openxmlformats.org/officeDocument/2006/customXml" ds:itemID="{E21B090E-CE6A-40D7-A314-E9194C7C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4451</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29763</CharactersWithSpaces>
  <SharedDoc>false</SharedDoc>
  <HLinks>
    <vt:vector size="540" baseType="variant">
      <vt:variant>
        <vt:i4>7471166</vt:i4>
      </vt:variant>
      <vt:variant>
        <vt:i4>357</vt:i4>
      </vt:variant>
      <vt:variant>
        <vt:i4>0</vt:i4>
      </vt:variant>
      <vt:variant>
        <vt:i4>5</vt:i4>
      </vt:variant>
      <vt:variant>
        <vt:lpwstr>https://docs.microsoft.com/sql/ssma/sql-server-migration-assistant</vt:lpwstr>
      </vt:variant>
      <vt:variant>
        <vt:lpwstr/>
      </vt:variant>
      <vt:variant>
        <vt:i4>2293821</vt:i4>
      </vt:variant>
      <vt:variant>
        <vt:i4>354</vt:i4>
      </vt:variant>
      <vt:variant>
        <vt:i4>0</vt:i4>
      </vt:variant>
      <vt:variant>
        <vt:i4>5</vt:i4>
      </vt:variant>
      <vt:variant>
        <vt:lpwstr>https://azure.microsoft.com/pricing/tco/calculator</vt:lpwstr>
      </vt:variant>
      <vt:variant>
        <vt:lpwstr/>
      </vt:variant>
      <vt:variant>
        <vt:i4>7274534</vt:i4>
      </vt:variant>
      <vt:variant>
        <vt:i4>351</vt:i4>
      </vt:variant>
      <vt:variant>
        <vt:i4>0</vt:i4>
      </vt:variant>
      <vt:variant>
        <vt:i4>5</vt:i4>
      </vt:variant>
      <vt:variant>
        <vt:lpwstr>https://azure.microsoft.com/pricing/calculator</vt:lpwstr>
      </vt:variant>
      <vt:variant>
        <vt:lpwstr/>
      </vt:variant>
      <vt:variant>
        <vt:i4>5636187</vt:i4>
      </vt:variant>
      <vt:variant>
        <vt:i4>348</vt:i4>
      </vt:variant>
      <vt:variant>
        <vt:i4>0</vt:i4>
      </vt:variant>
      <vt:variant>
        <vt:i4>5</vt:i4>
      </vt:variant>
      <vt:variant>
        <vt:lpwstr>https://docs.microsoft.com/en-us/azure/cloud-adoption-framework/</vt:lpwstr>
      </vt:variant>
      <vt:variant>
        <vt:lpwstr/>
      </vt:variant>
      <vt:variant>
        <vt:i4>851977</vt:i4>
      </vt:variant>
      <vt:variant>
        <vt:i4>345</vt:i4>
      </vt:variant>
      <vt:variant>
        <vt:i4>0</vt:i4>
      </vt:variant>
      <vt:variant>
        <vt:i4>5</vt:i4>
      </vt:variant>
      <vt:variant>
        <vt:lpwstr>https://docs.microsoft.com/en-us/azure/sentinel/</vt:lpwstr>
      </vt:variant>
      <vt:variant>
        <vt:lpwstr/>
      </vt:variant>
      <vt:variant>
        <vt:i4>786519</vt:i4>
      </vt:variant>
      <vt:variant>
        <vt:i4>342</vt:i4>
      </vt:variant>
      <vt:variant>
        <vt:i4>0</vt:i4>
      </vt:variant>
      <vt:variant>
        <vt:i4>5</vt:i4>
      </vt:variant>
      <vt:variant>
        <vt:lpwstr>https://docs.microsoft.com/en-us/azure/automation/automation-tutorial-update-management</vt:lpwstr>
      </vt:variant>
      <vt:variant>
        <vt:lpwstr>view-update-assessment</vt:lpwstr>
      </vt:variant>
      <vt:variant>
        <vt:i4>786519</vt:i4>
      </vt:variant>
      <vt:variant>
        <vt:i4>339</vt:i4>
      </vt:variant>
      <vt:variant>
        <vt:i4>0</vt:i4>
      </vt:variant>
      <vt:variant>
        <vt:i4>5</vt:i4>
      </vt:variant>
      <vt:variant>
        <vt:lpwstr>https://docs.microsoft.com/en-us/azure/automation/automation-tutorial-update-management</vt:lpwstr>
      </vt:variant>
      <vt:variant>
        <vt:lpwstr>view-update-assessment</vt:lpwstr>
      </vt:variant>
      <vt:variant>
        <vt:i4>8060969</vt:i4>
      </vt:variant>
      <vt:variant>
        <vt:i4>336</vt:i4>
      </vt:variant>
      <vt:variant>
        <vt:i4>0</vt:i4>
      </vt:variant>
      <vt:variant>
        <vt:i4>5</vt:i4>
      </vt:variant>
      <vt:variant>
        <vt:lpwstr>https://docs.microsoft.com/en-us/azure/automation/automation-tutorial-update-management</vt:lpwstr>
      </vt:variant>
      <vt:variant>
        <vt:lpwstr>enable-update-management</vt:lpwstr>
      </vt:variant>
      <vt:variant>
        <vt:i4>3014757</vt:i4>
      </vt:variant>
      <vt:variant>
        <vt:i4>333</vt:i4>
      </vt:variant>
      <vt:variant>
        <vt:i4>0</vt:i4>
      </vt:variant>
      <vt:variant>
        <vt:i4>5</vt:i4>
      </vt:variant>
      <vt:variant>
        <vt:lpwstr>https://docs.microsoft.com/en-us/azure/automation/automation-quickstart-create-account</vt:lpwstr>
      </vt:variant>
      <vt:variant>
        <vt:lpwstr/>
      </vt:variant>
      <vt:variant>
        <vt:i4>1769540</vt:i4>
      </vt:variant>
      <vt:variant>
        <vt:i4>330</vt:i4>
      </vt:variant>
      <vt:variant>
        <vt:i4>0</vt:i4>
      </vt:variant>
      <vt:variant>
        <vt:i4>5</vt:i4>
      </vt:variant>
      <vt:variant>
        <vt:lpwstr>https://docs.microsoft.com/en-us/azure/azure-monitor/insights/vminsights-performance</vt:lpwstr>
      </vt:variant>
      <vt:variant>
        <vt:lpwstr/>
      </vt:variant>
      <vt:variant>
        <vt:i4>2424878</vt:i4>
      </vt:variant>
      <vt:variant>
        <vt:i4>327</vt:i4>
      </vt:variant>
      <vt:variant>
        <vt:i4>0</vt:i4>
      </vt:variant>
      <vt:variant>
        <vt:i4>5</vt:i4>
      </vt:variant>
      <vt:variant>
        <vt:lpwstr>https://docs.microsoft.com/en-us/azure/virtual-desktop/host-pool-load-balancing</vt:lpwstr>
      </vt:variant>
      <vt:variant>
        <vt:lpwstr/>
      </vt:variant>
      <vt:variant>
        <vt:i4>5242960</vt:i4>
      </vt:variant>
      <vt:variant>
        <vt:i4>324</vt:i4>
      </vt:variant>
      <vt:variant>
        <vt:i4>0</vt:i4>
      </vt:variant>
      <vt:variant>
        <vt:i4>5</vt:i4>
      </vt:variant>
      <vt:variant>
        <vt:lpwstr>https://docs.microsoft.com/en-us/azure/virtual-desktop/set-up-scaling-script</vt:lpwstr>
      </vt:variant>
      <vt:variant>
        <vt:lpwstr/>
      </vt:variant>
      <vt:variant>
        <vt:i4>1900548</vt:i4>
      </vt:variant>
      <vt:variant>
        <vt:i4>321</vt:i4>
      </vt:variant>
      <vt:variant>
        <vt:i4>0</vt:i4>
      </vt:variant>
      <vt:variant>
        <vt:i4>5</vt:i4>
      </vt:variant>
      <vt:variant>
        <vt:lpwstr>https://docs.microsoft.com/en-us/azure/virtual-desktop/deploy-diagnostics</vt:lpwstr>
      </vt:variant>
      <vt:variant>
        <vt:lpwstr/>
      </vt:variant>
      <vt:variant>
        <vt:i4>1900554</vt:i4>
      </vt:variant>
      <vt:variant>
        <vt:i4>318</vt:i4>
      </vt:variant>
      <vt:variant>
        <vt:i4>0</vt:i4>
      </vt:variant>
      <vt:variant>
        <vt:i4>5</vt:i4>
      </vt:variant>
      <vt:variant>
        <vt:lpwstr>https://docs.microsoft.com/en-us/azure/virtual-desktop/manage-resources-using-ui</vt:lpwstr>
      </vt:variant>
      <vt:variant>
        <vt:lpwstr/>
      </vt:variant>
      <vt:variant>
        <vt:i4>5111903</vt:i4>
      </vt:variant>
      <vt:variant>
        <vt:i4>315</vt:i4>
      </vt:variant>
      <vt:variant>
        <vt:i4>0</vt:i4>
      </vt:variant>
      <vt:variant>
        <vt:i4>5</vt:i4>
      </vt:variant>
      <vt:variant>
        <vt:lpwstr>https://docs.microsoft.com/en-us/powershell/windows-virtual-desktop/overview</vt:lpwstr>
      </vt:variant>
      <vt:variant>
        <vt:lpwstr/>
      </vt:variant>
      <vt:variant>
        <vt:i4>7340140</vt:i4>
      </vt:variant>
      <vt:variant>
        <vt:i4>312</vt:i4>
      </vt:variant>
      <vt:variant>
        <vt:i4>0</vt:i4>
      </vt:variant>
      <vt:variant>
        <vt:i4>5</vt:i4>
      </vt:variant>
      <vt:variant>
        <vt:lpwstr>https://docs.microsoft.com/en-us/azure/virtual-desktop/virtual-desktop-fall-2019/set-up-scaling-script</vt:lpwstr>
      </vt:variant>
      <vt:variant>
        <vt:lpwstr/>
      </vt:variant>
      <vt:variant>
        <vt:i4>3997752</vt:i4>
      </vt:variant>
      <vt:variant>
        <vt:i4>309</vt:i4>
      </vt:variant>
      <vt:variant>
        <vt:i4>0</vt:i4>
      </vt:variant>
      <vt:variant>
        <vt:i4>5</vt:i4>
      </vt:variant>
      <vt:variant>
        <vt:lpwstr>https://docs.microsoft.com/en-us/azure/virtual-desktop/virtual-desktop-fall-2019/deploy-diagnostics</vt:lpwstr>
      </vt:variant>
      <vt:variant>
        <vt:lpwstr/>
      </vt:variant>
      <vt:variant>
        <vt:i4>4980743</vt:i4>
      </vt:variant>
      <vt:variant>
        <vt:i4>306</vt:i4>
      </vt:variant>
      <vt:variant>
        <vt:i4>0</vt:i4>
      </vt:variant>
      <vt:variant>
        <vt:i4>5</vt:i4>
      </vt:variant>
      <vt:variant>
        <vt:lpwstr>https://docs.microsoft.com/en-us/azure/virtual-desktop/virtual-desktop-fall-2019/manage-resources-using-ui-powershell</vt:lpwstr>
      </vt:variant>
      <vt:variant>
        <vt:lpwstr/>
      </vt:variant>
      <vt:variant>
        <vt:i4>3997750</vt:i4>
      </vt:variant>
      <vt:variant>
        <vt:i4>303</vt:i4>
      </vt:variant>
      <vt:variant>
        <vt:i4>0</vt:i4>
      </vt:variant>
      <vt:variant>
        <vt:i4>5</vt:i4>
      </vt:variant>
      <vt:variant>
        <vt:lpwstr>https://docs.microsoft.com/en-us/azure/virtual-desktop/virtual-desktop-fall-2019/manage-resources-using-ui</vt:lpwstr>
      </vt:variant>
      <vt:variant>
        <vt:lpwstr/>
      </vt:variant>
      <vt:variant>
        <vt:i4>589825</vt:i4>
      </vt:variant>
      <vt:variant>
        <vt:i4>300</vt:i4>
      </vt:variant>
      <vt:variant>
        <vt:i4>0</vt:i4>
      </vt:variant>
      <vt:variant>
        <vt:i4>5</vt:i4>
      </vt:variant>
      <vt:variant>
        <vt:lpwstr>https://docs.microsoft.com/en-us/powershell/module/windowsvirtualdesktop/</vt:lpwstr>
      </vt:variant>
      <vt:variant>
        <vt:lpwstr/>
      </vt:variant>
      <vt:variant>
        <vt:i4>5111903</vt:i4>
      </vt:variant>
      <vt:variant>
        <vt:i4>297</vt:i4>
      </vt:variant>
      <vt:variant>
        <vt:i4>0</vt:i4>
      </vt:variant>
      <vt:variant>
        <vt:i4>5</vt:i4>
      </vt:variant>
      <vt:variant>
        <vt:lpwstr>https://docs.microsoft.com/en-us/powershell/windows-virtual-desktop/overview</vt:lpwstr>
      </vt:variant>
      <vt:variant>
        <vt:lpwstr/>
      </vt:variant>
      <vt:variant>
        <vt:i4>4456532</vt:i4>
      </vt:variant>
      <vt:variant>
        <vt:i4>294</vt:i4>
      </vt:variant>
      <vt:variant>
        <vt:i4>0</vt:i4>
      </vt:variant>
      <vt:variant>
        <vt:i4>5</vt:i4>
      </vt:variant>
      <vt:variant>
        <vt:lpwstr>https://azure.microsoft.com/en-us/pricing/reserved-vm-instances/</vt:lpwstr>
      </vt:variant>
      <vt:variant>
        <vt:lpwstr/>
      </vt:variant>
      <vt:variant>
        <vt:i4>3539062</vt:i4>
      </vt:variant>
      <vt:variant>
        <vt:i4>291</vt:i4>
      </vt:variant>
      <vt:variant>
        <vt:i4>0</vt:i4>
      </vt:variant>
      <vt:variant>
        <vt:i4>5</vt:i4>
      </vt:variant>
      <vt:variant>
        <vt:lpwstr>https://docs.microsoft.com/en-us/azure/virtual-desktop/overview</vt:lpwstr>
      </vt:variant>
      <vt:variant>
        <vt:lpwstr>requirements</vt:lpwstr>
      </vt:variant>
      <vt:variant>
        <vt:i4>2818154</vt:i4>
      </vt:variant>
      <vt:variant>
        <vt:i4>288</vt:i4>
      </vt:variant>
      <vt:variant>
        <vt:i4>0</vt:i4>
      </vt:variant>
      <vt:variant>
        <vt:i4>5</vt:i4>
      </vt:variant>
      <vt:variant>
        <vt:lpwstr>https://aka.ms/AzureCompliance</vt:lpwstr>
      </vt:variant>
      <vt:variant>
        <vt:lpwstr/>
      </vt:variant>
      <vt:variant>
        <vt:i4>983118</vt:i4>
      </vt:variant>
      <vt:variant>
        <vt:i4>285</vt:i4>
      </vt:variant>
      <vt:variant>
        <vt:i4>0</vt:i4>
      </vt:variant>
      <vt:variant>
        <vt:i4>5</vt:i4>
      </vt:variant>
      <vt:variant>
        <vt:lpwstr>https://docs.microsoft.com/en-us/azure/sentinel/connect-azure-security-center</vt:lpwstr>
      </vt:variant>
      <vt:variant>
        <vt:lpwstr/>
      </vt:variant>
      <vt:variant>
        <vt:i4>4259844</vt:i4>
      </vt:variant>
      <vt:variant>
        <vt:i4>282</vt:i4>
      </vt:variant>
      <vt:variant>
        <vt:i4>0</vt:i4>
      </vt:variant>
      <vt:variant>
        <vt:i4>5</vt:i4>
      </vt:variant>
      <vt:variant>
        <vt:lpwstr>https://docs.microsoft.com/en-us/azure/security-center/security-center-intro</vt:lpwstr>
      </vt:variant>
      <vt:variant>
        <vt:lpwstr/>
      </vt:variant>
      <vt:variant>
        <vt:i4>8257575</vt:i4>
      </vt:variant>
      <vt:variant>
        <vt:i4>279</vt:i4>
      </vt:variant>
      <vt:variant>
        <vt:i4>0</vt:i4>
      </vt:variant>
      <vt:variant>
        <vt:i4>5</vt:i4>
      </vt:variant>
      <vt:variant>
        <vt:lpwstr>https://docs.microsoft.com/en-us/azure/architecture/reference-architectures/hybrid-networking/hub-spoke</vt:lpwstr>
      </vt:variant>
      <vt:variant>
        <vt:lpwstr/>
      </vt:variant>
      <vt:variant>
        <vt:i4>4718598</vt:i4>
      </vt:variant>
      <vt:variant>
        <vt:i4>276</vt:i4>
      </vt:variant>
      <vt:variant>
        <vt:i4>0</vt:i4>
      </vt:variant>
      <vt:variant>
        <vt:i4>5</vt:i4>
      </vt:variant>
      <vt:variant>
        <vt:lpwstr>https://azure.microsoft.com/overview/cloudnative</vt:lpwstr>
      </vt:variant>
      <vt:variant>
        <vt:lpwstr/>
      </vt:variant>
      <vt:variant>
        <vt:i4>1310794</vt:i4>
      </vt:variant>
      <vt:variant>
        <vt:i4>273</vt:i4>
      </vt:variant>
      <vt:variant>
        <vt:i4>0</vt:i4>
      </vt:variant>
      <vt:variant>
        <vt:i4>5</vt:i4>
      </vt:variant>
      <vt:variant>
        <vt:lpwstr>https://azure.microsoft.com/overview/what-is-paas</vt:lpwstr>
      </vt:variant>
      <vt:variant>
        <vt:lpwstr/>
      </vt:variant>
      <vt:variant>
        <vt:i4>852042</vt:i4>
      </vt:variant>
      <vt:variant>
        <vt:i4>270</vt:i4>
      </vt:variant>
      <vt:variant>
        <vt:i4>0</vt:i4>
      </vt:variant>
      <vt:variant>
        <vt:i4>5</vt:i4>
      </vt:variant>
      <vt:variant>
        <vt:lpwstr>https://azure.microsoft.com/overview/what-is-iaas</vt:lpwstr>
      </vt:variant>
      <vt:variant>
        <vt:lpwstr/>
      </vt:variant>
      <vt:variant>
        <vt:i4>589890</vt:i4>
      </vt:variant>
      <vt:variant>
        <vt:i4>267</vt:i4>
      </vt:variant>
      <vt:variant>
        <vt:i4>0</vt:i4>
      </vt:variant>
      <vt:variant>
        <vt:i4>5</vt:i4>
      </vt:variant>
      <vt:variant>
        <vt:lpwstr>https://docs.microsoft.com/azure/virtual-desktop/create-host-pools-azure-marketplace</vt:lpwstr>
      </vt:variant>
      <vt:variant>
        <vt:lpwstr>optional-assign-additional-users-to-the-desktop-application-group</vt:lpwstr>
      </vt:variant>
      <vt:variant>
        <vt:i4>1245265</vt:i4>
      </vt:variant>
      <vt:variant>
        <vt:i4>264</vt:i4>
      </vt:variant>
      <vt:variant>
        <vt:i4>0</vt:i4>
      </vt:variant>
      <vt:variant>
        <vt:i4>5</vt:i4>
      </vt:variant>
      <vt:variant>
        <vt:lpwstr>https://forms.office.com/Pages/ResponsePage.aspx?id=v4j5cvGGr0GRqy180BHbR3HZFwpyCxVCngXplJaL78tUOUE0NEtBM0NDTU5DTTY0Qzg0NkRHWE85Si4u</vt:lpwstr>
      </vt:variant>
      <vt:variant>
        <vt:lpwstr/>
      </vt:variant>
      <vt:variant>
        <vt:i4>7078001</vt:i4>
      </vt:variant>
      <vt:variant>
        <vt:i4>261</vt:i4>
      </vt:variant>
      <vt:variant>
        <vt:i4>0</vt:i4>
      </vt:variant>
      <vt:variant>
        <vt:i4>5</vt:i4>
      </vt:variant>
      <vt:variant>
        <vt:lpwstr>https://apps.apple.com/us/app/microsoft-remote-desktop/id714464092</vt:lpwstr>
      </vt:variant>
      <vt:variant>
        <vt:lpwstr/>
      </vt:variant>
      <vt:variant>
        <vt:i4>7929914</vt:i4>
      </vt:variant>
      <vt:variant>
        <vt:i4>258</vt:i4>
      </vt:variant>
      <vt:variant>
        <vt:i4>0</vt:i4>
      </vt:variant>
      <vt:variant>
        <vt:i4>5</vt:i4>
      </vt:variant>
      <vt:variant>
        <vt:lpwstr>https://docs.microsoft.com/azure/virtual-desktop/store-fslogix-profile</vt:lpwstr>
      </vt:variant>
      <vt:variant>
        <vt:lpwstr/>
      </vt:variant>
      <vt:variant>
        <vt:i4>4390979</vt:i4>
      </vt:variant>
      <vt:variant>
        <vt:i4>255</vt:i4>
      </vt:variant>
      <vt:variant>
        <vt:i4>0</vt:i4>
      </vt:variant>
      <vt:variant>
        <vt:i4>5</vt:i4>
      </vt:variant>
      <vt:variant>
        <vt:lpwstr>https://docs.microsoft.com/azure/virtual-desktop/create-fslogix-profile-container</vt:lpwstr>
      </vt:variant>
      <vt:variant>
        <vt:lpwstr/>
      </vt:variant>
      <vt:variant>
        <vt:i4>5308493</vt:i4>
      </vt:variant>
      <vt:variant>
        <vt:i4>252</vt:i4>
      </vt:variant>
      <vt:variant>
        <vt:i4>0</vt:i4>
      </vt:variant>
      <vt:variant>
        <vt:i4>5</vt:i4>
      </vt:variant>
      <vt:variant>
        <vt:lpwstr>https://techcommunity.microsoft.com/t5/Windows-IT-Pro-Blog/Getting-started-with-FSLogix-profile-containers-on-Azure-Files/ba-p/746477</vt:lpwstr>
      </vt:variant>
      <vt:variant>
        <vt:lpwstr/>
      </vt:variant>
      <vt:variant>
        <vt:i4>4128875</vt:i4>
      </vt:variant>
      <vt:variant>
        <vt:i4>249</vt:i4>
      </vt:variant>
      <vt:variant>
        <vt:i4>0</vt:i4>
      </vt:variant>
      <vt:variant>
        <vt:i4>5</vt:i4>
      </vt:variant>
      <vt:variant>
        <vt:lpwstr>https://docs.microsoft.com/azure/virtual-network/virtual-networks-overview</vt:lpwstr>
      </vt:variant>
      <vt:variant>
        <vt:lpwstr/>
      </vt:variant>
      <vt:variant>
        <vt:i4>4915280</vt:i4>
      </vt:variant>
      <vt:variant>
        <vt:i4>246</vt:i4>
      </vt:variant>
      <vt:variant>
        <vt:i4>0</vt:i4>
      </vt:variant>
      <vt:variant>
        <vt:i4>5</vt:i4>
      </vt:variant>
      <vt:variant>
        <vt:lpwstr>https://azure.microsoft.com/en-us/blog/introducing-the-new-azure-migrate-a-hub-for-your-migration-needs/</vt:lpwstr>
      </vt:variant>
      <vt:variant>
        <vt:lpwstr/>
      </vt:variant>
      <vt:variant>
        <vt:i4>4587524</vt:i4>
      </vt:variant>
      <vt:variant>
        <vt:i4>243</vt:i4>
      </vt:variant>
      <vt:variant>
        <vt:i4>0</vt:i4>
      </vt:variant>
      <vt:variant>
        <vt:i4>5</vt:i4>
      </vt:variant>
      <vt:variant>
        <vt:lpwstr>https://docs.microsoft.com/en-us/azure/site-recovery/site-recovery-manage-network-interfaces-on-premises-to-azure</vt:lpwstr>
      </vt:variant>
      <vt:variant>
        <vt:lpwstr/>
      </vt:variant>
      <vt:variant>
        <vt:i4>4587607</vt:i4>
      </vt:variant>
      <vt:variant>
        <vt:i4>240</vt:i4>
      </vt:variant>
      <vt:variant>
        <vt:i4>0</vt:i4>
      </vt:variant>
      <vt:variant>
        <vt:i4>5</vt:i4>
      </vt:variant>
      <vt:variant>
        <vt:lpwstr>https://docs.microsoft.com/en-us/azure/site-recovery/vmware-physical-large-deployment</vt:lpwstr>
      </vt:variant>
      <vt:variant>
        <vt:lpwstr/>
      </vt:variant>
      <vt:variant>
        <vt:i4>4587607</vt:i4>
      </vt:variant>
      <vt:variant>
        <vt:i4>237</vt:i4>
      </vt:variant>
      <vt:variant>
        <vt:i4>0</vt:i4>
      </vt:variant>
      <vt:variant>
        <vt:i4>5</vt:i4>
      </vt:variant>
      <vt:variant>
        <vt:lpwstr>https://docs.microsoft.com/en-us/azure/site-recovery/vmware-physical-large-deployment</vt:lpwstr>
      </vt:variant>
      <vt:variant>
        <vt:lpwstr/>
      </vt:variant>
      <vt:variant>
        <vt:i4>1703957</vt:i4>
      </vt:variant>
      <vt:variant>
        <vt:i4>234</vt:i4>
      </vt:variant>
      <vt:variant>
        <vt:i4>0</vt:i4>
      </vt:variant>
      <vt:variant>
        <vt:i4>5</vt:i4>
      </vt:variant>
      <vt:variant>
        <vt:lpwstr>https://docs.microsoft.com/en-us/azure/virtual-desktop/create-profile-container-adds</vt:lpwstr>
      </vt:variant>
      <vt:variant>
        <vt:lpwstr/>
      </vt:variant>
      <vt:variant>
        <vt:i4>7864439</vt:i4>
      </vt:variant>
      <vt:variant>
        <vt:i4>231</vt:i4>
      </vt:variant>
      <vt:variant>
        <vt:i4>0</vt:i4>
      </vt:variant>
      <vt:variant>
        <vt:i4>5</vt:i4>
      </vt:variant>
      <vt:variant>
        <vt:lpwstr>https://docs.microsoft.com/en-us/azure/virtual-desktop/create-fslogix-profile-container</vt:lpwstr>
      </vt:variant>
      <vt:variant>
        <vt:lpwstr/>
      </vt:variant>
      <vt:variant>
        <vt:i4>5242908</vt:i4>
      </vt:variant>
      <vt:variant>
        <vt:i4>228</vt:i4>
      </vt:variant>
      <vt:variant>
        <vt:i4>0</vt:i4>
      </vt:variant>
      <vt:variant>
        <vt:i4>5</vt:i4>
      </vt:variant>
      <vt:variant>
        <vt:lpwstr>https://docs.microsoft.com/en-us/azure/virtual-desktop/create-host-pools-user-profile</vt:lpwstr>
      </vt:variant>
      <vt:variant>
        <vt:lpwstr/>
      </vt:variant>
      <vt:variant>
        <vt:i4>5898317</vt:i4>
      </vt:variant>
      <vt:variant>
        <vt:i4>225</vt:i4>
      </vt:variant>
      <vt:variant>
        <vt:i4>0</vt:i4>
      </vt:variant>
      <vt:variant>
        <vt:i4>5</vt:i4>
      </vt:variant>
      <vt:variant>
        <vt:lpwstr>https://docs.microsoft.com/en-us/azure/virtual-desktop/app-attach</vt:lpwstr>
      </vt:variant>
      <vt:variant>
        <vt:lpwstr/>
      </vt:variant>
      <vt:variant>
        <vt:i4>4063285</vt:i4>
      </vt:variant>
      <vt:variant>
        <vt:i4>222</vt:i4>
      </vt:variant>
      <vt:variant>
        <vt:i4>0</vt:i4>
      </vt:variant>
      <vt:variant>
        <vt:i4>5</vt:i4>
      </vt:variant>
      <vt:variant>
        <vt:lpwstr>https://docs.microsoft.com/en-us/azure/virtual-desktop/customize-feed-for-virtual-desktop-users</vt:lpwstr>
      </vt:variant>
      <vt:variant>
        <vt:lpwstr/>
      </vt:variant>
      <vt:variant>
        <vt:i4>2556014</vt:i4>
      </vt:variant>
      <vt:variant>
        <vt:i4>219</vt:i4>
      </vt:variant>
      <vt:variant>
        <vt:i4>0</vt:i4>
      </vt:variant>
      <vt:variant>
        <vt:i4>5</vt:i4>
      </vt:variant>
      <vt:variant>
        <vt:lpwstr>https://docs.microsoft.com/en-us/azure/virtual-desktop/customize-rdp-properties</vt:lpwstr>
      </vt:variant>
      <vt:variant>
        <vt:lpwstr/>
      </vt:variant>
      <vt:variant>
        <vt:i4>6946879</vt:i4>
      </vt:variant>
      <vt:variant>
        <vt:i4>216</vt:i4>
      </vt:variant>
      <vt:variant>
        <vt:i4>0</vt:i4>
      </vt:variant>
      <vt:variant>
        <vt:i4>5</vt:i4>
      </vt:variant>
      <vt:variant>
        <vt:lpwstr>https://docs.microsoft.com/en-us/azure/virtual-desktop/create-host-pools-azure-marketplace</vt:lpwstr>
      </vt:variant>
      <vt:variant>
        <vt:lpwstr/>
      </vt:variant>
      <vt:variant>
        <vt:i4>5308447</vt:i4>
      </vt:variant>
      <vt:variant>
        <vt:i4>213</vt:i4>
      </vt:variant>
      <vt:variant>
        <vt:i4>0</vt:i4>
      </vt:variant>
      <vt:variant>
        <vt:i4>5</vt:i4>
      </vt:variant>
      <vt:variant>
        <vt:lpwstr>https://docs.microsoft.com/en-us/azure/virtual-desktop/configure-host-pool-load-balancing</vt:lpwstr>
      </vt:variant>
      <vt:variant>
        <vt:lpwstr/>
      </vt:variant>
      <vt:variant>
        <vt:i4>7340088</vt:i4>
      </vt:variant>
      <vt:variant>
        <vt:i4>210</vt:i4>
      </vt:variant>
      <vt:variant>
        <vt:i4>0</vt:i4>
      </vt:variant>
      <vt:variant>
        <vt:i4>5</vt:i4>
      </vt:variant>
      <vt:variant>
        <vt:lpwstr>https://docs.microsoft.com/en-us/azure/virtual-desktop/configure-host-pool-personal-desktop-assignment-type</vt:lpwstr>
      </vt:variant>
      <vt:variant>
        <vt:lpwstr/>
      </vt:variant>
      <vt:variant>
        <vt:i4>4980802</vt:i4>
      </vt:variant>
      <vt:variant>
        <vt:i4>207</vt:i4>
      </vt:variant>
      <vt:variant>
        <vt:i4>0</vt:i4>
      </vt:variant>
      <vt:variant>
        <vt:i4>5</vt:i4>
      </vt:variant>
      <vt:variant>
        <vt:lpwstr>https://docs.microsoft.com/en-us/azure/virtual-desktop/install-office-on-wvd-master-image</vt:lpwstr>
      </vt:variant>
      <vt:variant>
        <vt:lpwstr/>
      </vt:variant>
      <vt:variant>
        <vt:i4>5439506</vt:i4>
      </vt:variant>
      <vt:variant>
        <vt:i4>204</vt:i4>
      </vt:variant>
      <vt:variant>
        <vt:i4>0</vt:i4>
      </vt:variant>
      <vt:variant>
        <vt:i4>5</vt:i4>
      </vt:variant>
      <vt:variant>
        <vt:lpwstr>https://docs.microsoft.com/en-us/azure/virtual-desktop/set-up-customize-master-image</vt:lpwstr>
      </vt:variant>
      <vt:variant>
        <vt:lpwstr/>
      </vt:variant>
      <vt:variant>
        <vt:i4>7143486</vt:i4>
      </vt:variant>
      <vt:variant>
        <vt:i4>201</vt:i4>
      </vt:variant>
      <vt:variant>
        <vt:i4>0</vt:i4>
      </vt:variant>
      <vt:variant>
        <vt:i4>5</vt:i4>
      </vt:variant>
      <vt:variant>
        <vt:lpwstr>https://docs.microsoft.com/en-us/azure/virtual-desktop/language-packs</vt:lpwstr>
      </vt:variant>
      <vt:variant>
        <vt:lpwstr>install-a-language-pack</vt:lpwstr>
      </vt:variant>
      <vt:variant>
        <vt:i4>4980806</vt:i4>
      </vt:variant>
      <vt:variant>
        <vt:i4>198</vt:i4>
      </vt:variant>
      <vt:variant>
        <vt:i4>0</vt:i4>
      </vt:variant>
      <vt:variant>
        <vt:i4>5</vt:i4>
      </vt:variant>
      <vt:variant>
        <vt:lpwstr>https://docs.microsoft.com/en-us/azure/virtual-desktop/virtual-desktop-fall-2019/create-service-principal-role-powershell</vt:lpwstr>
      </vt:variant>
      <vt:variant>
        <vt:lpwstr>create-a-service-principal-in-azure-active-directory</vt:lpwstr>
      </vt:variant>
      <vt:variant>
        <vt:i4>4259857</vt:i4>
      </vt:variant>
      <vt:variant>
        <vt:i4>195</vt:i4>
      </vt:variant>
      <vt:variant>
        <vt:i4>0</vt:i4>
      </vt:variant>
      <vt:variant>
        <vt:i4>5</vt:i4>
      </vt:variant>
      <vt:variant>
        <vt:lpwstr>https://docs.microsoft.com/en-us/azure/virtual-desktop/virtual-desktop-fall-2019/tenant-setup-azure-active-directory</vt:lpwstr>
      </vt:variant>
      <vt:variant>
        <vt:lpwstr>assign-the-tenantcreator-application-role</vt:lpwstr>
      </vt:variant>
      <vt:variant>
        <vt:i4>5505091</vt:i4>
      </vt:variant>
      <vt:variant>
        <vt:i4>192</vt:i4>
      </vt:variant>
      <vt:variant>
        <vt:i4>0</vt:i4>
      </vt:variant>
      <vt:variant>
        <vt:i4>5</vt:i4>
      </vt:variant>
      <vt:variant>
        <vt:lpwstr>https://docs.microsoft.com/en-us/azure/virtual-desktop/virtual-desktop-fall-2019/tenant-setup-azure-active-directory</vt:lpwstr>
      </vt:variant>
      <vt:variant>
        <vt:lpwstr>grant-permissions-to-windows-virtual-desktop</vt:lpwstr>
      </vt:variant>
      <vt:variant>
        <vt:i4>720903</vt:i4>
      </vt:variant>
      <vt:variant>
        <vt:i4>189</vt:i4>
      </vt:variant>
      <vt:variant>
        <vt:i4>0</vt:i4>
      </vt:variant>
      <vt:variant>
        <vt:i4>5</vt:i4>
      </vt:variant>
      <vt:variant>
        <vt:lpwstr>https://docs.microsoft.com/en-us/azure/virtual-desktop/virtual-desktop-fall-2019/tenant-setup-azure-active-directory</vt:lpwstr>
      </vt:variant>
      <vt:variant>
        <vt:lpwstr>what-you-need-to-set-up-a-tenant</vt:lpwstr>
      </vt:variant>
      <vt:variant>
        <vt:i4>262224</vt:i4>
      </vt:variant>
      <vt:variant>
        <vt:i4>186</vt:i4>
      </vt:variant>
      <vt:variant>
        <vt:i4>0</vt:i4>
      </vt:variant>
      <vt:variant>
        <vt:i4>5</vt:i4>
      </vt:variant>
      <vt:variant>
        <vt:lpwstr>https://docs.microsoft.com/en-us/azure/virtual-desktop/set-up-mfa</vt:lpwstr>
      </vt:variant>
      <vt:variant>
        <vt:lpwstr/>
      </vt:variant>
      <vt:variant>
        <vt:i4>4718606</vt:i4>
      </vt:variant>
      <vt:variant>
        <vt:i4>183</vt:i4>
      </vt:variant>
      <vt:variant>
        <vt:i4>0</vt:i4>
      </vt:variant>
      <vt:variant>
        <vt:i4>5</vt:i4>
      </vt:variant>
      <vt:variant>
        <vt:lpwstr>https://docs.microsoft.com/en-us/azure/active-directory/devices/hybrid-azuread-join-plan</vt:lpwstr>
      </vt:variant>
      <vt:variant>
        <vt:lpwstr/>
      </vt:variant>
      <vt:variant>
        <vt:i4>2949163</vt:i4>
      </vt:variant>
      <vt:variant>
        <vt:i4>180</vt:i4>
      </vt:variant>
      <vt:variant>
        <vt:i4>0</vt:i4>
      </vt:variant>
      <vt:variant>
        <vt:i4>5</vt:i4>
      </vt:variant>
      <vt:variant>
        <vt:lpwstr>https://docs.microsoft.com/en-us/azure/active-directory-domain-services/active-directory-ds-comparison</vt:lpwstr>
      </vt:variant>
      <vt:variant>
        <vt:lpwstr/>
      </vt:variant>
      <vt:variant>
        <vt:i4>8126507</vt:i4>
      </vt:variant>
      <vt:variant>
        <vt:i4>177</vt:i4>
      </vt:variant>
      <vt:variant>
        <vt:i4>0</vt:i4>
      </vt:variant>
      <vt:variant>
        <vt:i4>5</vt:i4>
      </vt:variant>
      <vt:variant>
        <vt:lpwstr>http://aka.ms/cafenablementkit</vt:lpwstr>
      </vt:variant>
      <vt:variant>
        <vt:lpwstr/>
      </vt:variant>
      <vt:variant>
        <vt:i4>1507383</vt:i4>
      </vt:variant>
      <vt:variant>
        <vt:i4>170</vt:i4>
      </vt:variant>
      <vt:variant>
        <vt:i4>0</vt:i4>
      </vt:variant>
      <vt:variant>
        <vt:i4>5</vt:i4>
      </vt:variant>
      <vt:variant>
        <vt:lpwstr/>
      </vt:variant>
      <vt:variant>
        <vt:lpwstr>_Toc43321918</vt:lpwstr>
      </vt:variant>
      <vt:variant>
        <vt:i4>1572919</vt:i4>
      </vt:variant>
      <vt:variant>
        <vt:i4>164</vt:i4>
      </vt:variant>
      <vt:variant>
        <vt:i4>0</vt:i4>
      </vt:variant>
      <vt:variant>
        <vt:i4>5</vt:i4>
      </vt:variant>
      <vt:variant>
        <vt:lpwstr/>
      </vt:variant>
      <vt:variant>
        <vt:lpwstr>_Toc43321917</vt:lpwstr>
      </vt:variant>
      <vt:variant>
        <vt:i4>1638455</vt:i4>
      </vt:variant>
      <vt:variant>
        <vt:i4>158</vt:i4>
      </vt:variant>
      <vt:variant>
        <vt:i4>0</vt:i4>
      </vt:variant>
      <vt:variant>
        <vt:i4>5</vt:i4>
      </vt:variant>
      <vt:variant>
        <vt:lpwstr/>
      </vt:variant>
      <vt:variant>
        <vt:lpwstr>_Toc43321916</vt:lpwstr>
      </vt:variant>
      <vt:variant>
        <vt:i4>1703991</vt:i4>
      </vt:variant>
      <vt:variant>
        <vt:i4>152</vt:i4>
      </vt:variant>
      <vt:variant>
        <vt:i4>0</vt:i4>
      </vt:variant>
      <vt:variant>
        <vt:i4>5</vt:i4>
      </vt:variant>
      <vt:variant>
        <vt:lpwstr/>
      </vt:variant>
      <vt:variant>
        <vt:lpwstr>_Toc43321915</vt:lpwstr>
      </vt:variant>
      <vt:variant>
        <vt:i4>1769527</vt:i4>
      </vt:variant>
      <vt:variant>
        <vt:i4>146</vt:i4>
      </vt:variant>
      <vt:variant>
        <vt:i4>0</vt:i4>
      </vt:variant>
      <vt:variant>
        <vt:i4>5</vt:i4>
      </vt:variant>
      <vt:variant>
        <vt:lpwstr/>
      </vt:variant>
      <vt:variant>
        <vt:lpwstr>_Toc43321914</vt:lpwstr>
      </vt:variant>
      <vt:variant>
        <vt:i4>1835063</vt:i4>
      </vt:variant>
      <vt:variant>
        <vt:i4>140</vt:i4>
      </vt:variant>
      <vt:variant>
        <vt:i4>0</vt:i4>
      </vt:variant>
      <vt:variant>
        <vt:i4>5</vt:i4>
      </vt:variant>
      <vt:variant>
        <vt:lpwstr/>
      </vt:variant>
      <vt:variant>
        <vt:lpwstr>_Toc43321913</vt:lpwstr>
      </vt:variant>
      <vt:variant>
        <vt:i4>1900599</vt:i4>
      </vt:variant>
      <vt:variant>
        <vt:i4>134</vt:i4>
      </vt:variant>
      <vt:variant>
        <vt:i4>0</vt:i4>
      </vt:variant>
      <vt:variant>
        <vt:i4>5</vt:i4>
      </vt:variant>
      <vt:variant>
        <vt:lpwstr/>
      </vt:variant>
      <vt:variant>
        <vt:lpwstr>_Toc43321912</vt:lpwstr>
      </vt:variant>
      <vt:variant>
        <vt:i4>1966135</vt:i4>
      </vt:variant>
      <vt:variant>
        <vt:i4>128</vt:i4>
      </vt:variant>
      <vt:variant>
        <vt:i4>0</vt:i4>
      </vt:variant>
      <vt:variant>
        <vt:i4>5</vt:i4>
      </vt:variant>
      <vt:variant>
        <vt:lpwstr/>
      </vt:variant>
      <vt:variant>
        <vt:lpwstr>_Toc43321911</vt:lpwstr>
      </vt:variant>
      <vt:variant>
        <vt:i4>2031671</vt:i4>
      </vt:variant>
      <vt:variant>
        <vt:i4>122</vt:i4>
      </vt:variant>
      <vt:variant>
        <vt:i4>0</vt:i4>
      </vt:variant>
      <vt:variant>
        <vt:i4>5</vt:i4>
      </vt:variant>
      <vt:variant>
        <vt:lpwstr/>
      </vt:variant>
      <vt:variant>
        <vt:lpwstr>_Toc43321910</vt:lpwstr>
      </vt:variant>
      <vt:variant>
        <vt:i4>1441846</vt:i4>
      </vt:variant>
      <vt:variant>
        <vt:i4>116</vt:i4>
      </vt:variant>
      <vt:variant>
        <vt:i4>0</vt:i4>
      </vt:variant>
      <vt:variant>
        <vt:i4>5</vt:i4>
      </vt:variant>
      <vt:variant>
        <vt:lpwstr/>
      </vt:variant>
      <vt:variant>
        <vt:lpwstr>_Toc43321909</vt:lpwstr>
      </vt:variant>
      <vt:variant>
        <vt:i4>1507382</vt:i4>
      </vt:variant>
      <vt:variant>
        <vt:i4>110</vt:i4>
      </vt:variant>
      <vt:variant>
        <vt:i4>0</vt:i4>
      </vt:variant>
      <vt:variant>
        <vt:i4>5</vt:i4>
      </vt:variant>
      <vt:variant>
        <vt:lpwstr/>
      </vt:variant>
      <vt:variant>
        <vt:lpwstr>_Toc43321908</vt:lpwstr>
      </vt:variant>
      <vt:variant>
        <vt:i4>1572918</vt:i4>
      </vt:variant>
      <vt:variant>
        <vt:i4>104</vt:i4>
      </vt:variant>
      <vt:variant>
        <vt:i4>0</vt:i4>
      </vt:variant>
      <vt:variant>
        <vt:i4>5</vt:i4>
      </vt:variant>
      <vt:variant>
        <vt:lpwstr/>
      </vt:variant>
      <vt:variant>
        <vt:lpwstr>_Toc43321907</vt:lpwstr>
      </vt:variant>
      <vt:variant>
        <vt:i4>1638454</vt:i4>
      </vt:variant>
      <vt:variant>
        <vt:i4>98</vt:i4>
      </vt:variant>
      <vt:variant>
        <vt:i4>0</vt:i4>
      </vt:variant>
      <vt:variant>
        <vt:i4>5</vt:i4>
      </vt:variant>
      <vt:variant>
        <vt:lpwstr/>
      </vt:variant>
      <vt:variant>
        <vt:lpwstr>_Toc43321906</vt:lpwstr>
      </vt:variant>
      <vt:variant>
        <vt:i4>1703990</vt:i4>
      </vt:variant>
      <vt:variant>
        <vt:i4>92</vt:i4>
      </vt:variant>
      <vt:variant>
        <vt:i4>0</vt:i4>
      </vt:variant>
      <vt:variant>
        <vt:i4>5</vt:i4>
      </vt:variant>
      <vt:variant>
        <vt:lpwstr/>
      </vt:variant>
      <vt:variant>
        <vt:lpwstr>_Toc43321905</vt:lpwstr>
      </vt:variant>
      <vt:variant>
        <vt:i4>1769526</vt:i4>
      </vt:variant>
      <vt:variant>
        <vt:i4>86</vt:i4>
      </vt:variant>
      <vt:variant>
        <vt:i4>0</vt:i4>
      </vt:variant>
      <vt:variant>
        <vt:i4>5</vt:i4>
      </vt:variant>
      <vt:variant>
        <vt:lpwstr/>
      </vt:variant>
      <vt:variant>
        <vt:lpwstr>_Toc43321904</vt:lpwstr>
      </vt:variant>
      <vt:variant>
        <vt:i4>1835062</vt:i4>
      </vt:variant>
      <vt:variant>
        <vt:i4>80</vt:i4>
      </vt:variant>
      <vt:variant>
        <vt:i4>0</vt:i4>
      </vt:variant>
      <vt:variant>
        <vt:i4>5</vt:i4>
      </vt:variant>
      <vt:variant>
        <vt:lpwstr/>
      </vt:variant>
      <vt:variant>
        <vt:lpwstr>_Toc43321903</vt:lpwstr>
      </vt:variant>
      <vt:variant>
        <vt:i4>1900598</vt:i4>
      </vt:variant>
      <vt:variant>
        <vt:i4>74</vt:i4>
      </vt:variant>
      <vt:variant>
        <vt:i4>0</vt:i4>
      </vt:variant>
      <vt:variant>
        <vt:i4>5</vt:i4>
      </vt:variant>
      <vt:variant>
        <vt:lpwstr/>
      </vt:variant>
      <vt:variant>
        <vt:lpwstr>_Toc43321902</vt:lpwstr>
      </vt:variant>
      <vt:variant>
        <vt:i4>1966134</vt:i4>
      </vt:variant>
      <vt:variant>
        <vt:i4>68</vt:i4>
      </vt:variant>
      <vt:variant>
        <vt:i4>0</vt:i4>
      </vt:variant>
      <vt:variant>
        <vt:i4>5</vt:i4>
      </vt:variant>
      <vt:variant>
        <vt:lpwstr/>
      </vt:variant>
      <vt:variant>
        <vt:lpwstr>_Toc43321901</vt:lpwstr>
      </vt:variant>
      <vt:variant>
        <vt:i4>2031670</vt:i4>
      </vt:variant>
      <vt:variant>
        <vt:i4>62</vt:i4>
      </vt:variant>
      <vt:variant>
        <vt:i4>0</vt:i4>
      </vt:variant>
      <vt:variant>
        <vt:i4>5</vt:i4>
      </vt:variant>
      <vt:variant>
        <vt:lpwstr/>
      </vt:variant>
      <vt:variant>
        <vt:lpwstr>_Toc43321900</vt:lpwstr>
      </vt:variant>
      <vt:variant>
        <vt:i4>1507391</vt:i4>
      </vt:variant>
      <vt:variant>
        <vt:i4>56</vt:i4>
      </vt:variant>
      <vt:variant>
        <vt:i4>0</vt:i4>
      </vt:variant>
      <vt:variant>
        <vt:i4>5</vt:i4>
      </vt:variant>
      <vt:variant>
        <vt:lpwstr/>
      </vt:variant>
      <vt:variant>
        <vt:lpwstr>_Toc43321899</vt:lpwstr>
      </vt:variant>
      <vt:variant>
        <vt:i4>1441855</vt:i4>
      </vt:variant>
      <vt:variant>
        <vt:i4>50</vt:i4>
      </vt:variant>
      <vt:variant>
        <vt:i4>0</vt:i4>
      </vt:variant>
      <vt:variant>
        <vt:i4>5</vt:i4>
      </vt:variant>
      <vt:variant>
        <vt:lpwstr/>
      </vt:variant>
      <vt:variant>
        <vt:lpwstr>_Toc43321898</vt:lpwstr>
      </vt:variant>
      <vt:variant>
        <vt:i4>1638463</vt:i4>
      </vt:variant>
      <vt:variant>
        <vt:i4>44</vt:i4>
      </vt:variant>
      <vt:variant>
        <vt:i4>0</vt:i4>
      </vt:variant>
      <vt:variant>
        <vt:i4>5</vt:i4>
      </vt:variant>
      <vt:variant>
        <vt:lpwstr/>
      </vt:variant>
      <vt:variant>
        <vt:lpwstr>_Toc43321897</vt:lpwstr>
      </vt:variant>
      <vt:variant>
        <vt:i4>1572927</vt:i4>
      </vt:variant>
      <vt:variant>
        <vt:i4>38</vt:i4>
      </vt:variant>
      <vt:variant>
        <vt:i4>0</vt:i4>
      </vt:variant>
      <vt:variant>
        <vt:i4>5</vt:i4>
      </vt:variant>
      <vt:variant>
        <vt:lpwstr/>
      </vt:variant>
      <vt:variant>
        <vt:lpwstr>_Toc43321896</vt:lpwstr>
      </vt:variant>
      <vt:variant>
        <vt:i4>1769535</vt:i4>
      </vt:variant>
      <vt:variant>
        <vt:i4>32</vt:i4>
      </vt:variant>
      <vt:variant>
        <vt:i4>0</vt:i4>
      </vt:variant>
      <vt:variant>
        <vt:i4>5</vt:i4>
      </vt:variant>
      <vt:variant>
        <vt:lpwstr/>
      </vt:variant>
      <vt:variant>
        <vt:lpwstr>_Toc43321895</vt:lpwstr>
      </vt:variant>
      <vt:variant>
        <vt:i4>1703999</vt:i4>
      </vt:variant>
      <vt:variant>
        <vt:i4>26</vt:i4>
      </vt:variant>
      <vt:variant>
        <vt:i4>0</vt:i4>
      </vt:variant>
      <vt:variant>
        <vt:i4>5</vt:i4>
      </vt:variant>
      <vt:variant>
        <vt:lpwstr/>
      </vt:variant>
      <vt:variant>
        <vt:lpwstr>_Toc43321894</vt:lpwstr>
      </vt:variant>
      <vt:variant>
        <vt:i4>1900607</vt:i4>
      </vt:variant>
      <vt:variant>
        <vt:i4>20</vt:i4>
      </vt:variant>
      <vt:variant>
        <vt:i4>0</vt:i4>
      </vt:variant>
      <vt:variant>
        <vt:i4>5</vt:i4>
      </vt:variant>
      <vt:variant>
        <vt:lpwstr/>
      </vt:variant>
      <vt:variant>
        <vt:lpwstr>_Toc43321893</vt:lpwstr>
      </vt:variant>
      <vt:variant>
        <vt:i4>1835071</vt:i4>
      </vt:variant>
      <vt:variant>
        <vt:i4>14</vt:i4>
      </vt:variant>
      <vt:variant>
        <vt:i4>0</vt:i4>
      </vt:variant>
      <vt:variant>
        <vt:i4>5</vt:i4>
      </vt:variant>
      <vt:variant>
        <vt:lpwstr/>
      </vt:variant>
      <vt:variant>
        <vt:lpwstr>_Toc43321892</vt:lpwstr>
      </vt:variant>
      <vt:variant>
        <vt:i4>1638462</vt:i4>
      </vt:variant>
      <vt:variant>
        <vt:i4>8</vt:i4>
      </vt:variant>
      <vt:variant>
        <vt:i4>0</vt:i4>
      </vt:variant>
      <vt:variant>
        <vt:i4>5</vt:i4>
      </vt:variant>
      <vt:variant>
        <vt:lpwstr/>
      </vt:variant>
      <vt:variant>
        <vt:lpwstr>_Toc43321887</vt:lpwstr>
      </vt:variant>
      <vt:variant>
        <vt:i4>1572926</vt:i4>
      </vt:variant>
      <vt:variant>
        <vt:i4>2</vt:i4>
      </vt:variant>
      <vt:variant>
        <vt:i4>0</vt:i4>
      </vt:variant>
      <vt:variant>
        <vt:i4>5</vt:i4>
      </vt:variant>
      <vt:variant>
        <vt:lpwstr/>
      </vt:variant>
      <vt:variant>
        <vt:lpwstr>_Toc43321886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Wittrup Olsen</dc:creator>
  <cp:keywords/>
  <dc:description/>
  <cp:lastModifiedBy>Farida Bharmal</cp:lastModifiedBy>
  <cp:revision>29</cp:revision>
  <dcterms:created xsi:type="dcterms:W3CDTF">2020-06-18T17:31:00Z</dcterms:created>
  <dcterms:modified xsi:type="dcterms:W3CDTF">2020-06-29T16:53:00Z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y fmtid="{D5CDD505-2E9C-101B-9397-08002B2CF9AE}" pid="3" name="MSIP_Label_f42aa342-8706-4288-bd11-ebb85995028c_Enabled">
    <vt:lpwstr>true</vt:lpwstr>
  </property>
  <property fmtid="{D5CDD505-2E9C-101B-9397-08002B2CF9AE}" pid="4" name="MSIP_Label_f42aa342-8706-4288-bd11-ebb85995028c_SetDate">
    <vt:lpwstr>2020-06-29T14:39:58Z</vt:lpwstr>
  </property>
  <property fmtid="{D5CDD505-2E9C-101B-9397-08002B2CF9AE}" pid="5" name="MSIP_Label_f42aa342-8706-4288-bd11-ebb85995028c_Method">
    <vt:lpwstr>Standard</vt:lpwstr>
  </property>
  <property fmtid="{D5CDD505-2E9C-101B-9397-08002B2CF9AE}" pid="6" name="MSIP_Label_f42aa342-8706-4288-bd11-ebb85995028c_Name">
    <vt:lpwstr>Internal</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ActionId">
    <vt:lpwstr>c67ad79f-47a0-4e2e-a1b0-791b5b6a6640</vt:lpwstr>
  </property>
  <property fmtid="{D5CDD505-2E9C-101B-9397-08002B2CF9AE}" pid="9" name="MSIP_Label_f42aa342-8706-4288-bd11-ebb85995028c_ContentBits">
    <vt:lpwstr>0</vt:lpwstr>
  </property>
</Properties>
</file>