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B32522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32</w:t>
      </w:r>
      <w:r w:rsidRPr="00A42F3B">
        <w:rPr>
          <w:highlight w:val="red"/>
        </w:rPr>
        <w:t>: TBD.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40223EF9" w:rsidR="0076529F" w:rsidRDefault="0076529F" w:rsidP="00A42F3B">
      <w:r w:rsidRPr="0076529F">
        <w:rPr>
          <w:highlight w:val="red"/>
        </w:rPr>
        <w:t>- symbol: TBD.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SRS_AMQPVALUE_01_233: [</w:t>
      </w:r>
      <w:r w:rsidRPr="00CE064B">
        <w:t>-</w:t>
      </w:r>
      <w:r>
        <w:rPr>
          <w:b/>
        </w:rPr>
        <w:t xml:space="preserve"> </w:t>
      </w:r>
      <w:r>
        <w:t>map: compare map pair count and each key/value pair.</w:t>
      </w:r>
      <w:r>
        <w:rPr>
          <w:b/>
        </w:rPr>
        <w:t>] SRS_AMQPVALUE_01_234: [</w:t>
      </w:r>
      <w:r>
        <w:t>Nesting shall be considered in comparison.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0D1496B" w14:textId="77777777" w:rsidR="00DE7390" w:rsidRDefault="00DE7390" w:rsidP="008A7EA3">
      <w:pPr>
        <w:spacing w:after="0" w:line="240" w:lineRule="auto"/>
      </w:pPr>
      <w:r>
        <w:separator/>
      </w:r>
    </w:p>
  </w:endnote>
  <w:endnote w:type="continuationSeparator" w:id="0">
    <w:p w14:paraId="2EC527A2" w14:textId="77777777" w:rsidR="00DE7390" w:rsidRDefault="00DE739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4E9296F" w14:textId="77777777" w:rsidR="00DE7390" w:rsidRDefault="00DE7390" w:rsidP="008A7EA3">
      <w:pPr>
        <w:spacing w:after="0" w:line="240" w:lineRule="auto"/>
      </w:pPr>
      <w:r>
        <w:separator/>
      </w:r>
    </w:p>
  </w:footnote>
  <w:footnote w:type="continuationSeparator" w:id="0">
    <w:p w14:paraId="1853F348" w14:textId="77777777" w:rsidR="00DE7390" w:rsidRDefault="00DE739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74ACF9-BD7A-4AC1-8432-6C0BF6C698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953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404</cp:revision>
  <dcterms:created xsi:type="dcterms:W3CDTF">2014-09-11T20:00:00Z</dcterms:created>
  <dcterms:modified xsi:type="dcterms:W3CDTF">2015-07-10T07:10:00Z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