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52"/>
        </w:rPr>
        <w:t>Managed (Harness) Agents in azd</w:t>
      </w:r>
    </w:p>
    <w:p>
      <w:r>
        <w:rPr>
          <w:i/>
          <w:color w:val="4A4A4A"/>
          <w:sz w:val="24"/>
        </w:rPr>
        <w:t>Design spec for the `managed` agent kind in the `azd ai agent` extension</w:t>
      </w:r>
    </w:p>
    <w:p>
      <w:r>
        <w:rPr>
          <w:i/>
        </w:rPr>
        <w:t>Status: Implemented (preview)    Owner: azd ai agent team    Audience: azd contributors</w:t>
      </w:r>
    </w:p>
    <w:p/>
    <w:p>
      <w:pPr>
        <w:pStyle w:val="Heading1"/>
        <w:spacing w:before="360"/>
      </w:pPr>
      <w:r>
        <w:t>Overview</w:t>
      </w:r>
    </w:p>
    <w:p>
      <w:r>
        <w:t xml:space="preserve">The Azure AI Foundry agent platform exposes three first-class agent kinds today: </w:t>
      </w:r>
      <w:r>
        <w:rPr>
          <w:rFonts w:ascii="Consolas" w:hAnsi="Consolas"/>
          <w:sz w:val="20"/>
        </w:rPr>
        <w:t>hosted</w:t>
      </w:r>
      <w:r>
        <w:t xml:space="preserve"> (bring-your-own container/code), </w:t>
      </w:r>
      <w:r>
        <w:rPr>
          <w:rFonts w:ascii="Consolas" w:hAnsi="Consolas"/>
          <w:sz w:val="20"/>
        </w:rPr>
        <w:t>workflow</w:t>
      </w:r>
      <w:r>
        <w:t xml:space="preserve"> (multi-step orchestration), and a new </w:t>
      </w:r>
      <w:r>
        <w:rPr>
          <w:rFonts w:ascii="Consolas" w:hAnsi="Consolas"/>
          <w:sz w:val="20"/>
        </w:rPr>
        <w:t>managed</w:t>
      </w:r>
      <w:r>
        <w:t xml:space="preserve"> kind backed by the Prompt Execution Service (PES) Brain+Hand harness. Managed agents are the simplest shape: the customer declares a model deployment and system instructions; the platform provisions the runtime, executes turns, and persists state. There is no container to build, no Dockerfile, and no service code on the customer side.</w:t>
      </w:r>
    </w:p>
    <w:p>
      <w:r>
        <w:t xml:space="preserve">This spec describes how the </w:t>
      </w:r>
      <w:r>
        <w:rPr>
          <w:rFonts w:ascii="Consolas" w:hAnsi="Consolas"/>
          <w:sz w:val="20"/>
        </w:rPr>
        <w:t>azure.ai.agents</w:t>
      </w:r>
      <w:r>
        <w:t xml:space="preserve"> azd extension implements first-class support for managed agents end-to-end: YAML schema, API wire types, ARM-shaped HTTP client, init scaffolding flow, delete dispatch, and local-development affordances against the </w:t>
      </w:r>
      <w:r>
        <w:rPr>
          <w:rFonts w:ascii="Consolas" w:hAnsi="Consolas"/>
          <w:sz w:val="20"/>
        </w:rPr>
        <w:t>managed-harness</w:t>
      </w:r>
      <w:r>
        <w:t xml:space="preserve"> vienna backend.</w:t>
      </w:r>
    </w:p>
    <w:p>
      <w:pPr>
        <w:pStyle w:val="Heading1"/>
        <w:spacing w:before="360"/>
      </w:pPr>
      <w:r>
        <w:t>Goals and Non-Goals</w:t>
      </w:r>
    </w:p>
    <w:p>
      <w:pPr>
        <w:pStyle w:val="Heading3"/>
      </w:pPr>
      <w:r>
        <w:t>Goals</w:t>
      </w:r>
    </w:p>
    <w:p>
      <w:pPr>
        <w:pStyle w:val="ListBullet"/>
      </w:pPr>
      <w:r>
        <w:t xml:space="preserve">Add a </w:t>
      </w:r>
      <w:r>
        <w:rPr>
          <w:rFonts w:ascii="Consolas" w:hAnsi="Consolas"/>
          <w:sz w:val="20"/>
        </w:rPr>
        <w:t>managed</w:t>
      </w:r>
      <w:r>
        <w:t xml:space="preserve"> discriminator to </w:t>
      </w:r>
      <w:r>
        <w:rPr>
          <w:rFonts w:ascii="Consolas" w:hAnsi="Consolas"/>
          <w:sz w:val="20"/>
        </w:rPr>
        <w:t>AgentKind</w:t>
      </w:r>
      <w:r>
        <w:t xml:space="preserve"> and an accompanying </w:t>
      </w:r>
      <w:r>
        <w:rPr>
          <w:rFonts w:ascii="Consolas" w:hAnsi="Consolas"/>
          <w:sz w:val="20"/>
        </w:rPr>
        <w:t>ManagedAgent</w:t>
      </w:r>
      <w:r>
        <w:t xml:space="preserve"> YAML type that can round-trip through the existing parser.</w:t>
      </w:r>
    </w:p>
    <w:p>
      <w:pPr>
        <w:pStyle w:val="ListBullet"/>
      </w:pPr>
      <w:r>
        <w:t>Map the YAML definition to the wire shape (</w:t>
      </w:r>
      <w:r>
        <w:rPr>
          <w:rFonts w:ascii="Consolas" w:hAnsi="Consolas"/>
          <w:sz w:val="20"/>
        </w:rPr>
        <w:t>ManagedAgentDefinition</w:t>
      </w:r>
      <w:r>
        <w:t xml:space="preserve"> + </w:t>
      </w:r>
      <w:r>
        <w:rPr>
          <w:rFonts w:ascii="Consolas" w:hAnsi="Consolas"/>
          <w:sz w:val="20"/>
        </w:rPr>
        <w:t>ManagedEnvironment</w:t>
      </w:r>
      <w:r>
        <w:t xml:space="preserve"> + </w:t>
      </w:r>
      <w:r>
        <w:rPr>
          <w:rFonts w:ascii="Consolas" w:hAnsi="Consolas"/>
          <w:sz w:val="20"/>
        </w:rPr>
        <w:t>ManagedPackages</w:t>
      </w:r>
      <w:r>
        <w:t>) accepted by the v2.0 managed-agents controller.</w:t>
      </w:r>
    </w:p>
    <w:p>
      <w:pPr>
        <w:pStyle w:val="ListBullet"/>
      </w:pPr>
      <w:r>
        <w:t>Add an ARM-rooted HTTP client (</w:t>
      </w:r>
      <w:r>
        <w:rPr>
          <w:rFonts w:ascii="Consolas" w:hAnsi="Consolas"/>
          <w:sz w:val="20"/>
        </w:rPr>
        <w:t>ManagedAgentClient</w:t>
      </w:r>
      <w:r>
        <w:t>) covering the lifecycle (create / get / update / delete / list) and the Responses subtree (create / get / cancel / delete).</w:t>
      </w:r>
    </w:p>
    <w:p>
      <w:pPr>
        <w:pStyle w:val="ListBullet"/>
      </w:pPr>
      <w:r>
        <w:t xml:space="preserve">Wire the init flow to ask which agent kind to create as the very first interactive step, and add a </w:t>
      </w:r>
      <w:r>
        <w:rPr>
          <w:rFonts w:ascii="Consolas" w:hAnsi="Consolas"/>
          <w:sz w:val="20"/>
        </w:rPr>
        <w:t>runInitManaged</w:t>
      </w:r>
      <w:r>
        <w:t xml:space="preserve"> path that scaffolds the minimum surface (agent.yaml + azure.yaml service entry) with no Docker, no Language, no src/.</w:t>
      </w:r>
    </w:p>
    <w:p>
      <w:pPr>
        <w:pStyle w:val="ListBullet"/>
      </w:pPr>
      <w:r>
        <w:t xml:space="preserve">Wire the delete flow to detect managed agents via the YAML discriminator and route deletion through </w:t>
      </w:r>
      <w:r>
        <w:rPr>
          <w:rFonts w:ascii="Consolas" w:hAnsi="Consolas"/>
          <w:sz w:val="20"/>
        </w:rPr>
        <w:t>ManagedAgentClient.DeleteAgent</w:t>
      </w:r>
      <w:r>
        <w:t xml:space="preserve"> rather than the hosted path.</w:t>
      </w:r>
    </w:p>
    <w:p>
      <w:pPr>
        <w:pStyle w:val="ListBullet"/>
      </w:pPr>
      <w:r>
        <w:t xml:space="preserve">Allow developer machines to target a local </w:t>
      </w:r>
      <w:r>
        <w:rPr>
          <w:rFonts w:ascii="Consolas" w:hAnsi="Consolas"/>
          <w:sz w:val="20"/>
        </w:rPr>
        <w:t>managed-harness</w:t>
      </w:r>
      <w:r>
        <w:t xml:space="preserve"> backend without an Azure login (env-var override + credential-skip for localhost).</w:t>
      </w:r>
    </w:p>
    <w:p>
      <w:pPr>
        <w:pStyle w:val="ListBullet"/>
      </w:pPr>
      <w:r>
        <w:t xml:space="preserve">Keep all existing hosted-agent code paths byte-identical when </w:t>
      </w:r>
      <w:r>
        <w:rPr>
          <w:rFonts w:ascii="Consolas" w:hAnsi="Consolas"/>
          <w:sz w:val="20"/>
        </w:rPr>
        <w:t>kind</w:t>
      </w:r>
      <w:r>
        <w:t xml:space="preserve"> is not </w:t>
      </w:r>
      <w:r>
        <w:rPr>
          <w:rFonts w:ascii="Consolas" w:hAnsi="Consolas"/>
          <w:sz w:val="20"/>
        </w:rPr>
        <w:t>managed</w:t>
      </w:r>
      <w:r>
        <w:t>.</w:t>
      </w:r>
    </w:p>
    <w:p>
      <w:pPr>
        <w:pStyle w:val="Heading3"/>
      </w:pPr>
      <w:r>
        <w:t>Non-Goals (this milestone)</w:t>
      </w:r>
    </w:p>
    <w:p>
      <w:pPr>
        <w:pStyle w:val="ListBullet"/>
      </w:pPr>
      <w:r/>
      <w:r>
        <w:rPr>
          <w:rFonts w:ascii="Consolas" w:hAnsi="Consolas"/>
          <w:sz w:val="20"/>
        </w:rPr>
        <w:t>azd ai agent show</w:t>
      </w:r>
      <w:r>
        <w:t xml:space="preserve"> / </w:t>
      </w:r>
      <w:r>
        <w:rPr>
          <w:rFonts w:ascii="Consolas" w:hAnsi="Consolas"/>
          <w:sz w:val="20"/>
        </w:rPr>
        <w:t>list</w:t>
      </w:r>
      <w:r>
        <w:t xml:space="preserve"> / </w:t>
      </w:r>
      <w:r>
        <w:rPr>
          <w:rFonts w:ascii="Consolas" w:hAnsi="Consolas"/>
          <w:sz w:val="20"/>
        </w:rPr>
        <w:t>invoke</w:t>
      </w:r>
      <w:r>
        <w:t xml:space="preserve"> wiring for managed agents (designed but deferred — see Open Questions).</w:t>
      </w:r>
    </w:p>
    <w:p>
      <w:pPr>
        <w:pStyle w:val="ListBullet"/>
      </w:pPr>
      <w:r>
        <w:t xml:space="preserve">Hosted versioning semantics for managed agents — the backend does not expose a per-version delete on the v2.0 surface, so </w:t>
      </w:r>
      <w:r>
        <w:rPr>
          <w:rFonts w:ascii="Consolas" w:hAnsi="Consolas"/>
          <w:sz w:val="20"/>
        </w:rPr>
        <w:t>--version</w:t>
      </w:r>
      <w:r>
        <w:t xml:space="preserve"> is rejected with a typed validation error.</w:t>
      </w:r>
    </w:p>
    <w:p>
      <w:pPr>
        <w:pStyle w:val="ListBullet"/>
      </w:pPr>
      <w:r>
        <w:t xml:space="preserve">Surfacing every advanced </w:t>
      </w:r>
      <w:r>
        <w:rPr>
          <w:rFonts w:ascii="Consolas" w:hAnsi="Consolas"/>
          <w:sz w:val="20"/>
        </w:rPr>
        <w:t>ManagedAgentDefinition</w:t>
      </w:r>
      <w:r>
        <w:t xml:space="preserve"> field (</w:t>
      </w:r>
      <w:r>
        <w:rPr>
          <w:rFonts w:ascii="Consolas" w:hAnsi="Consolas"/>
          <w:sz w:val="20"/>
        </w:rPr>
        <w:t>structured_inputs</w:t>
      </w:r>
      <w:r>
        <w:t xml:space="preserve">, </w:t>
      </w:r>
      <w:r>
        <w:rPr>
          <w:rFonts w:ascii="Consolas" w:hAnsi="Consolas"/>
          <w:sz w:val="20"/>
        </w:rPr>
        <w:t>files</w:t>
      </w:r>
      <w:r>
        <w:t xml:space="preserve">, full </w:t>
      </w:r>
      <w:r>
        <w:rPr>
          <w:rFonts w:ascii="Consolas" w:hAnsi="Consolas"/>
          <w:sz w:val="20"/>
        </w:rPr>
        <w:t>environment</w:t>
      </w:r>
      <w:r>
        <w:t xml:space="preserve"> block) through YAML — only </w:t>
      </w:r>
      <w:r>
        <w:rPr>
          <w:rFonts w:ascii="Consolas" w:hAnsi="Consolas"/>
          <w:sz w:val="20"/>
        </w:rPr>
        <w:t>model</w:t>
      </w:r>
      <w:r>
        <w:t xml:space="preserve">, </w:t>
      </w:r>
      <w:r>
        <w:rPr>
          <w:rFonts w:ascii="Consolas" w:hAnsi="Consolas"/>
          <w:sz w:val="20"/>
        </w:rPr>
        <w:t>instructions</w:t>
      </w:r>
      <w:r>
        <w:t xml:space="preserve">, </w:t>
      </w:r>
      <w:r>
        <w:rPr>
          <w:rFonts w:ascii="Consolas" w:hAnsi="Consolas"/>
          <w:sz w:val="20"/>
        </w:rPr>
        <w:t>skills</w:t>
      </w:r>
      <w:r>
        <w:t xml:space="preserve">, and </w:t>
      </w:r>
      <w:r>
        <w:rPr>
          <w:rFonts w:ascii="Consolas" w:hAnsi="Consolas"/>
          <w:sz w:val="20"/>
        </w:rPr>
        <w:t>policies</w:t>
      </w:r>
      <w:r>
        <w:t xml:space="preserve"> are exposed today.</w:t>
      </w:r>
    </w:p>
    <w:p>
      <w:pPr>
        <w:pStyle w:val="ListBullet"/>
      </w:pPr>
      <w:r>
        <w:t xml:space="preserve">Automatic ARM workspace discovery from a Foundry project endpoint — callers must set </w:t>
      </w:r>
      <w:r>
        <w:rPr>
          <w:rFonts w:ascii="Consolas" w:hAnsi="Consolas"/>
          <w:sz w:val="20"/>
        </w:rPr>
        <w:t>AZD_MANAGED_AGENT_SUBSCRIPTION_ID</w:t>
      </w:r>
      <w:r>
        <w:t xml:space="preserve"> / </w:t>
      </w:r>
      <w:r>
        <w:rPr>
          <w:rFonts w:ascii="Consolas" w:hAnsi="Consolas"/>
          <w:sz w:val="20"/>
        </w:rPr>
        <w:t>_RESOURCE_GROUP</w:t>
      </w:r>
      <w:r>
        <w:t xml:space="preserve"> / </w:t>
      </w:r>
      <w:r>
        <w:rPr>
          <w:rFonts w:ascii="Consolas" w:hAnsi="Consolas"/>
          <w:sz w:val="20"/>
        </w:rPr>
        <w:t>_WORKSPACE</w:t>
      </w:r>
      <w:r>
        <w:t xml:space="preserve"> explicitly.</w:t>
      </w:r>
    </w:p>
    <w:p>
      <w:pPr>
        <w:pStyle w:val="ListBullet"/>
      </w:pPr>
      <w:r>
        <w:t xml:space="preserve">Schema publication — the </w:t>
      </w:r>
      <w:r>
        <w:rPr>
          <w:rFonts w:ascii="Consolas" w:hAnsi="Consolas"/>
          <w:sz w:val="20"/>
        </w:rPr>
        <w:t>agent.yaml</w:t>
      </w:r>
      <w:r>
        <w:t xml:space="preserve"> schema annotation points at </w:t>
      </w:r>
      <w:r>
        <w:rPr>
          <w:rFonts w:ascii="Consolas" w:hAnsi="Consolas"/>
          <w:sz w:val="20"/>
        </w:rPr>
        <w:t>microsoft/AgentSchema</w:t>
      </w:r>
      <w:r>
        <w:t xml:space="preserve"> and assumes that repo will pick up a </w:t>
      </w:r>
      <w:r>
        <w:rPr>
          <w:rFonts w:ascii="Consolas" w:hAnsi="Consolas"/>
          <w:sz w:val="20"/>
        </w:rPr>
        <w:t>ManagedAgent.yaml</w:t>
      </w:r>
      <w:r>
        <w:t xml:space="preserve"> sibling alongside the existing kinds.</w:t>
      </w:r>
    </w:p>
    <w:p>
      <w:pPr>
        <w:pStyle w:val="Heading1"/>
        <w:spacing w:before="360"/>
      </w:pPr>
      <w:r>
        <w:t>User Stories</w:t>
      </w:r>
    </w:p>
    <w:p>
      <w:pPr>
        <w:pStyle w:val="ListBullet"/>
      </w:pPr>
      <w:r>
        <w:t xml:space="preserve">As a developer I run </w:t>
      </w:r>
      <w:r>
        <w:rPr>
          <w:rFonts w:ascii="Consolas" w:hAnsi="Consolas"/>
          <w:sz w:val="20"/>
        </w:rPr>
        <w:t>azd ai agent init</w:t>
      </w:r>
      <w:r>
        <w:t xml:space="preserve"> in an empty folder, choose “Managed agent”, answer three prompts (name / model / instructions), and end up with an </w:t>
      </w:r>
      <w:r>
        <w:rPr>
          <w:rFonts w:ascii="Consolas" w:hAnsi="Consolas"/>
          <w:sz w:val="20"/>
        </w:rPr>
        <w:t>agent.yaml</w:t>
      </w:r>
      <w:r>
        <w:t xml:space="preserve"> and an </w:t>
      </w:r>
      <w:r>
        <w:rPr>
          <w:rFonts w:ascii="Consolas" w:hAnsi="Consolas"/>
          <w:sz w:val="20"/>
        </w:rPr>
        <w:t>azure.yaml</w:t>
      </w:r>
      <w:r>
        <w:t xml:space="preserve"> service entry ready for </w:t>
      </w:r>
      <w:r>
        <w:rPr>
          <w:rFonts w:ascii="Consolas" w:hAnsi="Consolas"/>
          <w:sz w:val="20"/>
        </w:rPr>
        <w:t>azd deploy</w:t>
      </w:r>
      <w:r>
        <w:t>.</w:t>
      </w:r>
    </w:p>
    <w:p>
      <w:pPr>
        <w:pStyle w:val="ListBullet"/>
      </w:pPr>
      <w:r>
        <w:t xml:space="preserve">As a developer I set </w:t>
      </w:r>
      <w:r>
        <w:rPr>
          <w:rFonts w:ascii="Consolas" w:hAnsi="Consolas"/>
          <w:sz w:val="20"/>
        </w:rPr>
        <w:t>FOUNDRY_PROJECT_ENDPOINT</w:t>
      </w:r>
      <w:r>
        <w:t xml:space="preserve"> in my azd environment, run </w:t>
      </w:r>
      <w:r>
        <w:rPr>
          <w:rFonts w:ascii="Consolas" w:hAnsi="Consolas"/>
          <w:sz w:val="20"/>
        </w:rPr>
        <w:t>azd deploy</w:t>
      </w:r>
      <w:r>
        <w:t>, and the managed agent is created on Foundry without azd building any container or pushing any code.</w:t>
      </w:r>
    </w:p>
    <w:p>
      <w:pPr>
        <w:pStyle w:val="ListBullet"/>
      </w:pPr>
      <w:r>
        <w:t xml:space="preserve">As a developer I run </w:t>
      </w:r>
      <w:r>
        <w:rPr>
          <w:rFonts w:ascii="Consolas" w:hAnsi="Consolas"/>
          <w:sz w:val="20"/>
        </w:rPr>
        <w:t>azd ai agent delete --service &lt;name&gt;</w:t>
      </w:r>
      <w:r>
        <w:t xml:space="preserve"> and the extension detects </w:t>
      </w:r>
      <w:r>
        <w:rPr>
          <w:rFonts w:ascii="Consolas" w:hAnsi="Consolas"/>
          <w:sz w:val="20"/>
        </w:rPr>
        <w:t>kind: managed</w:t>
      </w:r>
      <w:r>
        <w:t xml:space="preserve"> in the service's </w:t>
      </w:r>
      <w:r>
        <w:rPr>
          <w:rFonts w:ascii="Consolas" w:hAnsi="Consolas"/>
          <w:sz w:val="20"/>
        </w:rPr>
        <w:t>agent.yaml</w:t>
      </w:r>
      <w:r>
        <w:t xml:space="preserve"> and deletes via the managed lifecycle endpoint instead of the hosted one.</w:t>
      </w:r>
    </w:p>
    <w:p>
      <w:pPr>
        <w:pStyle w:val="ListBullet"/>
      </w:pPr>
      <w:r>
        <w:t xml:space="preserve">As a Foundry platform contributor I run a local </w:t>
      </w:r>
      <w:r>
        <w:rPr>
          <w:rFonts w:ascii="Consolas" w:hAnsi="Consolas"/>
          <w:sz w:val="20"/>
        </w:rPr>
        <w:t>managed-harness</w:t>
      </w:r>
      <w:r>
        <w:t xml:space="preserve"> vienna backend on </w:t>
      </w:r>
      <w:r>
        <w:rPr>
          <w:rFonts w:ascii="Consolas" w:hAnsi="Consolas"/>
          <w:sz w:val="20"/>
        </w:rPr>
        <w:t>http://localhost:5000</w:t>
      </w:r>
      <w:r>
        <w:t xml:space="preserve">, set </w:t>
      </w:r>
      <w:r>
        <w:rPr>
          <w:rFonts w:ascii="Consolas" w:hAnsi="Consolas"/>
          <w:sz w:val="20"/>
        </w:rPr>
        <w:t>AZD_FOUNDRY_ENDPOINT_OVERRIDE=1</w:t>
      </w:r>
      <w:r>
        <w:t xml:space="preserve"> and </w:t>
      </w:r>
      <w:r>
        <w:rPr>
          <w:rFonts w:ascii="Consolas" w:hAnsi="Consolas"/>
          <w:sz w:val="20"/>
        </w:rPr>
        <w:t>AZD_MANAGED_AGENT_BASE_URL=http://localhost:5000</w:t>
      </w:r>
      <w:r>
        <w:t>, and exercise the full azd-managed-agent surface against my dev box without an Azure login.</w:t>
      </w:r>
    </w:p>
    <w:p>
      <w:pPr>
        <w:pStyle w:val="Heading1"/>
        <w:spacing w:before="360"/>
      </w:pPr>
      <w:r>
        <w:t>Architecture</w:t>
      </w:r>
    </w:p>
    <w:p>
      <w:r>
        <w:t xml:space="preserve">Managed support is layered onto the existing extension along the same seams as the other agent kinds. The discriminator is </w:t>
      </w:r>
      <w:r>
        <w:rPr>
          <w:rFonts w:ascii="Consolas" w:hAnsi="Consolas"/>
          <w:sz w:val="20"/>
        </w:rPr>
        <w:t>agent.yaml → kind</w:t>
      </w:r>
      <w:r>
        <w:t>; everything downstream switches on that value.</w:t>
      </w:r>
    </w:p>
    <w:p>
      <w:pPr>
        <w:pStyle w:val="CodeBlock"/>
        <w:shd w:val="clear" w:color="auto" w:fill="F2F2F2"/>
      </w:pPr>
      <w:r>
        <w:t>azure.ai.agents extension</w:t>
        <w:br/>
        <w:t>├─ internal/pkg/agents/agent_yaml/</w:t>
        <w:br/>
        <w:t>│    ├─ yaml.go              ← ManagedAgent struct + AgentKindManaged constant</w:t>
        <w:br/>
        <w:t>│    ├─ parse.go             ← switch on kind → unmarshal to ManagedAgent</w:t>
        <w:br/>
        <w:t>│    ├─ map.go               ← CreateManagedAgentAPIRequest(...) → wire type</w:t>
        <w:br/>
        <w:t>│    └─ managed_test.go      ← round-trip / validate / dispatcher coverage</w:t>
        <w:br/>
        <w:t>│</w:t>
        <w:br/>
        <w:t>├─ internal/pkg/agents/agent_api/</w:t>
        <w:br/>
        <w:t>│    ├─ models.go            ← ManagedAgentDefinition / ManagedEnvironment / ManagedPackages</w:t>
        <w:br/>
        <w:t>│    ├─ managed_operations.go← ManagedAgentClient (lifecycle + responses) + BuildWorkspaceRoutePrefix</w:t>
        <w:br/>
        <w:t>│    └─ managed_operations_test.go</w:t>
        <w:br/>
        <w:t>│</w:t>
        <w:br/>
        <w:t>└─ internal/cmd/</w:t>
        <w:br/>
        <w:t xml:space="preserve">     ├─ init.go                 ← prompts kind first; routes to runInitManaged when "managed"</w:t>
        <w:br/>
        <w:t xml:space="preserve">     ├─ init_from_templates_helpers.go ← promptAgentKind() Select</w:t>
        <w:br/>
        <w:t xml:space="preserve">     ├─ init_managed.go         ← scaffolds agent.yaml + adds azure.yaml service entry (no Docker, no src/)</w:t>
        <w:br/>
        <w:t xml:space="preserve">     ├─ managed_dispatch.go     ← isManagedAgentYAML / newManagedAgentClientFromEnv / localhost detection</w:t>
        <w:br/>
        <w:t xml:space="preserve">     ├─ delete.go               ← detects kind → runManagedDelete via ManagedAgentClient</w:t>
        <w:br/>
        <w:t xml:space="preserve">     └─ project_endpoint.go     ← AZD_FOUNDRY_ENDPOINT_OVERRIDE bypass for local http:// targets</w:t>
      </w:r>
    </w:p>
    <w:p>
      <w:r>
        <w:t xml:space="preserve">The split between </w:t>
      </w:r>
      <w:r>
        <w:rPr>
          <w:rFonts w:ascii="Consolas" w:hAnsi="Consolas"/>
          <w:sz w:val="20"/>
        </w:rPr>
        <w:t>agent_yaml</w:t>
      </w:r>
      <w:r>
        <w:t xml:space="preserve"> and </w:t>
      </w:r>
      <w:r>
        <w:rPr>
          <w:rFonts w:ascii="Consolas" w:hAnsi="Consolas"/>
          <w:sz w:val="20"/>
        </w:rPr>
        <w:t>agent_api</w:t>
      </w:r>
      <w:r>
        <w:t xml:space="preserve"> mirrors the hosted/workflow kinds: </w:t>
      </w:r>
      <w:r>
        <w:rPr>
          <w:rFonts w:ascii="Consolas" w:hAnsi="Consolas"/>
          <w:sz w:val="20"/>
        </w:rPr>
        <w:t>agent_yaml</w:t>
      </w:r>
      <w:r>
        <w:t xml:space="preserve"> is the customer-authored shape, </w:t>
      </w:r>
      <w:r>
        <w:rPr>
          <w:rFonts w:ascii="Consolas" w:hAnsi="Consolas"/>
          <w:sz w:val="20"/>
        </w:rPr>
        <w:t>agent_api</w:t>
      </w:r>
      <w:r>
        <w:t xml:space="preserve"> is the wire shape sent to Foundry. </w:t>
      </w:r>
      <w:r>
        <w:rPr>
          <w:rFonts w:ascii="Consolas" w:hAnsi="Consolas"/>
          <w:sz w:val="20"/>
        </w:rPr>
        <w:t>agent_yaml/map.go</w:t>
      </w:r>
      <w:r>
        <w:t xml:space="preserve"> is the only crossover.</w:t>
      </w:r>
    </w:p>
    <w:p>
      <w:pPr>
        <w:pStyle w:val="Heading1"/>
        <w:spacing w:before="360"/>
      </w:pPr>
      <w:r>
        <w:t>YAML Schema</w:t>
      </w:r>
    </w:p>
    <w:p>
      <w:r>
        <w:t xml:space="preserve">A managed </w:t>
      </w:r>
      <w:r>
        <w:rPr>
          <w:rFonts w:ascii="Consolas" w:hAnsi="Consolas"/>
          <w:sz w:val="20"/>
        </w:rPr>
        <w:t>agent.yaml</w:t>
      </w:r>
      <w:r>
        <w:t xml:space="preserve"> is small by design — the platform owns the runtime, so the customer-authored shape is just </w:t>
      </w:r>
      <w:r>
        <w:rPr>
          <w:rFonts w:ascii="Consolas" w:hAnsi="Consolas"/>
          <w:sz w:val="20"/>
        </w:rPr>
        <w:t>kind</w:t>
      </w:r>
      <w:r>
        <w:t xml:space="preserve">, </w:t>
      </w:r>
      <w:r>
        <w:rPr>
          <w:rFonts w:ascii="Consolas" w:hAnsi="Consolas"/>
          <w:sz w:val="20"/>
        </w:rPr>
        <w:t>name</w:t>
      </w:r>
      <w:r>
        <w:t xml:space="preserve">, </w:t>
      </w:r>
      <w:r>
        <w:rPr>
          <w:rFonts w:ascii="Consolas" w:hAnsi="Consolas"/>
          <w:sz w:val="20"/>
        </w:rPr>
        <w:t>model</w:t>
      </w:r>
      <w:r>
        <w:t xml:space="preserve">, </w:t>
      </w:r>
      <w:r>
        <w:rPr>
          <w:rFonts w:ascii="Consolas" w:hAnsi="Consolas"/>
          <w:sz w:val="20"/>
        </w:rPr>
        <w:t>instructions</w:t>
      </w:r>
      <w:r>
        <w:t xml:space="preserve">, optional </w:t>
      </w:r>
      <w:r>
        <w:rPr>
          <w:rFonts w:ascii="Consolas" w:hAnsi="Consolas"/>
          <w:sz w:val="20"/>
        </w:rPr>
        <w:t>skills</w:t>
      </w:r>
      <w:r>
        <w:t xml:space="preserve">, and optional </w:t>
      </w:r>
      <w:r>
        <w:rPr>
          <w:rFonts w:ascii="Consolas" w:hAnsi="Consolas"/>
          <w:sz w:val="20"/>
        </w:rPr>
        <w:t>policies</w:t>
      </w:r>
      <w:r>
        <w:t>.</w:t>
      </w:r>
    </w:p>
    <w:p>
      <w:pPr>
        <w:pStyle w:val="Heading3"/>
      </w:pPr>
      <w:r>
        <w:t>Minimum example</w:t>
      </w:r>
    </w:p>
    <w:p>
      <w:pPr>
        <w:pStyle w:val="CodeBlock"/>
        <w:shd w:val="clear" w:color="auto" w:fill="F2F2F2"/>
      </w:pPr>
      <w:r>
        <w:t># yaml-language-server: $schema=https://raw.githubusercontent.com/microsoft/AgentSchema/refs/heads/main/schemas/v1.0/ManagedAgent.yaml</w:t>
        <w:br/>
        <w:br/>
        <w:t>kind: managed</w:t>
        <w:br/>
        <w:t>name: customer-support-bot</w:t>
        <w:br/>
        <w:t>model: gpt-4.1-mini</w:t>
        <w:br/>
        <w:t>instructions: |</w:t>
        <w:br/>
        <w:t xml:space="preserve">  You are a helpful customer-support agent.</w:t>
        <w:br/>
        <w:t xml:space="preserve">  Always reply in the user's language and cite a knowledge-base</w:t>
        <w:br/>
        <w:t xml:space="preserve">  article when you give a factual answer.</w:t>
      </w:r>
    </w:p>
    <w:p>
      <w:pPr>
        <w:pStyle w:val="Heading3"/>
      </w:pPr>
      <w:r>
        <w:t>Full example (skills + RAI policy)</w:t>
      </w:r>
    </w:p>
    <w:p>
      <w:pPr>
        <w:pStyle w:val="CodeBlock"/>
        <w:shd w:val="clear" w:color="auto" w:fill="F2F2F2"/>
      </w:pPr>
      <w:r>
        <w:t># yaml-language-server: $schema=https://raw.githubusercontent.com/microsoft/AgentSchema/refs/heads/main/schemas/v1.0/ManagedAgent.yaml</w:t>
        <w:br/>
        <w:br/>
        <w:t>kind: managed</w:t>
        <w:br/>
        <w:t>name: research-assistant</w:t>
        <w:br/>
        <w:t>displayName: Research Assistant</w:t>
        <w:br/>
        <w:t>description: Summarizes long-form web content with citations.</w:t>
        <w:br/>
        <w:t>model: gpt-4.1-mini</w:t>
        <w:br/>
        <w:t>instructions: |</w:t>
        <w:br/>
        <w:t xml:space="preserve">  You are a research assistant. Cite every source you use.</w:t>
        <w:br/>
        <w:t>skills:</w:t>
        <w:br/>
        <w:t xml:space="preserve">  - foundry.tools.web_search</w:t>
        <w:br/>
        <w:t xml:space="preserve">  - foundry.tools.code_interpreter</w:t>
        <w:br/>
        <w:t>policies:</w:t>
        <w:br/>
        <w:t xml:space="preserve">  - type: rai_policy</w:t>
        <w:br/>
        <w:t xml:space="preserve">    rai_policy_name: /subscriptions/&lt;sub&gt;/resourceGroups/&lt;rg&gt;/providers/Microsoft.CognitiveServices/accounts/&lt;acct&gt;/raiPolicies/&lt;policy&gt;</w:t>
      </w:r>
    </w:p>
    <w:p>
      <w:pPr>
        <w:pStyle w:val="Heading3"/>
      </w:pPr>
      <w:r>
        <w:t>Field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Field</w:t>
            </w:r>
          </w:p>
        </w:tc>
        <w:tc>
          <w:tcPr>
            <w:tcW w:type="dxa" w:w="2160"/>
          </w:tcPr>
          <w:p>
            <w:r/>
            <w:r>
              <w:rPr>
                <w:b/>
              </w:rPr>
              <w:t>Required</w:t>
            </w:r>
          </w:p>
        </w:tc>
        <w:tc>
          <w:tcPr>
            <w:tcW w:type="dxa" w:w="2160"/>
          </w:tcPr>
          <w:p>
            <w:r/>
            <w:r>
              <w:rPr>
                <w:b/>
              </w:rPr>
              <w:t>Type</w:t>
            </w:r>
          </w:p>
        </w:tc>
        <w:tc>
          <w:tcPr>
            <w:tcW w:type="dxa" w:w="2160"/>
          </w:tcPr>
          <w:p>
            <w:r/>
            <w:r>
              <w:rPr>
                <w:b/>
              </w:rPr>
              <w:t>Notes</w:t>
            </w:r>
          </w:p>
        </w:tc>
      </w:tr>
      <w:tr>
        <w:tc>
          <w:tcPr>
            <w:tcW w:type="dxa" w:w="2160"/>
            <w:vAlign w:val="top"/>
          </w:tcPr>
          <w:p>
            <w:r/>
            <w:r/>
            <w:r>
              <w:rPr>
                <w:rFonts w:ascii="Consolas" w:hAnsi="Consolas"/>
                <w:sz w:val="20"/>
              </w:rPr>
              <w:t>kind</w:t>
            </w:r>
          </w:p>
        </w:tc>
        <w:tc>
          <w:tcPr>
            <w:tcW w:type="dxa" w:w="2160"/>
            <w:vAlign w:val="top"/>
          </w:tcPr>
          <w:p>
            <w:r/>
            <w:r>
              <w:t>yes</w:t>
            </w:r>
          </w:p>
        </w:tc>
        <w:tc>
          <w:tcPr>
            <w:tcW w:type="dxa" w:w="2160"/>
            <w:vAlign w:val="top"/>
          </w:tcPr>
          <w:p>
            <w:r/>
            <w:r>
              <w:t>string</w:t>
            </w:r>
          </w:p>
        </w:tc>
        <w:tc>
          <w:tcPr>
            <w:tcW w:type="dxa" w:w="2160"/>
            <w:vAlign w:val="top"/>
          </w:tcPr>
          <w:p>
            <w:r/>
            <w:r>
              <w:t xml:space="preserve">Must be the literal </w:t>
            </w:r>
            <w:r>
              <w:rPr>
                <w:rFonts w:ascii="Consolas" w:hAnsi="Consolas"/>
                <w:sz w:val="20"/>
              </w:rPr>
              <w:t>managed</w:t>
            </w:r>
            <w:r>
              <w:t>.</w:t>
            </w:r>
          </w:p>
        </w:tc>
      </w:tr>
      <w:tr>
        <w:tc>
          <w:tcPr>
            <w:tcW w:type="dxa" w:w="2160"/>
            <w:vAlign w:val="top"/>
          </w:tcPr>
          <w:p>
            <w:r/>
            <w:r/>
            <w:r>
              <w:rPr>
                <w:rFonts w:ascii="Consolas" w:hAnsi="Consolas"/>
                <w:sz w:val="20"/>
              </w:rPr>
              <w:t>name</w:t>
            </w:r>
          </w:p>
        </w:tc>
        <w:tc>
          <w:tcPr>
            <w:tcW w:type="dxa" w:w="2160"/>
            <w:vAlign w:val="top"/>
          </w:tcPr>
          <w:p>
            <w:r/>
            <w:r>
              <w:t>yes</w:t>
            </w:r>
          </w:p>
        </w:tc>
        <w:tc>
          <w:tcPr>
            <w:tcW w:type="dxa" w:w="2160"/>
            <w:vAlign w:val="top"/>
          </w:tcPr>
          <w:p>
            <w:r/>
            <w:r>
              <w:t>string</w:t>
            </w:r>
          </w:p>
        </w:tc>
        <w:tc>
          <w:tcPr>
            <w:tcW w:type="dxa" w:w="2160"/>
            <w:vAlign w:val="top"/>
          </w:tcPr>
          <w:p>
            <w:r/>
            <w:r>
              <w:t>Foundry agent identity. Also used as the folder name when scaffolding into a non-empty cwd.</w:t>
            </w:r>
          </w:p>
        </w:tc>
      </w:tr>
      <w:tr>
        <w:tc>
          <w:tcPr>
            <w:tcW w:type="dxa" w:w="2160"/>
            <w:vAlign w:val="top"/>
          </w:tcPr>
          <w:p>
            <w:r/>
            <w:r/>
            <w:r>
              <w:rPr>
                <w:rFonts w:ascii="Consolas" w:hAnsi="Consolas"/>
                <w:sz w:val="20"/>
              </w:rPr>
              <w:t>displayName</w:t>
            </w:r>
          </w:p>
        </w:tc>
        <w:tc>
          <w:tcPr>
            <w:tcW w:type="dxa" w:w="2160"/>
            <w:vAlign w:val="top"/>
          </w:tcPr>
          <w:p>
            <w:r/>
            <w:r>
              <w:t>no</w:t>
            </w:r>
          </w:p>
        </w:tc>
        <w:tc>
          <w:tcPr>
            <w:tcW w:type="dxa" w:w="2160"/>
            <w:vAlign w:val="top"/>
          </w:tcPr>
          <w:p>
            <w:r/>
            <w:r>
              <w:t>string</w:t>
            </w:r>
          </w:p>
        </w:tc>
        <w:tc>
          <w:tcPr>
            <w:tcW w:type="dxa" w:w="2160"/>
            <w:vAlign w:val="top"/>
          </w:tcPr>
          <w:p>
            <w:r/>
            <w:r>
              <w:t>Optional human-readable label.</w:t>
            </w:r>
          </w:p>
        </w:tc>
      </w:tr>
      <w:tr>
        <w:tc>
          <w:tcPr>
            <w:tcW w:type="dxa" w:w="2160"/>
            <w:vAlign w:val="top"/>
          </w:tcPr>
          <w:p>
            <w:r/>
            <w:r/>
            <w:r>
              <w:rPr>
                <w:rFonts w:ascii="Consolas" w:hAnsi="Consolas"/>
                <w:sz w:val="20"/>
              </w:rPr>
              <w:t>description</w:t>
            </w:r>
          </w:p>
        </w:tc>
        <w:tc>
          <w:tcPr>
            <w:tcW w:type="dxa" w:w="2160"/>
            <w:vAlign w:val="top"/>
          </w:tcPr>
          <w:p>
            <w:r/>
            <w:r>
              <w:t>no</w:t>
            </w:r>
          </w:p>
        </w:tc>
        <w:tc>
          <w:tcPr>
            <w:tcW w:type="dxa" w:w="2160"/>
            <w:vAlign w:val="top"/>
          </w:tcPr>
          <w:p>
            <w:r/>
            <w:r>
              <w:t>string</w:t>
            </w:r>
          </w:p>
        </w:tc>
        <w:tc>
          <w:tcPr>
            <w:tcW w:type="dxa" w:w="2160"/>
            <w:vAlign w:val="top"/>
          </w:tcPr>
          <w:p>
            <w:r/>
            <w:r>
              <w:t>Optional description.</w:t>
            </w:r>
          </w:p>
        </w:tc>
      </w:tr>
      <w:tr>
        <w:tc>
          <w:tcPr>
            <w:tcW w:type="dxa" w:w="2160"/>
            <w:vAlign w:val="top"/>
          </w:tcPr>
          <w:p>
            <w:r/>
            <w:r/>
            <w:r>
              <w:rPr>
                <w:rFonts w:ascii="Consolas" w:hAnsi="Consolas"/>
                <w:sz w:val="20"/>
              </w:rPr>
              <w:t>metadata</w:t>
            </w:r>
          </w:p>
        </w:tc>
        <w:tc>
          <w:tcPr>
            <w:tcW w:type="dxa" w:w="2160"/>
            <w:vAlign w:val="top"/>
          </w:tcPr>
          <w:p>
            <w:r/>
            <w:r>
              <w:t>no</w:t>
            </w:r>
          </w:p>
        </w:tc>
        <w:tc>
          <w:tcPr>
            <w:tcW w:type="dxa" w:w="2160"/>
            <w:vAlign w:val="top"/>
          </w:tcPr>
          <w:p>
            <w:r/>
            <w:r>
              <w:t>map</w:t>
            </w:r>
          </w:p>
        </w:tc>
        <w:tc>
          <w:tcPr>
            <w:tcW w:type="dxa" w:w="2160"/>
            <w:vAlign w:val="top"/>
          </w:tcPr>
          <w:p>
            <w:r/>
            <w:r>
              <w:t xml:space="preserve">Free-form key/value tags. </w:t>
            </w:r>
            <w:r>
              <w:rPr>
                <w:rFonts w:ascii="Consolas" w:hAnsi="Consolas"/>
                <w:sz w:val="20"/>
              </w:rPr>
              <w:t>authors</w:t>
            </w:r>
            <w:r>
              <w:t xml:space="preserve"> is special-cased into a comma-separated string by the mapper.</w:t>
            </w:r>
          </w:p>
        </w:tc>
      </w:tr>
      <w:tr>
        <w:tc>
          <w:tcPr>
            <w:tcW w:type="dxa" w:w="2160"/>
            <w:vAlign w:val="top"/>
          </w:tcPr>
          <w:p>
            <w:r/>
            <w:r/>
            <w:r>
              <w:rPr>
                <w:rFonts w:ascii="Consolas" w:hAnsi="Consolas"/>
                <w:sz w:val="20"/>
              </w:rPr>
              <w:t>model</w:t>
            </w:r>
          </w:p>
        </w:tc>
        <w:tc>
          <w:tcPr>
            <w:tcW w:type="dxa" w:w="2160"/>
            <w:vAlign w:val="top"/>
          </w:tcPr>
          <w:p>
            <w:r/>
            <w:r>
              <w:t>yes</w:t>
            </w:r>
          </w:p>
        </w:tc>
        <w:tc>
          <w:tcPr>
            <w:tcW w:type="dxa" w:w="2160"/>
            <w:vAlign w:val="top"/>
          </w:tcPr>
          <w:p>
            <w:r/>
            <w:r>
              <w:t>string</w:t>
            </w:r>
          </w:p>
        </w:tc>
        <w:tc>
          <w:tcPr>
            <w:tcW w:type="dxa" w:w="2160"/>
            <w:vAlign w:val="top"/>
          </w:tcPr>
          <w:p>
            <w:r/>
            <w:r>
              <w:t xml:space="preserve">Model deployment name (e.g. </w:t>
            </w:r>
            <w:r>
              <w:rPr>
                <w:rFonts w:ascii="Consolas" w:hAnsi="Consolas"/>
                <w:sz w:val="20"/>
              </w:rPr>
              <w:t>gpt-4.1-mini</w:t>
            </w:r>
            <w:r>
              <w:t xml:space="preserve">). Validated non-empty by </w:t>
            </w:r>
            <w:r>
              <w:rPr>
                <w:rFonts w:ascii="Consolas" w:hAnsi="Consolas"/>
                <w:sz w:val="20"/>
              </w:rPr>
              <w:t>CreateManagedAgentAPIRequest</w:t>
            </w:r>
            <w:r>
              <w:t>.</w:t>
            </w:r>
          </w:p>
        </w:tc>
      </w:tr>
      <w:tr>
        <w:tc>
          <w:tcPr>
            <w:tcW w:type="dxa" w:w="2160"/>
            <w:vAlign w:val="top"/>
          </w:tcPr>
          <w:p>
            <w:r/>
            <w:r/>
            <w:r>
              <w:rPr>
                <w:rFonts w:ascii="Consolas" w:hAnsi="Consolas"/>
                <w:sz w:val="20"/>
              </w:rPr>
              <w:t>instructions</w:t>
            </w:r>
          </w:p>
        </w:tc>
        <w:tc>
          <w:tcPr>
            <w:tcW w:type="dxa" w:w="2160"/>
            <w:vAlign w:val="top"/>
          </w:tcPr>
          <w:p>
            <w:r/>
            <w:r>
              <w:t>yes</w:t>
            </w:r>
          </w:p>
        </w:tc>
        <w:tc>
          <w:tcPr>
            <w:tcW w:type="dxa" w:w="2160"/>
            <w:vAlign w:val="top"/>
          </w:tcPr>
          <w:p>
            <w:r/>
            <w:r>
              <w:t>string</w:t>
            </w:r>
          </w:p>
        </w:tc>
        <w:tc>
          <w:tcPr>
            <w:tcW w:type="dxa" w:w="2160"/>
            <w:vAlign w:val="top"/>
          </w:tcPr>
          <w:p>
            <w:r/>
            <w:r>
              <w:t xml:space="preserve">System/developer message inserted into the model context. Validated non-empty by </w:t>
            </w:r>
            <w:r>
              <w:rPr>
                <w:rFonts w:ascii="Consolas" w:hAnsi="Consolas"/>
                <w:sz w:val="20"/>
              </w:rPr>
              <w:t>CreateManagedAgentAPIRequest</w:t>
            </w:r>
            <w:r>
              <w:t>.</w:t>
            </w:r>
          </w:p>
        </w:tc>
      </w:tr>
      <w:tr>
        <w:tc>
          <w:tcPr>
            <w:tcW w:type="dxa" w:w="2160"/>
            <w:vAlign w:val="top"/>
          </w:tcPr>
          <w:p>
            <w:r/>
            <w:r/>
            <w:r>
              <w:rPr>
                <w:rFonts w:ascii="Consolas" w:hAnsi="Consolas"/>
                <w:sz w:val="20"/>
              </w:rPr>
              <w:t>skills</w:t>
            </w:r>
          </w:p>
        </w:tc>
        <w:tc>
          <w:tcPr>
            <w:tcW w:type="dxa" w:w="2160"/>
            <w:vAlign w:val="top"/>
          </w:tcPr>
          <w:p>
            <w:r/>
            <w:r>
              <w:t>no</w:t>
            </w:r>
          </w:p>
        </w:tc>
        <w:tc>
          <w:tcPr>
            <w:tcW w:type="dxa" w:w="2160"/>
            <w:vAlign w:val="top"/>
          </w:tcPr>
          <w:p>
            <w:r/>
            <w:r>
              <w:t>string[]</w:t>
            </w:r>
          </w:p>
        </w:tc>
        <w:tc>
          <w:tcPr>
            <w:tcW w:type="dxa" w:w="2160"/>
            <w:vAlign w:val="top"/>
          </w:tcPr>
          <w:p>
            <w:r/>
            <w:r>
              <w:t>Optional list of Foundry skill identifiers attached to the agent.</w:t>
            </w:r>
          </w:p>
        </w:tc>
      </w:tr>
      <w:tr>
        <w:tc>
          <w:tcPr>
            <w:tcW w:type="dxa" w:w="2160"/>
            <w:vAlign w:val="top"/>
          </w:tcPr>
          <w:p>
            <w:r/>
            <w:r/>
            <w:r>
              <w:rPr>
                <w:rFonts w:ascii="Consolas" w:hAnsi="Consolas"/>
                <w:sz w:val="20"/>
              </w:rPr>
              <w:t>policies</w:t>
            </w:r>
          </w:p>
        </w:tc>
        <w:tc>
          <w:tcPr>
            <w:tcW w:type="dxa" w:w="2160"/>
            <w:vAlign w:val="top"/>
          </w:tcPr>
          <w:p>
            <w:r/>
            <w:r>
              <w:t>no</w:t>
            </w:r>
          </w:p>
        </w:tc>
        <w:tc>
          <w:tcPr>
            <w:tcW w:type="dxa" w:w="2160"/>
            <w:vAlign w:val="top"/>
          </w:tcPr>
          <w:p>
            <w:r/>
            <w:r>
              <w:t>Policy[]</w:t>
            </w:r>
          </w:p>
        </w:tc>
        <w:tc>
          <w:tcPr>
            <w:tcW w:type="dxa" w:w="2160"/>
            <w:vAlign w:val="top"/>
          </w:tcPr>
          <w:p>
            <w:r/>
            <w:r>
              <w:t xml:space="preserve">Optional governance policies. Today only </w:t>
            </w:r>
            <w:r>
              <w:rPr>
                <w:rFonts w:ascii="Consolas" w:hAnsi="Consolas"/>
                <w:sz w:val="20"/>
              </w:rPr>
              <w:t>type: rai_policy</w:t>
            </w:r>
            <w:r>
              <w:t xml:space="preserve"> with an ARM-id-shaped </w:t>
            </w:r>
            <w:r>
              <w:rPr>
                <w:rFonts w:ascii="Consolas" w:hAnsi="Consolas"/>
                <w:sz w:val="20"/>
              </w:rPr>
              <w:t>rai_policy_name</w:t>
            </w:r>
            <w:r>
              <w:t xml:space="preserve"> is supported.</w:t>
            </w:r>
          </w:p>
        </w:tc>
      </w:tr>
    </w:tbl>
    <w:p>
      <w:pPr>
        <w:pStyle w:val="Heading3"/>
      </w:pPr>
      <w:r>
        <w:t>Discriminator routing</w:t>
      </w:r>
    </w:p>
    <w:p>
      <w:r/>
      <w:r>
        <w:rPr>
          <w:rFonts w:ascii="Consolas" w:hAnsi="Consolas"/>
          <w:sz w:val="20"/>
        </w:rPr>
        <w:t>agent_yaml/parse.go</w:t>
      </w:r>
      <w:r>
        <w:t xml:space="preserve"> switches on the </w:t>
      </w:r>
      <w:r>
        <w:rPr>
          <w:rFonts w:ascii="Consolas" w:hAnsi="Consolas"/>
          <w:sz w:val="20"/>
        </w:rPr>
        <w:t>kind</w:t>
      </w:r>
      <w:r>
        <w:t xml:space="preserve"> field and unmarshals into the matching type. The managed branch is symmetric with </w:t>
      </w:r>
      <w:r>
        <w:rPr>
          <w:rFonts w:ascii="Consolas" w:hAnsi="Consolas"/>
          <w:sz w:val="20"/>
        </w:rPr>
        <w:t>hosted</w:t>
      </w:r>
      <w:r>
        <w:t xml:space="preserve"> and </w:t>
      </w:r>
      <w:r>
        <w:rPr>
          <w:rFonts w:ascii="Consolas" w:hAnsi="Consolas"/>
          <w:sz w:val="20"/>
        </w:rPr>
        <w:t>workflow</w:t>
      </w:r>
      <w:r>
        <w:t>:</w:t>
      </w:r>
    </w:p>
    <w:p>
      <w:pPr>
        <w:pStyle w:val="CodeBlock"/>
        <w:shd w:val="clear" w:color="auto" w:fill="F2F2F2"/>
      </w:pPr>
      <w:r>
        <w:t>switch agentDef.Kind {</w:t>
        <w:br/>
        <w:t>case AgentKindHosted:</w:t>
        <w:br/>
        <w:t xml:space="preserve">    // ... ContainerAgent</w:t>
        <w:br/>
        <w:t>case AgentKindWorkflow:</w:t>
        <w:br/>
        <w:t xml:space="preserve">    // ... Workflow</w:t>
        <w:br/>
        <w:t>case AgentKindManaged:</w:t>
        <w:br/>
        <w:t xml:space="preserve">    var agent ManagedAgent</w:t>
        <w:br/>
        <w:t xml:space="preserve">    if err := yaml.Unmarshal(data, &amp;agent); err != nil {</w:t>
        <w:br/>
        <w:t xml:space="preserve">        return nil, fmt.Errorf("failed to unmarshal to ManagedAgent: %w", err)</w:t>
        <w:br/>
        <w:t xml:space="preserve">    }</w:t>
        <w:br/>
        <w:t xml:space="preserve">    return agent, nil</w:t>
        <w:br/>
        <w:t>}</w:t>
        <w:br/>
        <w:t>return nil, fmt.Errorf("unrecognized agent kind: %s", agentDef.Kind)</w:t>
      </w:r>
    </w:p>
    <w:p>
      <w:pPr>
        <w:pStyle w:val="Heading1"/>
        <w:spacing w:before="360"/>
      </w:pPr>
      <w:r>
        <w:t>API Wire Contract</w:t>
      </w:r>
    </w:p>
    <w:p>
      <w:r>
        <w:t xml:space="preserve">The wire shape lives in </w:t>
      </w:r>
      <w:r>
        <w:rPr>
          <w:rFonts w:ascii="Consolas" w:hAnsi="Consolas"/>
          <w:sz w:val="20"/>
        </w:rPr>
        <w:t>internal/pkg/agents/agent_api/models.go</w:t>
      </w:r>
      <w:r>
        <w:t xml:space="preserve">. It is the JSON body POSTed under the standard </w:t>
      </w:r>
      <w:r>
        <w:rPr>
          <w:rFonts w:ascii="Consolas" w:hAnsi="Consolas"/>
          <w:sz w:val="20"/>
        </w:rPr>
        <w:t>CreateAgentRequest</w:t>
      </w:r>
      <w:r>
        <w:t xml:space="preserve"> envelope, with </w:t>
      </w:r>
      <w:r>
        <w:rPr>
          <w:rFonts w:ascii="Consolas" w:hAnsi="Consolas"/>
          <w:sz w:val="20"/>
        </w:rPr>
        <w:t>Definition</w:t>
      </w:r>
      <w:r>
        <w:t xml:space="preserve"> set to a </w:t>
      </w:r>
      <w:r>
        <w:rPr>
          <w:rFonts w:ascii="Consolas" w:hAnsi="Consolas"/>
          <w:sz w:val="20"/>
        </w:rPr>
        <w:t>ManagedAgentDefinition</w:t>
      </w:r>
      <w:r>
        <w:t>.</w:t>
      </w:r>
    </w:p>
    <w:p>
      <w:pPr>
        <w:pStyle w:val="Heading3"/>
      </w:pPr>
      <w:r>
        <w:t>[[code:ManagedAgentDefinition]]</w:t>
      </w:r>
    </w:p>
    <w:p>
      <w:pPr>
        <w:pStyle w:val="CodeBlock"/>
        <w:shd w:val="clear" w:color="auto" w:fill="F2F2F2"/>
      </w:pPr>
      <w:r>
        <w:t>type ManagedAgentDefinition struct {</w:t>
        <w:br/>
        <w:t xml:space="preserve">    AgentDefinition</w:t>
        <w:br/>
        <w:t xml:space="preserve">    Model            string              `json:"model"`</w:t>
        <w:br/>
        <w:t xml:space="preserve">    Instructions     string              `json:"instructions,omitempty"`</w:t>
        <w:br/>
        <w:t xml:space="preserve">    Tools            []any               `json:"tools,omitempty"`</w:t>
        <w:br/>
        <w:t xml:space="preserve">    ToolChoice       any                 `json:"tool_choice,omitempty"`</w:t>
        <w:br/>
        <w:t xml:space="preserve">    Skills           []string            `json:"skills,omitempty"`</w:t>
        <w:br/>
        <w:t xml:space="preserve">    StructuredInputs map[string]any      `json:"structured_inputs,omitempty"`</w:t>
        <w:br/>
        <w:t xml:space="preserve">    Environment      *ManagedEnvironment `json:"environment,omitempty"`</w:t>
        <w:br/>
        <w:t xml:space="preserve">    Files            map[string]string   `json:"files,omitempty"`</w:t>
        <w:br/>
        <w:t>}</w:t>
      </w:r>
    </w:p>
    <w:p>
      <w:pPr>
        <w:pStyle w:val="Heading3"/>
      </w:pPr>
      <w:r>
        <w:t>[[code:ManagedEnvironment]] / [[code:ManagedPackages]]</w:t>
      </w:r>
    </w:p>
    <w:p>
      <w:pPr>
        <w:pStyle w:val="CodeBlock"/>
        <w:shd w:val="clear" w:color="auto" w:fill="F2F2F2"/>
      </w:pPr>
      <w:r>
        <w:t>type ManagedPackages struct {</w:t>
        <w:br/>
        <w:t xml:space="preserve">    Pip []string `json:"pip,omitempty"`</w:t>
        <w:br/>
        <w:t xml:space="preserve">    Apt []string `json:"apt,omitempty"`</w:t>
        <w:br/>
        <w:t>}</w:t>
        <w:br/>
        <w:br/>
        <w:t>type ManagedEnvironment struct {</w:t>
        <w:br/>
        <w:t xml:space="preserve">    BaseImage            *string           `json:"base_image,omitempty"`</w:t>
        <w:br/>
        <w:t xml:space="preserve">    Image                *string           `json:"image,omitempty"`</w:t>
        <w:br/>
        <w:t xml:space="preserve">    Packages             *ManagedPackages  `json:"packages,omitempty"`</w:t>
        <w:br/>
        <w:t xml:space="preserve">    CPU                  *string           `json:"cpu,omitempty"`</w:t>
        <w:br/>
        <w:t xml:space="preserve">    Memory               *string           `json:"memory,omitempty"`</w:t>
        <w:br/>
        <w:t xml:space="preserve">    EgressPolicy         *string           `json:"egress_policy,omitempty"`</w:t>
        <w:br/>
        <w:t xml:space="preserve">    EnvironmentVariables map[string]string `json:"environment_variables,omitempty"`</w:t>
        <w:br/>
        <w:t>}</w:t>
      </w:r>
    </w:p>
    <w:p>
      <w:pPr>
        <w:pStyle w:val="Heading3"/>
      </w:pPr>
      <w:r>
        <w:t>Mapping rules ([[code:CreateManagedAgentAPIRequest]])</w:t>
      </w:r>
    </w:p>
    <w:p>
      <w:pPr>
        <w:pStyle w:val="ListBullet"/>
      </w:pPr>
      <w:r/>
      <w:r>
        <w:rPr>
          <w:rFonts w:ascii="Consolas" w:hAnsi="Consolas"/>
          <w:sz w:val="20"/>
        </w:rPr>
        <w:t>model</w:t>
      </w:r>
      <w:r>
        <w:t xml:space="preserve"> and </w:t>
      </w:r>
      <w:r>
        <w:rPr>
          <w:rFonts w:ascii="Consolas" w:hAnsi="Consolas"/>
          <w:sz w:val="20"/>
        </w:rPr>
        <w:t>instructions</w:t>
      </w:r>
      <w:r>
        <w:t xml:space="preserve"> are validated non-empty; otherwise the call returns </w:t>
      </w:r>
      <w:r>
        <w:rPr>
          <w:rFonts w:ascii="Consolas" w:hAnsi="Consolas"/>
          <w:sz w:val="20"/>
        </w:rPr>
        <w:t>fmt.Errorf</w:t>
      </w:r>
      <w:r>
        <w:t xml:space="preserve"> (“managed agent requires a non-empty model/instructions”).</w:t>
      </w:r>
    </w:p>
    <w:p>
      <w:pPr>
        <w:pStyle w:val="ListBullet"/>
      </w:pPr>
      <w:r/>
      <w:r>
        <w:rPr>
          <w:rFonts w:ascii="Consolas" w:hAnsi="Consolas"/>
          <w:sz w:val="20"/>
        </w:rPr>
        <w:t>policies</w:t>
      </w:r>
      <w:r>
        <w:t xml:space="preserve"> are run through </w:t>
      </w:r>
      <w:r>
        <w:rPr>
          <w:rFonts w:ascii="Consolas" w:hAnsi="Consolas"/>
          <w:sz w:val="20"/>
        </w:rPr>
        <w:t>mapRaiConfig</w:t>
      </w:r>
      <w:r>
        <w:t xml:space="preserve"> (the same helper used by hosted agents) to produce </w:t>
      </w:r>
      <w:r>
        <w:rPr>
          <w:rFonts w:ascii="Consolas" w:hAnsi="Consolas"/>
          <w:sz w:val="20"/>
        </w:rPr>
        <w:t>AgentDefinition.RaiConfig</w:t>
      </w:r>
      <w:r>
        <w:t xml:space="preserve"> on the wire.</w:t>
      </w:r>
    </w:p>
    <w:p>
      <w:pPr>
        <w:pStyle w:val="ListBullet"/>
      </w:pPr>
      <w:r/>
      <w:r>
        <w:rPr>
          <w:rFonts w:ascii="Consolas" w:hAnsi="Consolas"/>
          <w:sz w:val="20"/>
        </w:rPr>
        <w:t>skills</w:t>
      </w:r>
      <w:r>
        <w:t xml:space="preserve"> are cloned (</w:t>
      </w:r>
      <w:r>
        <w:rPr>
          <w:rFonts w:ascii="Consolas" w:hAnsi="Consolas"/>
          <w:sz w:val="20"/>
        </w:rPr>
        <w:t>append([]string(nil), ...</w:t>
      </w:r>
      <w:r>
        <w:t>) so the request does not alias the customer-supplied slice.</w:t>
      </w:r>
    </w:p>
    <w:p>
      <w:pPr>
        <w:pStyle w:val="ListBullet"/>
      </w:pPr>
      <w:r>
        <w:t xml:space="preserve">When a non-nil </w:t>
      </w:r>
      <w:r>
        <w:rPr>
          <w:rFonts w:ascii="Consolas" w:hAnsi="Consolas"/>
          <w:sz w:val="20"/>
        </w:rPr>
        <w:t>AgentBuildConfig</w:t>
      </w:r>
      <w:r>
        <w:t xml:space="preserve"> carries </w:t>
      </w:r>
      <w:r>
        <w:rPr>
          <w:rFonts w:ascii="Consolas" w:hAnsi="Consolas"/>
          <w:sz w:val="20"/>
        </w:rPr>
        <w:t>EnvironmentVariables</w:t>
      </w:r>
      <w:r>
        <w:t xml:space="preserve">, they are copied (via </w:t>
      </w:r>
      <w:r>
        <w:rPr>
          <w:rFonts w:ascii="Consolas" w:hAnsi="Consolas"/>
          <w:sz w:val="20"/>
        </w:rPr>
        <w:t>maps.Clone</w:t>
      </w:r>
      <w:r>
        <w:t xml:space="preserve">) into </w:t>
      </w:r>
      <w:r>
        <w:rPr>
          <w:rFonts w:ascii="Consolas" w:hAnsi="Consolas"/>
          <w:sz w:val="20"/>
        </w:rPr>
        <w:t>Environment.EnvironmentVariables</w:t>
      </w:r>
      <w:r>
        <w:t xml:space="preserve"> so the Hand sandbox can read them.</w:t>
      </w:r>
    </w:p>
    <w:p>
      <w:pPr>
        <w:pStyle w:val="ListBullet"/>
      </w:pPr>
      <w:r>
        <w:t xml:space="preserve">No </w:t>
      </w:r>
      <w:r>
        <w:rPr>
          <w:rFonts w:ascii="Consolas" w:hAnsi="Consolas"/>
          <w:sz w:val="20"/>
        </w:rPr>
        <w:t>image</w:t>
      </w:r>
      <w:r>
        <w:t xml:space="preserve">, </w:t>
      </w:r>
      <w:r>
        <w:rPr>
          <w:rFonts w:ascii="Consolas" w:hAnsi="Consolas"/>
          <w:sz w:val="20"/>
        </w:rPr>
        <w:t>cpu</w:t>
      </w:r>
      <w:r>
        <w:t xml:space="preserve">, </w:t>
      </w:r>
      <w:r>
        <w:rPr>
          <w:rFonts w:ascii="Consolas" w:hAnsi="Consolas"/>
          <w:sz w:val="20"/>
        </w:rPr>
        <w:t>memory</w:t>
      </w:r>
      <w:r>
        <w:t xml:space="preserve">, or </w:t>
      </w:r>
      <w:r>
        <w:rPr>
          <w:rFonts w:ascii="Consolas" w:hAnsi="Consolas"/>
          <w:sz w:val="20"/>
        </w:rPr>
        <w:t>endpoint</w:t>
      </w:r>
      <w:r>
        <w:t xml:space="preserve"> fields are set from the YAML — these belong to the hosted/container shape and are not part of the managed customer-authored surface today.</w:t>
      </w:r>
    </w:p>
    <w:p>
      <w:pPr>
        <w:pStyle w:val="Heading1"/>
        <w:spacing w:before="360"/>
      </w:pPr>
      <w:r>
        <w:t>URL Surface and [[code:ManagedAgentClient]]</w:t>
      </w:r>
    </w:p>
    <w:p>
      <w:r>
        <w:t xml:space="preserve">All managed operations are rooted at an ARM-shaped workspace resource. The client takes a </w:t>
      </w:r>
      <w:r>
        <w:rPr>
          <w:rFonts w:ascii="Consolas" w:hAnsi="Consolas"/>
          <w:sz w:val="20"/>
        </w:rPr>
        <w:t>BaseURL</w:t>
      </w:r>
      <w:r>
        <w:t xml:space="preserve"> (origin) and a </w:t>
      </w:r>
      <w:r>
        <w:rPr>
          <w:rFonts w:ascii="Consolas" w:hAnsi="Consolas"/>
          <w:sz w:val="20"/>
        </w:rPr>
        <w:t>RoutePrefix</w:t>
      </w:r>
      <w:r>
        <w:t xml:space="preserve"> (everything between the origin and </w:t>
      </w:r>
      <w:r>
        <w:rPr>
          <w:rFonts w:ascii="Consolas" w:hAnsi="Consolas"/>
          <w:sz w:val="20"/>
        </w:rPr>
        <w:t>/agents</w:t>
      </w:r>
      <w:r>
        <w:t xml:space="preserve">) so the same client targets production, an alternate cloud, or a local </w:t>
      </w:r>
      <w:r>
        <w:rPr>
          <w:rFonts w:ascii="Consolas" w:hAnsi="Consolas"/>
          <w:sz w:val="20"/>
        </w:rPr>
        <w:t>managed-harness</w:t>
      </w:r>
      <w:r>
        <w:t xml:space="preserve"> backend without rewiring URL assembly:</w:t>
      </w:r>
    </w:p>
    <w:p>
      <w:pPr>
        <w:pStyle w:val="CodeBlock"/>
        <w:shd w:val="clear" w:color="auto" w:fill="F2F2F2"/>
      </w:pPr>
      <w:r>
        <w:t>{baseURL}{routePrefix}/agents</w:t>
        <w:br/>
        <w:t>{baseURL}{routePrefix}/agents/{name}</w:t>
        <w:br/>
        <w:t>{baseURL}{routePrefix}/agents/{name}/openai/responses</w:t>
        <w:br/>
        <w:t>{baseURL}{routePrefix}/agents/{name}/openai/responses/{responseId}</w:t>
        <w:br/>
        <w:t>{baseURL}{routePrefix}/agents/{name}/openai/responses/{responseId}/cancel</w:t>
      </w:r>
    </w:p>
    <w:p>
      <w:pPr>
        <w:pStyle w:val="Heading3"/>
      </w:pPr>
      <w:r>
        <w:t>Production route prefix</w:t>
      </w:r>
    </w:p>
    <w:p>
      <w:r>
        <w:t xml:space="preserve">Built by </w:t>
      </w:r>
      <w:r>
        <w:rPr>
          <w:rFonts w:ascii="Consolas" w:hAnsi="Consolas"/>
          <w:sz w:val="20"/>
        </w:rPr>
        <w:t>BuildWorkspaceRoutePrefix(sub, rg, ws)</w:t>
      </w:r>
      <w:r>
        <w:t xml:space="preserve">. Each segment is </w:t>
      </w:r>
      <w:r>
        <w:rPr>
          <w:rFonts w:ascii="Consolas" w:hAnsi="Consolas"/>
          <w:sz w:val="20"/>
        </w:rPr>
        <w:t>url.PathEscape</w:t>
      </w:r>
      <w:r>
        <w:t>'d:</w:t>
      </w:r>
    </w:p>
    <w:p>
      <w:pPr>
        <w:pStyle w:val="CodeBlock"/>
        <w:shd w:val="clear" w:color="auto" w:fill="F2F2F2"/>
      </w:pPr>
      <w:r>
        <w:t>/agents/v2.0/subscriptions/&lt;sub&gt;/resourceGroups/&lt;rg&gt;/providers/Microsoft.MachineLearningServices/workspaces/&lt;ws&gt;</w:t>
      </w:r>
    </w:p>
    <w:p>
      <w:pPr>
        <w:pStyle w:val="Heading3"/>
      </w:pPr>
      <w:r>
        <w:t>Operations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Method</w:t>
            </w:r>
          </w:p>
        </w:tc>
        <w:tc>
          <w:tcPr>
            <w:tcW w:type="dxa" w:w="2160"/>
          </w:tcPr>
          <w:p>
            <w:r/>
            <w:r>
              <w:rPr>
                <w:b/>
              </w:rPr>
              <w:t>URL suffix (after [[code:{baseURL}{routePrefix}/agents]])</w:t>
            </w:r>
          </w:p>
        </w:tc>
        <w:tc>
          <w:tcPr>
            <w:tcW w:type="dxa" w:w="2160"/>
          </w:tcPr>
          <w:p>
            <w:r/>
            <w:r>
              <w:rPr>
                <w:b/>
              </w:rPr>
              <w:t>Accepted statuses</w:t>
            </w:r>
          </w:p>
        </w:tc>
        <w:tc>
          <w:tcPr>
            <w:tcW w:type="dxa" w:w="2160"/>
          </w:tcPr>
          <w:p>
            <w:r/>
            <w:r>
              <w:rPr>
                <w:b/>
              </w:rPr>
              <w:t>Notes</w:t>
            </w:r>
          </w:p>
        </w:tc>
      </w:tr>
      <w:tr>
        <w:tc>
          <w:tcPr>
            <w:tcW w:type="dxa" w:w="2160"/>
            <w:vAlign w:val="top"/>
          </w:tcPr>
          <w:p>
            <w:r/>
            <w:r/>
            <w:r>
              <w:rPr>
                <w:rFonts w:ascii="Consolas" w:hAnsi="Consolas"/>
                <w:sz w:val="20"/>
              </w:rPr>
              <w:t>CreateAgent</w:t>
            </w:r>
          </w:p>
        </w:tc>
        <w:tc>
          <w:tcPr>
            <w:tcW w:type="dxa" w:w="2160"/>
            <w:vAlign w:val="top"/>
          </w:tcPr>
          <w:p>
            <w:r/>
          </w:p>
        </w:tc>
        <w:tc>
          <w:tcPr>
            <w:tcW w:type="dxa" w:w="2160"/>
            <w:vAlign w:val="top"/>
          </w:tcPr>
          <w:p>
            <w:r/>
            <w:r>
              <w:t>200, 201</w:t>
            </w:r>
          </w:p>
        </w:tc>
        <w:tc>
          <w:tcPr>
            <w:tcW w:type="dxa" w:w="2160"/>
            <w:vAlign w:val="top"/>
          </w:tcPr>
          <w:p>
            <w:r/>
            <w:r>
              <w:t xml:space="preserve">POST. Body is </w:t>
            </w:r>
            <w:r>
              <w:rPr>
                <w:rFonts w:ascii="Consolas" w:hAnsi="Consolas"/>
                <w:sz w:val="20"/>
              </w:rPr>
              <w:t>CreateAgentRequest</w:t>
            </w:r>
            <w:r>
              <w:t xml:space="preserve"> (envelope) with a </w:t>
            </w:r>
            <w:r>
              <w:rPr>
                <w:rFonts w:ascii="Consolas" w:hAnsi="Consolas"/>
                <w:sz w:val="20"/>
              </w:rPr>
              <w:t>ManagedAgentDefinition</w:t>
            </w:r>
            <w:r>
              <w:t>.</w:t>
            </w:r>
          </w:p>
        </w:tc>
      </w:tr>
      <w:tr>
        <w:tc>
          <w:tcPr>
            <w:tcW w:type="dxa" w:w="2160"/>
            <w:vAlign w:val="top"/>
          </w:tcPr>
          <w:p>
            <w:r/>
            <w:r/>
            <w:r>
              <w:rPr>
                <w:rFonts w:ascii="Consolas" w:hAnsi="Consolas"/>
                <w:sz w:val="20"/>
              </w:rPr>
              <w:t>GetAgent</w:t>
            </w:r>
          </w:p>
        </w:tc>
        <w:tc>
          <w:tcPr>
            <w:tcW w:type="dxa" w:w="2160"/>
            <w:vAlign w:val="top"/>
          </w:tcPr>
          <w:p>
            <w:r/>
            <w:r>
              <w:t>/{name}</w:t>
            </w:r>
          </w:p>
        </w:tc>
        <w:tc>
          <w:tcPr>
            <w:tcW w:type="dxa" w:w="2160"/>
            <w:vAlign w:val="top"/>
          </w:tcPr>
          <w:p>
            <w:r/>
            <w:r>
              <w:t>200</w:t>
            </w:r>
          </w:p>
        </w:tc>
        <w:tc>
          <w:tcPr>
            <w:tcW w:type="dxa" w:w="2160"/>
            <w:vAlign w:val="top"/>
          </w:tcPr>
          <w:p>
            <w:r/>
            <w:r>
              <w:t>Path-escaped agent name.</w:t>
            </w:r>
          </w:p>
        </w:tc>
      </w:tr>
      <w:tr>
        <w:tc>
          <w:tcPr>
            <w:tcW w:type="dxa" w:w="2160"/>
            <w:vAlign w:val="top"/>
          </w:tcPr>
          <w:p>
            <w:r/>
            <w:r/>
            <w:r>
              <w:rPr>
                <w:rFonts w:ascii="Consolas" w:hAnsi="Consolas"/>
                <w:sz w:val="20"/>
              </w:rPr>
              <w:t>UpdateAgent</w:t>
            </w:r>
          </w:p>
        </w:tc>
        <w:tc>
          <w:tcPr>
            <w:tcW w:type="dxa" w:w="2160"/>
            <w:vAlign w:val="top"/>
          </w:tcPr>
          <w:p>
            <w:r/>
            <w:r>
              <w:t>/{name}</w:t>
            </w:r>
          </w:p>
        </w:tc>
        <w:tc>
          <w:tcPr>
            <w:tcW w:type="dxa" w:w="2160"/>
            <w:vAlign w:val="top"/>
          </w:tcPr>
          <w:p>
            <w:r/>
            <w:r>
              <w:t>200</w:t>
            </w:r>
          </w:p>
        </w:tc>
        <w:tc>
          <w:tcPr>
            <w:tcW w:type="dxa" w:w="2160"/>
            <w:vAlign w:val="top"/>
          </w:tcPr>
          <w:p>
            <w:r/>
            <w:r>
              <w:t>POST (intentional; the controller treats POST-to-name as replace).</w:t>
            </w:r>
          </w:p>
        </w:tc>
      </w:tr>
      <w:tr>
        <w:tc>
          <w:tcPr>
            <w:tcW w:type="dxa" w:w="2160"/>
            <w:vAlign w:val="top"/>
          </w:tcPr>
          <w:p>
            <w:r/>
            <w:r/>
            <w:r>
              <w:rPr>
                <w:rFonts w:ascii="Consolas" w:hAnsi="Consolas"/>
                <w:sz w:val="20"/>
              </w:rPr>
              <w:t>DeleteAgent</w:t>
            </w:r>
          </w:p>
        </w:tc>
        <w:tc>
          <w:tcPr>
            <w:tcW w:type="dxa" w:w="2160"/>
            <w:vAlign w:val="top"/>
          </w:tcPr>
          <w:p>
            <w:r/>
            <w:r>
              <w:t>/{name}?force=&lt;bool&gt;</w:t>
            </w:r>
          </w:p>
        </w:tc>
        <w:tc>
          <w:tcPr>
            <w:tcW w:type="dxa" w:w="2160"/>
            <w:vAlign w:val="top"/>
          </w:tcPr>
          <w:p>
            <w:r/>
            <w:r>
              <w:t>200, 204</w:t>
            </w:r>
          </w:p>
        </w:tc>
        <w:tc>
          <w:tcPr>
            <w:tcW w:type="dxa" w:w="2160"/>
            <w:vAlign w:val="top"/>
          </w:tcPr>
          <w:p>
            <w:r/>
            <w:r>
              <w:t xml:space="preserve">Accepts 204 because vienna returns it in some configs; synthesizes </w:t>
            </w:r>
            <w:r>
              <w:rPr>
                <w:rFonts w:ascii="Consolas" w:hAnsi="Consolas"/>
                <w:sz w:val="20"/>
              </w:rPr>
              <w:t>{Deleted: true, Name: name}</w:t>
            </w:r>
            <w:r>
              <w:t xml:space="preserve"> when the body is empty.</w:t>
            </w:r>
          </w:p>
        </w:tc>
      </w:tr>
      <w:tr>
        <w:tc>
          <w:tcPr>
            <w:tcW w:type="dxa" w:w="2160"/>
            <w:vAlign w:val="top"/>
          </w:tcPr>
          <w:p>
            <w:r/>
            <w:r/>
            <w:r>
              <w:rPr>
                <w:rFonts w:ascii="Consolas" w:hAnsi="Consolas"/>
                <w:sz w:val="20"/>
              </w:rPr>
              <w:t>ListAgents</w:t>
            </w:r>
          </w:p>
        </w:tc>
        <w:tc>
          <w:tcPr>
            <w:tcW w:type="dxa" w:w="2160"/>
            <w:vAlign w:val="top"/>
          </w:tcPr>
          <w:p>
            <w:r/>
            <w:r>
              <w:t>?kind/limit/after/before/order</w:t>
            </w:r>
          </w:p>
        </w:tc>
        <w:tc>
          <w:tcPr>
            <w:tcW w:type="dxa" w:w="2160"/>
            <w:vAlign w:val="top"/>
          </w:tcPr>
          <w:p>
            <w:r/>
            <w:r>
              <w:t>200</w:t>
            </w:r>
          </w:p>
        </w:tc>
        <w:tc>
          <w:tcPr>
            <w:tcW w:type="dxa" w:w="2160"/>
            <w:vAlign w:val="top"/>
          </w:tcPr>
          <w:p>
            <w:r/>
            <w:r>
              <w:t>All filters optional.</w:t>
            </w:r>
          </w:p>
        </w:tc>
      </w:tr>
      <w:tr>
        <w:tc>
          <w:tcPr>
            <w:tcW w:type="dxa" w:w="2160"/>
            <w:vAlign w:val="top"/>
          </w:tcPr>
          <w:p>
            <w:r/>
            <w:r/>
            <w:r>
              <w:rPr>
                <w:rFonts w:ascii="Consolas" w:hAnsi="Consolas"/>
                <w:sz w:val="20"/>
              </w:rPr>
              <w:t>CreateResponse</w:t>
            </w:r>
          </w:p>
        </w:tc>
        <w:tc>
          <w:tcPr>
            <w:tcW w:type="dxa" w:w="2160"/>
            <w:vAlign w:val="top"/>
          </w:tcPr>
          <w:p>
            <w:r/>
            <w:r>
              <w:t>/{name}/openai/responses</w:t>
            </w:r>
          </w:p>
        </w:tc>
        <w:tc>
          <w:tcPr>
            <w:tcW w:type="dxa" w:w="2160"/>
            <w:vAlign w:val="top"/>
          </w:tcPr>
          <w:p>
            <w:r/>
            <w:r>
              <w:t>200, 201, 202</w:t>
            </w:r>
          </w:p>
        </w:tc>
        <w:tc>
          <w:tcPr>
            <w:tcW w:type="dxa" w:w="2160"/>
            <w:vAlign w:val="top"/>
          </w:tcPr>
          <w:p>
            <w:r/>
            <w:r>
              <w:t>Body passes through verbatim — callers serialize the OpenAI Responses shape themselves; caller-supplied headers are forwarded.</w:t>
            </w:r>
          </w:p>
        </w:tc>
      </w:tr>
      <w:tr>
        <w:tc>
          <w:tcPr>
            <w:tcW w:type="dxa" w:w="2160"/>
            <w:vAlign w:val="top"/>
          </w:tcPr>
          <w:p>
            <w:r/>
            <w:r/>
            <w:r>
              <w:rPr>
                <w:rFonts w:ascii="Consolas" w:hAnsi="Consolas"/>
                <w:sz w:val="20"/>
              </w:rPr>
              <w:t>GetResponse</w:t>
            </w:r>
          </w:p>
        </w:tc>
        <w:tc>
          <w:tcPr>
            <w:tcW w:type="dxa" w:w="2160"/>
            <w:vAlign w:val="top"/>
          </w:tcPr>
          <w:p>
            <w:r/>
            <w:r>
              <w:t>/{name}/openai/responses/{responseId}</w:t>
            </w:r>
          </w:p>
        </w:tc>
        <w:tc>
          <w:tcPr>
            <w:tcW w:type="dxa" w:w="2160"/>
            <w:vAlign w:val="top"/>
          </w:tcPr>
          <w:p>
            <w:r/>
            <w:r>
              <w:t>200</w:t>
            </w:r>
          </w:p>
        </w:tc>
        <w:tc>
          <w:tcPr>
            <w:tcW w:type="dxa" w:w="2160"/>
            <w:vAlign w:val="top"/>
          </w:tcPr>
          <w:p>
            <w:r/>
            <w:r>
              <w:t>Raw body + cloned response headers returned.</w:t>
            </w:r>
          </w:p>
        </w:tc>
      </w:tr>
      <w:tr>
        <w:tc>
          <w:tcPr>
            <w:tcW w:type="dxa" w:w="2160"/>
            <w:vAlign w:val="top"/>
          </w:tcPr>
          <w:p>
            <w:r/>
            <w:r/>
            <w:r>
              <w:rPr>
                <w:rFonts w:ascii="Consolas" w:hAnsi="Consolas"/>
                <w:sz w:val="20"/>
              </w:rPr>
              <w:t>CancelResponse</w:t>
            </w:r>
          </w:p>
        </w:tc>
        <w:tc>
          <w:tcPr>
            <w:tcW w:type="dxa" w:w="2160"/>
            <w:vAlign w:val="top"/>
          </w:tcPr>
          <w:p>
            <w:r/>
            <w:r>
              <w:t>/{name}/openai/responses/{responseId}/cancel</w:t>
            </w:r>
          </w:p>
        </w:tc>
        <w:tc>
          <w:tcPr>
            <w:tcW w:type="dxa" w:w="2160"/>
            <w:vAlign w:val="top"/>
          </w:tcPr>
          <w:p>
            <w:r/>
            <w:r>
              <w:t>200, 202</w:t>
            </w:r>
          </w:p>
        </w:tc>
        <w:tc>
          <w:tcPr>
            <w:tcW w:type="dxa" w:w="2160"/>
            <w:vAlign w:val="top"/>
          </w:tcPr>
          <w:p>
            <w:r/>
            <w:r>
              <w:t>POST.</w:t>
            </w:r>
          </w:p>
        </w:tc>
      </w:tr>
      <w:tr>
        <w:tc>
          <w:tcPr>
            <w:tcW w:type="dxa" w:w="2160"/>
            <w:vAlign w:val="top"/>
          </w:tcPr>
          <w:p>
            <w:r/>
            <w:r/>
            <w:r>
              <w:rPr>
                <w:rFonts w:ascii="Consolas" w:hAnsi="Consolas"/>
                <w:sz w:val="20"/>
              </w:rPr>
              <w:t>DeleteResponse</w:t>
            </w:r>
          </w:p>
        </w:tc>
        <w:tc>
          <w:tcPr>
            <w:tcW w:type="dxa" w:w="2160"/>
            <w:vAlign w:val="top"/>
          </w:tcPr>
          <w:p>
            <w:r/>
            <w:r>
              <w:t>/{name}/openai/responses/{responseId}</w:t>
            </w:r>
          </w:p>
        </w:tc>
        <w:tc>
          <w:tcPr>
            <w:tcW w:type="dxa" w:w="2160"/>
            <w:vAlign w:val="top"/>
          </w:tcPr>
          <w:p>
            <w:r/>
            <w:r>
              <w:t>200, 204</w:t>
            </w:r>
          </w:p>
        </w:tc>
        <w:tc>
          <w:tcPr>
            <w:tcW w:type="dxa" w:w="2160"/>
            <w:vAlign w:val="top"/>
          </w:tcPr>
          <w:p>
            <w:r/>
          </w:p>
        </w:tc>
      </w:tr>
    </w:tbl>
    <w:p>
      <w:pPr>
        <w:pStyle w:val="Heading3"/>
      </w:pPr>
      <w:r>
        <w:t>Construction</w:t>
      </w:r>
    </w:p>
    <w:p>
      <w:pPr>
        <w:pStyle w:val="CodeBlock"/>
        <w:shd w:val="clear" w:color="auto" w:fill="F2F2F2"/>
      </w:pPr>
      <w:r>
        <w:t>client, err := agent_api.NewManagedAgentClient(agent_api.ManagedAgentClientOptions{</w:t>
        <w:br/>
        <w:t xml:space="preserve">    BaseURL:     "https://management.azure.com",</w:t>
        <w:br/>
        <w:t xml:space="preserve">    RoutePrefix: prefix,    // from BuildWorkspaceRoutePrefix(sub, rg, ws)</w:t>
        <w:br/>
        <w:t xml:space="preserve">    Credential:  cred,      // azcore.TokenCredential (nil for unauthenticated localhost)</w:t>
        <w:br/>
        <w:t xml:space="preserve">    Scopes:      nil,       // defaults to {"https://ai.azure.com/.default"}</w:t>
        <w:br/>
        <w:t>})</w:t>
      </w:r>
    </w:p>
    <w:p>
      <w:pPr>
        <w:pStyle w:val="Heading3"/>
      </w:pPr>
      <w:r>
        <w:t>Pipeline policies</w:t>
      </w:r>
    </w:p>
    <w:p>
      <w:pPr>
        <w:pStyle w:val="ListBullet"/>
      </w:pPr>
      <w:r/>
      <w:r>
        <w:rPr>
          <w:rFonts w:ascii="Consolas" w:hAnsi="Consolas"/>
          <w:sz w:val="20"/>
        </w:rPr>
        <w:t>NewMsCorrelationPolicy</w:t>
      </w:r>
      <w:r>
        <w:t xml:space="preserve"> — attaches </w:t>
      </w:r>
      <w:r>
        <w:rPr>
          <w:rFonts w:ascii="Consolas" w:hAnsi="Consolas"/>
          <w:sz w:val="20"/>
        </w:rPr>
        <w:t>x-ms-correlation-request-id</w:t>
      </w:r>
      <w:r>
        <w:t>.</w:t>
      </w:r>
    </w:p>
    <w:p>
      <w:pPr>
        <w:pStyle w:val="ListBullet"/>
      </w:pPr>
      <w:r/>
      <w:r>
        <w:rPr>
          <w:rFonts w:ascii="Consolas" w:hAnsi="Consolas"/>
          <w:sz w:val="20"/>
        </w:rPr>
        <w:t>NewUserAgentPolicy</w:t>
      </w:r>
      <w:r>
        <w:t xml:space="preserve"> — </w:t>
      </w:r>
      <w:r>
        <w:rPr>
          <w:rFonts w:ascii="Consolas" w:hAnsi="Consolas"/>
          <w:sz w:val="20"/>
        </w:rPr>
        <w:t>azd-ext-azure-ai-agents/&lt;version&gt;</w:t>
      </w:r>
      <w:r>
        <w:t>.</w:t>
      </w:r>
    </w:p>
    <w:p>
      <w:pPr>
        <w:pStyle w:val="ListBullet"/>
      </w:pPr>
      <w:r/>
      <w:r>
        <w:rPr>
          <w:rFonts w:ascii="Consolas" w:hAnsi="Consolas"/>
          <w:sz w:val="20"/>
        </w:rPr>
        <w:t>NewBearerTokenPolicy</w:t>
      </w:r>
      <w:r>
        <w:t xml:space="preserve"> (when </w:t>
      </w:r>
      <w:r>
        <w:rPr>
          <w:rFonts w:ascii="Consolas" w:hAnsi="Consolas"/>
          <w:sz w:val="20"/>
        </w:rPr>
        <w:t>Credential</w:t>
      </w:r>
      <w:r>
        <w:t xml:space="preserve"> is non-nil) using scopes </w:t>
      </w:r>
      <w:r>
        <w:rPr>
          <w:rFonts w:ascii="Consolas" w:hAnsi="Consolas"/>
          <w:sz w:val="20"/>
        </w:rPr>
        <w:t>https://ai.azure.com/.default</w:t>
      </w:r>
      <w:r>
        <w:t xml:space="preserve"> by default. The policy is prepended so it runs before correlation/user-agent.</w:t>
      </w:r>
    </w:p>
    <w:p>
      <w:pPr>
        <w:pStyle w:val="ListBullet"/>
      </w:pPr>
      <w:r>
        <w:t xml:space="preserve">Logging is configured with </w:t>
      </w:r>
      <w:r>
        <w:rPr>
          <w:rFonts w:ascii="Consolas" w:hAnsi="Consolas"/>
          <w:sz w:val="20"/>
        </w:rPr>
        <w:t>IncludeBody=true</w:t>
      </w:r>
      <w:r>
        <w:t xml:space="preserve"> and an allowlist for </w:t>
      </w:r>
      <w:r>
        <w:rPr>
          <w:rFonts w:ascii="Consolas" w:hAnsi="Consolas"/>
          <w:sz w:val="20"/>
        </w:rPr>
        <w:t>X-Ms-Correlation-Request-Id</w:t>
      </w:r>
      <w:r>
        <w:t xml:space="preserve"> / </w:t>
      </w:r>
      <w:r>
        <w:rPr>
          <w:rFonts w:ascii="Consolas" w:hAnsi="Consolas"/>
          <w:sz w:val="20"/>
        </w:rPr>
        <w:t>X-Request-Id</w:t>
      </w:r>
      <w:r>
        <w:t>.</w:t>
      </w:r>
    </w:p>
    <w:p>
      <w:pPr>
        <w:pStyle w:val="Heading3"/>
      </w:pPr>
      <w:r>
        <w:t>API version</w:t>
      </w:r>
    </w:p>
    <w:p>
      <w:r>
        <w:t xml:space="preserve">Sent on every request via the </w:t>
      </w:r>
      <w:r>
        <w:rPr>
          <w:rFonts w:ascii="Consolas" w:hAnsi="Consolas"/>
          <w:sz w:val="20"/>
        </w:rPr>
        <w:t>api-version</w:t>
      </w:r>
      <w:r>
        <w:t xml:space="preserve"> query param. The default is </w:t>
      </w:r>
      <w:r>
        <w:rPr>
          <w:rFonts w:ascii="Consolas" w:hAnsi="Consolas"/>
          <w:sz w:val="20"/>
        </w:rPr>
        <w:t>DefaultManagedAgentAPIVersion = "2025-08-01-preview"</w:t>
      </w:r>
      <w:r>
        <w:t>. Defining it as an exported constant keeps test wire assertions and command call sites in lockstep when the backend rolls forward.</w:t>
      </w:r>
    </w:p>
    <w:p>
      <w:pPr>
        <w:pStyle w:val="Heading1"/>
        <w:spacing w:before="360"/>
      </w:pPr>
      <w:r>
        <w:t>CLI Surface</w:t>
      </w:r>
    </w:p>
    <w:p>
      <w:pPr>
        <w:pStyle w:val="Heading3"/>
      </w:pPr>
      <w:r>
        <w:t>[[code:azd ai agent init]] — kind selection</w:t>
      </w:r>
    </w:p>
    <w:p>
      <w:r>
        <w:t xml:space="preserve">Before any hosted-specific detection runs (manifest discovery, </w:t>
      </w:r>
      <w:r>
        <w:rPr>
          <w:rFonts w:ascii="Consolas" w:hAnsi="Consolas"/>
          <w:sz w:val="20"/>
        </w:rPr>
        <w:t>--src</w:t>
      </w:r>
      <w:r>
        <w:t xml:space="preserve"> handling, deploy-mode/runtime/entry-point flags), the </w:t>
      </w:r>
      <w:r>
        <w:rPr>
          <w:rFonts w:ascii="Consolas" w:hAnsi="Consolas"/>
          <w:sz w:val="20"/>
        </w:rPr>
        <w:t>init</w:t>
      </w:r>
      <w:r>
        <w:t xml:space="preserve"> command asks the user which kind to scaffold. The prompt is suppressed when any “hosted signal” is present on the command line so existing CI scripts stay on the hosted path:</w:t>
      </w:r>
    </w:p>
    <w:p>
      <w:pPr>
        <w:pStyle w:val="CodeBlock"/>
        <w:shd w:val="clear" w:color="auto" w:fill="F2F2F2"/>
      </w:pPr>
      <w:r>
        <w:t>hostedSignalsPresent := userProvidedManifest ||</w:t>
        <w:br/>
        <w:t xml:space="preserve">    flags.src != "" ||</w:t>
        <w:br/>
        <w:t xml:space="preserve">    flags.deployMode != "" ||</w:t>
        <w:br/>
        <w:t xml:space="preserve">    flags.runtime != "" ||</w:t>
        <w:br/>
        <w:t xml:space="preserve">    flags.entryPoint != ""</w:t>
        <w:br/>
        <w:t>if !hostedSignalsPresent {</w:t>
        <w:br/>
        <w:t xml:space="preserve">    kindChoice, kindErr := promptAgentKind(ctx, azdClient, flags.noPrompt)</w:t>
        <w:br/>
        <w:t xml:space="preserve">    if kindErr != nil {</w:t>
        <w:br/>
        <w:t xml:space="preserve">        return kindErr</w:t>
        <w:br/>
        <w:t xml:space="preserve">    }</w:t>
        <w:br/>
        <w:t xml:space="preserve">    if kindChoice == AgentKindChoiceManaged {</w:t>
        <w:br/>
        <w:t xml:space="preserve">        return runInitManaged(ctx, flags, azdClient)</w:t>
        <w:br/>
        <w:t xml:space="preserve">    }</w:t>
        <w:br/>
        <w:t>}</w:t>
      </w:r>
    </w:p>
    <w:p>
      <w:r/>
      <w:r>
        <w:rPr>
          <w:rFonts w:ascii="Consolas" w:hAnsi="Consolas"/>
          <w:sz w:val="20"/>
        </w:rPr>
        <w:t>promptAgentKind</w:t>
      </w:r>
      <w:r>
        <w:t xml:space="preserve"> returns </w:t>
      </w:r>
      <w:r>
        <w:rPr>
          <w:rFonts w:ascii="Consolas" w:hAnsi="Consolas"/>
          <w:sz w:val="20"/>
        </w:rPr>
        <w:t>AgentKindChoiceHosted</w:t>
      </w:r>
      <w:r>
        <w:t xml:space="preserve"> in </w:t>
      </w:r>
      <w:r>
        <w:rPr>
          <w:rFonts w:ascii="Consolas" w:hAnsi="Consolas"/>
          <w:sz w:val="20"/>
        </w:rPr>
        <w:t>--no-prompt</w:t>
      </w:r>
      <w:r>
        <w:t xml:space="preserve"> mode to preserve today's behaviour for callers that do not yet know about the new kind.</w:t>
      </w:r>
    </w:p>
    <w:p>
      <w:pPr>
        <w:pStyle w:val="Heading3"/>
      </w:pPr>
      <w:r>
        <w:t>[[code:runInitManaged]] — scaffolding flow</w:t>
      </w:r>
    </w:p>
    <w:p>
      <w:pPr>
        <w:pStyle w:val="ListBullet"/>
      </w:pPr>
      <w:r>
        <w:t xml:space="preserve">Prompt for </w:t>
      </w:r>
      <w:r>
        <w:rPr>
          <w:rFonts w:ascii="Consolas" w:hAnsi="Consolas"/>
          <w:sz w:val="20"/>
        </w:rPr>
        <w:t>agent name</w:t>
      </w:r>
      <w:r>
        <w:t xml:space="preserve"> (default </w:t>
      </w:r>
      <w:r>
        <w:rPr>
          <w:rFonts w:ascii="Consolas" w:hAnsi="Consolas"/>
          <w:sz w:val="20"/>
        </w:rPr>
        <w:t>my-managed-agent</w:t>
      </w:r>
      <w:r>
        <w:t xml:space="preserve">; </w:t>
      </w:r>
      <w:r>
        <w:rPr>
          <w:rFonts w:ascii="Consolas" w:hAnsi="Consolas"/>
          <w:sz w:val="20"/>
        </w:rPr>
        <w:t>--agent-name</w:t>
      </w:r>
      <w:r>
        <w:t xml:space="preserve"> required in </w:t>
      </w:r>
      <w:r>
        <w:rPr>
          <w:rFonts w:ascii="Consolas" w:hAnsi="Consolas"/>
          <w:sz w:val="20"/>
        </w:rPr>
        <w:t>--no-prompt</w:t>
      </w:r>
      <w:r>
        <w:t xml:space="preserve"> mode).</w:t>
      </w:r>
    </w:p>
    <w:p>
      <w:pPr>
        <w:pStyle w:val="ListBullet"/>
      </w:pPr>
      <w:r>
        <w:t xml:space="preserve">Prompt for </w:t>
      </w:r>
      <w:r>
        <w:rPr>
          <w:rFonts w:ascii="Consolas" w:hAnsi="Consolas"/>
          <w:sz w:val="20"/>
        </w:rPr>
        <w:t>model deployment</w:t>
      </w:r>
      <w:r>
        <w:t xml:space="preserve"> (default </w:t>
      </w:r>
      <w:r>
        <w:rPr>
          <w:rFonts w:ascii="Consolas" w:hAnsi="Consolas"/>
          <w:sz w:val="20"/>
        </w:rPr>
        <w:t>gpt-4.1-mini</w:t>
      </w:r>
      <w:r>
        <w:t xml:space="preserve">; </w:t>
      </w:r>
      <w:r>
        <w:rPr>
          <w:rFonts w:ascii="Consolas" w:hAnsi="Consolas"/>
          <w:sz w:val="20"/>
        </w:rPr>
        <w:t>--model</w:t>
      </w:r>
      <w:r>
        <w:t xml:space="preserve"> required in </w:t>
      </w:r>
      <w:r>
        <w:rPr>
          <w:rFonts w:ascii="Consolas" w:hAnsi="Consolas"/>
          <w:sz w:val="20"/>
        </w:rPr>
        <w:t>--no-prompt</w:t>
      </w:r>
      <w:r>
        <w:t xml:space="preserve"> mode).</w:t>
      </w:r>
    </w:p>
    <w:p>
      <w:pPr>
        <w:pStyle w:val="ListBullet"/>
      </w:pPr>
      <w:r>
        <w:t xml:space="preserve">Prompt for </w:t>
      </w:r>
      <w:r>
        <w:rPr>
          <w:rFonts w:ascii="Consolas" w:hAnsi="Consolas"/>
          <w:sz w:val="20"/>
        </w:rPr>
        <w:t>system instructions</w:t>
      </w:r>
      <w:r>
        <w:t xml:space="preserve"> (default placeholder; in </w:t>
      </w:r>
      <w:r>
        <w:rPr>
          <w:rFonts w:ascii="Consolas" w:hAnsi="Consolas"/>
          <w:sz w:val="20"/>
        </w:rPr>
        <w:t>--no-prompt</w:t>
      </w:r>
      <w:r>
        <w:t xml:space="preserve"> mode a self-documenting stub is written so the customer can edit before deploying).</w:t>
      </w:r>
    </w:p>
    <w:p>
      <w:pPr>
        <w:pStyle w:val="ListBullet"/>
      </w:pPr>
      <w:r>
        <w:t>Resolve target directory: write at the cwd when empty, otherwise create a sanitized subfolder named after the agent. Refuses to clobber a non-empty existing subfolder.</w:t>
      </w:r>
    </w:p>
    <w:p>
      <w:pPr>
        <w:pStyle w:val="ListBullet"/>
      </w:pPr>
      <w:r>
        <w:t xml:space="preserve">Write </w:t>
      </w:r>
      <w:r>
        <w:rPr>
          <w:rFonts w:ascii="Consolas" w:hAnsi="Consolas"/>
          <w:sz w:val="20"/>
        </w:rPr>
        <w:t>agent.yaml</w:t>
      </w:r>
      <w:r>
        <w:t xml:space="preserve"> with the </w:t>
      </w:r>
      <w:r>
        <w:rPr>
          <w:rFonts w:ascii="Consolas" w:hAnsi="Consolas"/>
          <w:sz w:val="20"/>
        </w:rPr>
        <w:t>yaml-language-server</w:t>
      </w:r>
      <w:r>
        <w:t xml:space="preserve"> schema annotation pointing at the </w:t>
      </w:r>
      <w:r>
        <w:rPr>
          <w:rFonts w:ascii="Consolas" w:hAnsi="Consolas"/>
          <w:sz w:val="20"/>
        </w:rPr>
        <w:t>ManagedAgent.yaml</w:t>
      </w:r>
      <w:r>
        <w:t xml:space="preserve"> schema.</w:t>
      </w:r>
    </w:p>
    <w:p>
      <w:pPr>
        <w:pStyle w:val="ListBullet"/>
      </w:pPr>
      <w:r>
        <w:t xml:space="preserve">Add an </w:t>
      </w:r>
      <w:r>
        <w:rPr>
          <w:rFonts w:ascii="Consolas" w:hAnsi="Consolas"/>
          <w:sz w:val="20"/>
        </w:rPr>
        <w:t>azure.yaml</w:t>
      </w:r>
      <w:r>
        <w:t xml:space="preserve"> service entry via </w:t>
      </w:r>
      <w:r>
        <w:rPr>
          <w:rFonts w:ascii="Consolas" w:hAnsi="Consolas"/>
          <w:sz w:val="20"/>
        </w:rPr>
        <w:t>azdClient.Project().AddService</w:t>
      </w:r>
      <w:r>
        <w:t xml:space="preserve"> with </w:t>
      </w:r>
      <w:r>
        <w:rPr>
          <w:rFonts w:ascii="Consolas" w:hAnsi="Consolas"/>
          <w:sz w:val="20"/>
        </w:rPr>
        <w:t>Host: azure.ai.agent</w:t>
      </w:r>
      <w:r>
        <w:t xml:space="preserve"> and no </w:t>
      </w:r>
      <w:r>
        <w:rPr>
          <w:rFonts w:ascii="Consolas" w:hAnsi="Consolas"/>
          <w:sz w:val="20"/>
        </w:rPr>
        <w:t>Language</w:t>
      </w:r>
      <w:r>
        <w:t xml:space="preserve"> / no </w:t>
      </w:r>
      <w:r>
        <w:rPr>
          <w:rFonts w:ascii="Consolas" w:hAnsi="Consolas"/>
          <w:sz w:val="20"/>
        </w:rPr>
        <w:t>Docker</w:t>
      </w:r>
      <w:r>
        <w:t xml:space="preserve">. If no </w:t>
      </w:r>
      <w:r>
        <w:rPr>
          <w:rFonts w:ascii="Consolas" w:hAnsi="Consolas"/>
          <w:sz w:val="20"/>
        </w:rPr>
        <w:t>azure.yaml</w:t>
      </w:r>
      <w:r>
        <w:t xml:space="preserve"> exists, return a typed dependency error pointing the user at </w:t>
      </w:r>
      <w:r>
        <w:rPr>
          <w:rFonts w:ascii="Consolas" w:hAnsi="Consolas"/>
          <w:sz w:val="20"/>
        </w:rPr>
        <w:t>azd init</w:t>
      </w:r>
      <w:r>
        <w:t xml:space="preserve"> — we intentionally do not scaffold a project here.</w:t>
      </w:r>
    </w:p>
    <w:p>
      <w:pPr>
        <w:pStyle w:val="ListBullet"/>
      </w:pPr>
      <w:r>
        <w:t>Print a concise summary and a copy-paste-able next-steps block (</w:t>
      </w:r>
      <w:r>
        <w:rPr>
          <w:rFonts w:ascii="Consolas" w:hAnsi="Consolas"/>
          <w:sz w:val="20"/>
        </w:rPr>
        <w:t>azd env set FOUNDRY_PROJECT_ENDPOINT …</w:t>
      </w:r>
      <w:r>
        <w:t xml:space="preserve"> → </w:t>
      </w:r>
      <w:r>
        <w:rPr>
          <w:rFonts w:ascii="Consolas" w:hAnsi="Consolas"/>
          <w:sz w:val="20"/>
        </w:rPr>
        <w:t>azd deploy</w:t>
      </w:r>
      <w:r>
        <w:t>).</w:t>
      </w:r>
    </w:p>
    <w:p>
      <w:r>
        <w:t xml:space="preserve">Critically, </w:t>
      </w:r>
      <w:r>
        <w:rPr>
          <w:rFonts w:ascii="Consolas" w:hAnsi="Consolas"/>
          <w:sz w:val="20"/>
        </w:rPr>
        <w:t>runInitManaged</w:t>
      </w:r>
      <w:r>
        <w:t xml:space="preserve"> does NOT call </w:t>
      </w:r>
      <w:r>
        <w:rPr>
          <w:rFonts w:ascii="Consolas" w:hAnsi="Consolas"/>
          <w:sz w:val="20"/>
        </w:rPr>
        <w:t>ensureProject</w:t>
      </w:r>
      <w:r>
        <w:t xml:space="preserve"> / clone a </w:t>
      </w:r>
      <w:r>
        <w:rPr>
          <w:rFonts w:ascii="Consolas" w:hAnsi="Consolas"/>
          <w:sz w:val="20"/>
        </w:rPr>
        <w:t>azd-ai-starter-basic</w:t>
      </w:r>
      <w:r>
        <w:t xml:space="preserve"> template / scaffold any Bicep. Managed agents assume the Foundry project endpoint already exists — forcing the user through hosted-shaped infra scaffolding would be misleading.</w:t>
      </w:r>
    </w:p>
    <w:p>
      <w:pPr>
        <w:pStyle w:val="Heading3"/>
      </w:pPr>
      <w:r>
        <w:t>[[code:azd ai agent delete]] — dispatch</w:t>
      </w:r>
    </w:p>
    <w:p>
      <w:r>
        <w:t xml:space="preserve">The delete command inspects the service's </w:t>
      </w:r>
      <w:r>
        <w:rPr>
          <w:rFonts w:ascii="Consolas" w:hAnsi="Consolas"/>
          <w:sz w:val="20"/>
        </w:rPr>
        <w:t>agent.yaml</w:t>
      </w:r>
      <w:r>
        <w:t xml:space="preserve"> via </w:t>
      </w:r>
      <w:r>
        <w:rPr>
          <w:rFonts w:ascii="Consolas" w:hAnsi="Consolas"/>
          <w:sz w:val="20"/>
        </w:rPr>
        <w:t>isManagedAgentYAML</w:t>
      </w:r>
      <w:r>
        <w:t xml:space="preserve">. If the discriminator is </w:t>
      </w:r>
      <w:r>
        <w:rPr>
          <w:rFonts w:ascii="Consolas" w:hAnsi="Consolas"/>
          <w:sz w:val="20"/>
        </w:rPr>
        <w:t>managed</w:t>
      </w:r>
      <w:r>
        <w:t xml:space="preserve">, it routes to </w:t>
      </w:r>
      <w:r>
        <w:rPr>
          <w:rFonts w:ascii="Consolas" w:hAnsi="Consolas"/>
          <w:sz w:val="20"/>
        </w:rPr>
        <w:t>DeleteAction.runManagedDelete</w:t>
      </w:r>
      <w:r>
        <w:t>:</w:t>
      </w:r>
    </w:p>
    <w:p>
      <w:pPr>
        <w:pStyle w:val="ListBullet"/>
      </w:pPr>
      <w:r/>
      <w:r>
        <w:rPr>
          <w:rFonts w:ascii="Consolas" w:hAnsi="Consolas"/>
          <w:sz w:val="20"/>
        </w:rPr>
        <w:t>--version</w:t>
      </w:r>
      <w:r>
        <w:t xml:space="preserve"> is rejected up-front with a typed validation error (</w:t>
      </w:r>
      <w:r>
        <w:rPr>
          <w:rFonts w:ascii="Consolas" w:hAnsi="Consolas"/>
          <w:sz w:val="20"/>
        </w:rPr>
        <w:t>CodeInvalidParameter</w:t>
      </w:r>
      <w:r>
        <w:t>) — managed agents do not expose per-version delete on the v2.0 surface.</w:t>
      </w:r>
    </w:p>
    <w:p>
      <w:pPr>
        <w:pStyle w:val="ListBullet"/>
      </w:pPr>
      <w:r>
        <w:t xml:space="preserve">Constructs a </w:t>
      </w:r>
      <w:r>
        <w:rPr>
          <w:rFonts w:ascii="Consolas" w:hAnsi="Consolas"/>
          <w:sz w:val="20"/>
        </w:rPr>
        <w:t>ManagedAgentClient</w:t>
      </w:r>
      <w:r>
        <w:t xml:space="preserve"> via </w:t>
      </w:r>
      <w:r>
        <w:rPr>
          <w:rFonts w:ascii="Consolas" w:hAnsi="Consolas"/>
          <w:sz w:val="20"/>
        </w:rPr>
        <w:t>newManagedAgentClientFromEnv</w:t>
      </w:r>
      <w:r>
        <w:t>.</w:t>
      </w:r>
    </w:p>
    <w:p>
      <w:pPr>
        <w:pStyle w:val="ListBullet"/>
      </w:pPr>
      <w:r>
        <w:t xml:space="preserve">Calls </w:t>
      </w:r>
      <w:r>
        <w:rPr>
          <w:rFonts w:ascii="Consolas" w:hAnsi="Consolas"/>
          <w:sz w:val="20"/>
        </w:rPr>
        <w:t>DeleteAgent(ctx, name, DefaultManagedAgentAPIVersion, force)</w:t>
      </w:r>
      <w:r>
        <w:t xml:space="preserve"> and passes </w:t>
      </w:r>
      <w:r>
        <w:rPr>
          <w:rFonts w:ascii="Consolas" w:hAnsi="Consolas"/>
          <w:sz w:val="20"/>
        </w:rPr>
        <w:t>--force</w:t>
      </w:r>
      <w:r>
        <w:t xml:space="preserve"> through to the </w:t>
      </w:r>
      <w:r>
        <w:rPr>
          <w:rFonts w:ascii="Consolas" w:hAnsi="Consolas"/>
          <w:sz w:val="20"/>
        </w:rPr>
        <w:t>force</w:t>
      </w:r>
      <w:r>
        <w:t xml:space="preserve"> query parameter.</w:t>
      </w:r>
    </w:p>
    <w:p>
      <w:pPr>
        <w:pStyle w:val="ListBullet"/>
      </w:pPr>
      <w:r>
        <w:t>On success, best-effort cleans up the matching env-var keys and session state to stay at parity with the hosted delete path.</w:t>
      </w:r>
    </w:p>
    <w:p>
      <w:pPr>
        <w:pStyle w:val="ListBullet"/>
      </w:pPr>
      <w:r>
        <w:t xml:space="preserve">Honors </w:t>
      </w:r>
      <w:r>
        <w:rPr>
          <w:rFonts w:ascii="Consolas" w:hAnsi="Consolas"/>
          <w:sz w:val="20"/>
        </w:rPr>
        <w:t>--output json</w:t>
      </w:r>
      <w:r>
        <w:t xml:space="preserve"> by emitting </w:t>
      </w:r>
      <w:r>
        <w:rPr>
          <w:rFonts w:ascii="Consolas" w:hAnsi="Consolas"/>
          <w:sz w:val="20"/>
        </w:rPr>
        <w:t>DeleteAgentResponse</w:t>
      </w:r>
      <w:r>
        <w:t xml:space="preserve"> directly; the default human-readable output is a one-liner (</w:t>
      </w:r>
      <w:r>
        <w:rPr>
          <w:rFonts w:ascii="Consolas" w:hAnsi="Consolas"/>
          <w:sz w:val="20"/>
        </w:rPr>
        <w:t>Managed agent "&lt;name&gt;" deleted.</w:t>
      </w:r>
      <w:r>
        <w:t>).</w:t>
      </w:r>
    </w:p>
    <w:p>
      <w:pPr>
        <w:pStyle w:val="Heading1"/>
        <w:spacing w:before="360"/>
      </w:pPr>
      <w:r>
        <w:t>Lifecycle Dispatch and Environment Variables</w:t>
      </w:r>
    </w:p>
    <w:p>
      <w:r>
        <w:t xml:space="preserve">All command-side managed plumbing lives in </w:t>
      </w:r>
      <w:r>
        <w:rPr>
          <w:rFonts w:ascii="Consolas" w:hAnsi="Consolas"/>
          <w:sz w:val="20"/>
        </w:rPr>
        <w:t>internal/cmd/managed_dispatch.go</w:t>
      </w:r>
      <w:r>
        <w:t>. It provides three helpers plus a small block of env-var constants:</w:t>
      </w:r>
    </w:p>
    <w:p>
      <w:pPr>
        <w:pStyle w:val="Heading3"/>
      </w:pPr>
      <w:r>
        <w:t>[[code:isManagedAgentYAML(filePath string) (bool, error)]]</w:t>
      </w:r>
    </w:p>
    <w:p>
      <w:r>
        <w:t xml:space="preserve">Reads the file and unmarshals only the </w:t>
      </w:r>
      <w:r>
        <w:rPr>
          <w:rFonts w:ascii="Consolas" w:hAnsi="Consolas"/>
          <w:sz w:val="20"/>
        </w:rPr>
        <w:t>kind</w:t>
      </w:r>
      <w:r>
        <w:t xml:space="preserve"> field via a probe struct. A missing file returns </w:t>
      </w:r>
      <w:r>
        <w:rPr>
          <w:rFonts w:ascii="Consolas" w:hAnsi="Consolas"/>
          <w:sz w:val="20"/>
        </w:rPr>
        <w:t>(false, nil)</w:t>
      </w:r>
      <w:r>
        <w:t xml:space="preserve"> so callers can treat “no agent.yaml present” as “not a managed agent” rather than an error. A malformed file returns a wrapped </w:t>
      </w:r>
      <w:r>
        <w:rPr>
          <w:rFonts w:ascii="Consolas" w:hAnsi="Consolas"/>
          <w:sz w:val="20"/>
        </w:rPr>
        <w:t>yaml.Unmarshal</w:t>
      </w:r>
      <w:r>
        <w:t xml:space="preserve"> error so the surrounding command can surface it.</w:t>
      </w:r>
    </w:p>
    <w:p>
      <w:pPr>
        <w:pStyle w:val="Heading3"/>
      </w:pPr>
      <w:r>
        <w:t>[[code:newManagedAgentClientFromEnv(ctx) (*ManagedAgentClient, error)]]</w:t>
      </w:r>
    </w:p>
    <w:p>
      <w:pPr>
        <w:pStyle w:val="ListBullet"/>
      </w:pPr>
      <w:r>
        <w:t xml:space="preserve">Reads </w:t>
      </w:r>
      <w:r>
        <w:rPr>
          <w:rFonts w:ascii="Consolas" w:hAnsi="Consolas"/>
          <w:sz w:val="20"/>
        </w:rPr>
        <w:t>AZD_MANAGED_AGENT_SUBSCRIPTION_ID</w:t>
      </w:r>
      <w:r>
        <w:t xml:space="preserve"> / </w:t>
      </w:r>
      <w:r>
        <w:rPr>
          <w:rFonts w:ascii="Consolas" w:hAnsi="Consolas"/>
          <w:sz w:val="20"/>
        </w:rPr>
        <w:t>AZD_MANAGED_AGENT_RESOURCE_GROUP</w:t>
      </w:r>
      <w:r>
        <w:t xml:space="preserve"> / </w:t>
      </w:r>
      <w:r>
        <w:rPr>
          <w:rFonts w:ascii="Consolas" w:hAnsi="Consolas"/>
          <w:sz w:val="20"/>
        </w:rPr>
        <w:t>AZD_MANAGED_AGENT_WORKSPACE</w:t>
      </w:r>
      <w:r>
        <w:t xml:space="preserve"> from the process environment.</w:t>
      </w:r>
    </w:p>
    <w:p>
      <w:pPr>
        <w:pStyle w:val="ListBullet"/>
      </w:pPr>
      <w:r>
        <w:t>When any of the three is missing or empty, returns a typed validation error (</w:t>
      </w:r>
      <w:r>
        <w:rPr>
          <w:rFonts w:ascii="Consolas" w:hAnsi="Consolas"/>
          <w:sz w:val="20"/>
        </w:rPr>
        <w:t>CodeInvalidParameter</w:t>
      </w:r>
      <w:r>
        <w:t>) whose suggestion lists exactly which env vars to set.</w:t>
      </w:r>
    </w:p>
    <w:p>
      <w:pPr>
        <w:pStyle w:val="ListBullet"/>
      </w:pPr>
      <w:r>
        <w:t xml:space="preserve">Builds the route prefix via </w:t>
      </w:r>
      <w:r>
        <w:rPr>
          <w:rFonts w:ascii="Consolas" w:hAnsi="Consolas"/>
          <w:sz w:val="20"/>
        </w:rPr>
        <w:t>BuildWorkspaceRoutePrefix</w:t>
      </w:r>
      <w:r>
        <w:t xml:space="preserve"> (so the same escaping and validation rules apply as the unit tests in </w:t>
      </w:r>
      <w:r>
        <w:rPr>
          <w:rFonts w:ascii="Consolas" w:hAnsi="Consolas"/>
          <w:sz w:val="20"/>
        </w:rPr>
        <w:t>managed_operations_test.go</w:t>
      </w:r>
      <w:r>
        <w:t>).</w:t>
      </w:r>
    </w:p>
    <w:p>
      <w:pPr>
        <w:pStyle w:val="ListBullet"/>
      </w:pPr>
      <w:r>
        <w:t xml:space="preserve">Resolves the base URL from </w:t>
      </w:r>
      <w:r>
        <w:rPr>
          <w:rFonts w:ascii="Consolas" w:hAnsi="Consolas"/>
          <w:sz w:val="20"/>
        </w:rPr>
        <w:t>AZD_MANAGED_AGENT_BASE_URL</w:t>
      </w:r>
      <w:r>
        <w:t xml:space="preserve"> when set, otherwise falls back to </w:t>
      </w:r>
      <w:r>
        <w:rPr>
          <w:rFonts w:ascii="Consolas" w:hAnsi="Consolas"/>
          <w:sz w:val="20"/>
        </w:rPr>
        <w:t>https://management.azure.com</w:t>
      </w:r>
      <w:r>
        <w:t>.</w:t>
      </w:r>
    </w:p>
    <w:p>
      <w:pPr>
        <w:pStyle w:val="ListBullet"/>
      </w:pPr>
      <w:r>
        <w:t xml:space="preserve">Resolves the credential via </w:t>
      </w:r>
      <w:r>
        <w:rPr>
          <w:rFonts w:ascii="Consolas" w:hAnsi="Consolas"/>
          <w:sz w:val="20"/>
        </w:rPr>
        <w:t>newAgentCredentialOrNil</w:t>
      </w:r>
      <w:r>
        <w:t>: nil for localhost targets (so devs do not need an Azure login to talk to a local backend), otherwise the standard agent credential. Credential-construction failures are intentionally swallowed and surfaced as nil so the underlying HTTP 401/403 becomes the user-visible error — that error is more actionable than a generic “failed to create credential” wrap.</w:t>
      </w:r>
    </w:p>
    <w:p>
      <w:pPr>
        <w:pStyle w:val="Heading3"/>
      </w:pPr>
      <w:r>
        <w:t>[[code:isLocalBackendBaseURL(baseURL)]]</w:t>
      </w:r>
    </w:p>
    <w:p>
      <w:r>
        <w:t xml:space="preserve">Hostname-only prefix check for </w:t>
      </w:r>
      <w:r>
        <w:rPr>
          <w:rFonts w:ascii="Consolas" w:hAnsi="Consolas"/>
          <w:sz w:val="20"/>
        </w:rPr>
        <w:t>localhost</w:t>
      </w:r>
      <w:r>
        <w:t xml:space="preserve">, </w:t>
      </w:r>
      <w:r>
        <w:rPr>
          <w:rFonts w:ascii="Consolas" w:hAnsi="Consolas"/>
          <w:sz w:val="20"/>
        </w:rPr>
        <w:t>127.0.0.1</w:t>
      </w:r>
      <w:r>
        <w:t xml:space="preserve">, and </w:t>
      </w:r>
      <w:r>
        <w:rPr>
          <w:rFonts w:ascii="Consolas" w:hAnsi="Consolas"/>
          <w:sz w:val="20"/>
        </w:rPr>
        <w:t>[::1</w:t>
      </w:r>
      <w:r>
        <w:t xml:space="preserve">] with either </w:t>
      </w:r>
      <w:r>
        <w:rPr>
          <w:rFonts w:ascii="Consolas" w:hAnsi="Consolas"/>
          <w:sz w:val="20"/>
        </w:rPr>
        <w:t>http://</w:t>
      </w:r>
      <w:r>
        <w:t xml:space="preserve"> or </w:t>
      </w:r>
      <w:r>
        <w:rPr>
          <w:rFonts w:ascii="Consolas" w:hAnsi="Consolas"/>
          <w:sz w:val="20"/>
        </w:rPr>
        <w:t>https://</w:t>
      </w:r>
      <w:r>
        <w:t xml:space="preserve">. Non-standard ports still match. Used by both the credential decision above and the </w:t>
      </w:r>
      <w:r>
        <w:rPr>
          <w:rFonts w:ascii="Consolas" w:hAnsi="Consolas"/>
          <w:sz w:val="20"/>
        </w:rPr>
        <w:t>project_endpoint</w:t>
      </w:r>
      <w:r>
        <w:t xml:space="preserve"> validator bypass.</w:t>
      </w:r>
    </w:p>
    <w:p>
      <w:pPr>
        <w:pStyle w:val="Heading3"/>
      </w:pPr>
      <w:r>
        <w:t>Environment variable reference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Variable</w:t>
            </w:r>
          </w:p>
        </w:tc>
        <w:tc>
          <w:tcPr>
            <w:tcW w:type="dxa" w:w="1728"/>
          </w:tcPr>
          <w:p>
            <w:r/>
            <w:r>
              <w:rPr>
                <w:b/>
              </w:rPr>
              <w:t>Type</w:t>
            </w:r>
          </w:p>
        </w:tc>
        <w:tc>
          <w:tcPr>
            <w:tcW w:type="dxa" w:w="1728"/>
          </w:tcPr>
          <w:p>
            <w:r/>
            <w:r>
              <w:rPr>
                <w:b/>
              </w:rPr>
              <w:t>Required</w:t>
            </w:r>
          </w:p>
        </w:tc>
        <w:tc>
          <w:tcPr>
            <w:tcW w:type="dxa" w:w="1728"/>
          </w:tcPr>
          <w:p>
            <w:r/>
            <w:r>
              <w:rPr>
                <w:b/>
              </w:rPr>
              <w:t>Used by</w:t>
            </w:r>
          </w:p>
        </w:tc>
        <w:tc>
          <w:tcPr>
            <w:tcW w:type="dxa" w:w="1728"/>
          </w:tcPr>
          <w:p>
            <w:r/>
            <w:r>
              <w:rPr>
                <w:b/>
              </w:rPr>
              <w:t>Notes</w:t>
            </w:r>
          </w:p>
        </w:tc>
      </w:tr>
      <w:tr>
        <w:tc>
          <w:tcPr>
            <w:tcW w:type="dxa" w:w="1728"/>
            <w:vAlign w:val="top"/>
          </w:tcPr>
          <w:p>
            <w:r/>
            <w:r/>
            <w:r>
              <w:rPr>
                <w:rFonts w:ascii="Consolas" w:hAnsi="Consolas"/>
                <w:sz w:val="20"/>
              </w:rPr>
              <w:t>AZD_MANAGED_AGENT_SUBSCRIPTION_ID</w:t>
            </w:r>
          </w:p>
        </w:tc>
        <w:tc>
          <w:tcPr>
            <w:tcW w:type="dxa" w:w="1728"/>
            <w:vAlign w:val="top"/>
          </w:tcPr>
          <w:p>
            <w:r/>
            <w:r>
              <w:t>string</w:t>
            </w:r>
          </w:p>
        </w:tc>
        <w:tc>
          <w:tcPr>
            <w:tcW w:type="dxa" w:w="1728"/>
            <w:vAlign w:val="top"/>
          </w:tcPr>
          <w:p>
            <w:r/>
            <w:r>
              <w:t>yes (managed ops)</w:t>
            </w:r>
          </w:p>
        </w:tc>
        <w:tc>
          <w:tcPr>
            <w:tcW w:type="dxa" w:w="1728"/>
            <w:vAlign w:val="top"/>
          </w:tcPr>
          <w:p>
            <w:r/>
            <w:r/>
            <w:r>
              <w:rPr>
                <w:rFonts w:ascii="Consolas" w:hAnsi="Consolas"/>
                <w:sz w:val="20"/>
              </w:rPr>
              <w:t>newManagedAgentClientFromEnv</w:t>
            </w:r>
          </w:p>
        </w:tc>
        <w:tc>
          <w:tcPr>
            <w:tcW w:type="dxa" w:w="1728"/>
            <w:vAlign w:val="top"/>
          </w:tcPr>
          <w:p>
            <w:r/>
            <w:r>
              <w:t>Azure subscription id hosting the workspace.</w:t>
            </w:r>
          </w:p>
        </w:tc>
      </w:tr>
      <w:tr>
        <w:tc>
          <w:tcPr>
            <w:tcW w:type="dxa" w:w="1728"/>
            <w:vAlign w:val="top"/>
          </w:tcPr>
          <w:p>
            <w:r/>
            <w:r/>
            <w:r>
              <w:rPr>
                <w:rFonts w:ascii="Consolas" w:hAnsi="Consolas"/>
                <w:sz w:val="20"/>
              </w:rPr>
              <w:t>AZD_MANAGED_AGENT_RESOURCE_GROUP</w:t>
            </w:r>
          </w:p>
        </w:tc>
        <w:tc>
          <w:tcPr>
            <w:tcW w:type="dxa" w:w="1728"/>
            <w:vAlign w:val="top"/>
          </w:tcPr>
          <w:p>
            <w:r/>
            <w:r>
              <w:t>string</w:t>
            </w:r>
          </w:p>
        </w:tc>
        <w:tc>
          <w:tcPr>
            <w:tcW w:type="dxa" w:w="1728"/>
            <w:vAlign w:val="top"/>
          </w:tcPr>
          <w:p>
            <w:r/>
            <w:r>
              <w:t>yes (managed ops)</w:t>
            </w:r>
          </w:p>
        </w:tc>
        <w:tc>
          <w:tcPr>
            <w:tcW w:type="dxa" w:w="1728"/>
            <w:vAlign w:val="top"/>
          </w:tcPr>
          <w:p>
            <w:r/>
            <w:r/>
            <w:r>
              <w:rPr>
                <w:rFonts w:ascii="Consolas" w:hAnsi="Consolas"/>
                <w:sz w:val="20"/>
              </w:rPr>
              <w:t>newManagedAgentClientFromEnv</w:t>
            </w:r>
          </w:p>
        </w:tc>
        <w:tc>
          <w:tcPr>
            <w:tcW w:type="dxa" w:w="1728"/>
            <w:vAlign w:val="top"/>
          </w:tcPr>
          <w:p>
            <w:r/>
            <w:r>
              <w:t>Resource group containing the workspace.</w:t>
            </w:r>
          </w:p>
        </w:tc>
      </w:tr>
      <w:tr>
        <w:tc>
          <w:tcPr>
            <w:tcW w:type="dxa" w:w="1728"/>
            <w:vAlign w:val="top"/>
          </w:tcPr>
          <w:p>
            <w:r/>
            <w:r/>
            <w:r>
              <w:rPr>
                <w:rFonts w:ascii="Consolas" w:hAnsi="Consolas"/>
                <w:sz w:val="20"/>
              </w:rPr>
              <w:t>AZD_MANAGED_AGENT_WORKSPACE</w:t>
            </w:r>
          </w:p>
        </w:tc>
        <w:tc>
          <w:tcPr>
            <w:tcW w:type="dxa" w:w="1728"/>
            <w:vAlign w:val="top"/>
          </w:tcPr>
          <w:p>
            <w:r/>
            <w:r>
              <w:t>string</w:t>
            </w:r>
          </w:p>
        </w:tc>
        <w:tc>
          <w:tcPr>
            <w:tcW w:type="dxa" w:w="1728"/>
            <w:vAlign w:val="top"/>
          </w:tcPr>
          <w:p>
            <w:r/>
            <w:r>
              <w:t>yes (managed ops)</w:t>
            </w:r>
          </w:p>
        </w:tc>
        <w:tc>
          <w:tcPr>
            <w:tcW w:type="dxa" w:w="1728"/>
            <w:vAlign w:val="top"/>
          </w:tcPr>
          <w:p>
            <w:r/>
            <w:r/>
            <w:r>
              <w:rPr>
                <w:rFonts w:ascii="Consolas" w:hAnsi="Consolas"/>
                <w:sz w:val="20"/>
              </w:rPr>
              <w:t>newManagedAgentClientFromEnv</w:t>
            </w:r>
          </w:p>
        </w:tc>
        <w:tc>
          <w:tcPr>
            <w:tcW w:type="dxa" w:w="1728"/>
            <w:vAlign w:val="top"/>
          </w:tcPr>
          <w:p>
            <w:r/>
            <w:r>
              <w:t>Workspace name. Path-escaped before being placed in the route prefix.</w:t>
            </w:r>
          </w:p>
        </w:tc>
      </w:tr>
      <w:tr>
        <w:tc>
          <w:tcPr>
            <w:tcW w:type="dxa" w:w="1728"/>
            <w:vAlign w:val="top"/>
          </w:tcPr>
          <w:p>
            <w:r/>
            <w:r/>
            <w:r>
              <w:rPr>
                <w:rFonts w:ascii="Consolas" w:hAnsi="Consolas"/>
                <w:sz w:val="20"/>
              </w:rPr>
              <w:t>AZD_MANAGED_AGENT_BASE_URL</w:t>
            </w:r>
          </w:p>
        </w:tc>
        <w:tc>
          <w:tcPr>
            <w:tcW w:type="dxa" w:w="1728"/>
            <w:vAlign w:val="top"/>
          </w:tcPr>
          <w:p>
            <w:r/>
            <w:r>
              <w:t>string</w:t>
            </w:r>
          </w:p>
        </w:tc>
        <w:tc>
          <w:tcPr>
            <w:tcW w:type="dxa" w:w="1728"/>
            <w:vAlign w:val="top"/>
          </w:tcPr>
          <w:p>
            <w:r/>
            <w:r>
              <w:t>no</w:t>
            </w:r>
          </w:p>
        </w:tc>
        <w:tc>
          <w:tcPr>
            <w:tcW w:type="dxa" w:w="1728"/>
            <w:vAlign w:val="top"/>
          </w:tcPr>
          <w:p>
            <w:r/>
            <w:r/>
            <w:r>
              <w:rPr>
                <w:rFonts w:ascii="Consolas" w:hAnsi="Consolas"/>
                <w:sz w:val="20"/>
              </w:rPr>
              <w:t>newManagedAgentClientFromEnv</w:t>
            </w:r>
          </w:p>
        </w:tc>
        <w:tc>
          <w:tcPr>
            <w:tcW w:type="dxa" w:w="1728"/>
            <w:vAlign w:val="top"/>
          </w:tcPr>
          <w:p>
            <w:r/>
            <w:r>
              <w:t xml:space="preserve">Overrides the default </w:t>
            </w:r>
            <w:r>
              <w:rPr>
                <w:rFonts w:ascii="Consolas" w:hAnsi="Consolas"/>
                <w:sz w:val="20"/>
              </w:rPr>
              <w:t>https://management.azure.com</w:t>
            </w:r>
            <w:r>
              <w:t xml:space="preserve"> origin. Used to point at a local </w:t>
            </w:r>
            <w:r>
              <w:rPr>
                <w:rFonts w:ascii="Consolas" w:hAnsi="Consolas"/>
                <w:sz w:val="20"/>
              </w:rPr>
              <w:t>managed-harness</w:t>
            </w:r>
            <w:r>
              <w:t xml:space="preserve"> dev backend (</w:t>
            </w:r>
            <w:r>
              <w:rPr>
                <w:rFonts w:ascii="Consolas" w:hAnsi="Consolas"/>
                <w:sz w:val="20"/>
              </w:rPr>
              <w:t>http://localhost:5000</w:t>
            </w:r>
            <w:r>
              <w:t>).</w:t>
            </w:r>
          </w:p>
        </w:tc>
      </w:tr>
      <w:tr>
        <w:tc>
          <w:tcPr>
            <w:tcW w:type="dxa" w:w="1728"/>
            <w:vAlign w:val="top"/>
          </w:tcPr>
          <w:p>
            <w:r/>
            <w:r/>
            <w:r>
              <w:rPr>
                <w:rFonts w:ascii="Consolas" w:hAnsi="Consolas"/>
                <w:sz w:val="20"/>
              </w:rPr>
              <w:t>AZD_FOUNDRY_ENDPOINT_OVERRIDE</w:t>
            </w:r>
          </w:p>
        </w:tc>
        <w:tc>
          <w:tcPr>
            <w:tcW w:type="dxa" w:w="1728"/>
            <w:vAlign w:val="top"/>
          </w:tcPr>
          <w:p>
            <w:r/>
            <w:r>
              <w:t>presence</w:t>
            </w:r>
          </w:p>
        </w:tc>
        <w:tc>
          <w:tcPr>
            <w:tcW w:type="dxa" w:w="1728"/>
            <w:vAlign w:val="top"/>
          </w:tcPr>
          <w:p>
            <w:r/>
            <w:r>
              <w:t>no</w:t>
            </w:r>
          </w:p>
        </w:tc>
        <w:tc>
          <w:tcPr>
            <w:tcW w:type="dxa" w:w="1728"/>
            <w:vAlign w:val="top"/>
          </w:tcPr>
          <w:p>
            <w:r/>
            <w:r/>
            <w:r>
              <w:rPr>
                <w:rFonts w:ascii="Consolas" w:hAnsi="Consolas"/>
                <w:sz w:val="20"/>
              </w:rPr>
              <w:t>project_endpoint</w:t>
            </w:r>
            <w:r>
              <w:t xml:space="preserve"> validator</w:t>
            </w:r>
          </w:p>
        </w:tc>
        <w:tc>
          <w:tcPr>
            <w:tcW w:type="dxa" w:w="1728"/>
            <w:vAlign w:val="top"/>
          </w:tcPr>
          <w:p>
            <w:r/>
            <w:r>
              <w:t xml:space="preserve">When set to any non-empty value, the validator accepts </w:t>
            </w:r>
            <w:r>
              <w:rPr>
                <w:rFonts w:ascii="Consolas" w:hAnsi="Consolas"/>
                <w:sz w:val="20"/>
              </w:rPr>
              <w:t>http://</w:t>
            </w:r>
            <w:r>
              <w:t xml:space="preserve"> in addition to </w:t>
            </w:r>
            <w:r>
              <w:rPr>
                <w:rFonts w:ascii="Consolas" w:hAnsi="Consolas"/>
                <w:sz w:val="20"/>
              </w:rPr>
              <w:t>https://</w:t>
            </w:r>
            <w:r>
              <w:t xml:space="preserve"> and skips the Foundry host-suffix check. Intentionally undocumented in user help — dev/test only.</w:t>
            </w:r>
          </w:p>
        </w:tc>
      </w:tr>
      <w:tr>
        <w:tc>
          <w:tcPr>
            <w:tcW w:type="dxa" w:w="1728"/>
            <w:vAlign w:val="top"/>
          </w:tcPr>
          <w:p>
            <w:r/>
            <w:r/>
            <w:r>
              <w:rPr>
                <w:rFonts w:ascii="Consolas" w:hAnsi="Consolas"/>
                <w:sz w:val="20"/>
              </w:rPr>
              <w:t>FOUNDRY_PROJECT_ENDPOINT</w:t>
            </w:r>
          </w:p>
        </w:tc>
        <w:tc>
          <w:tcPr>
            <w:tcW w:type="dxa" w:w="1728"/>
            <w:vAlign w:val="top"/>
          </w:tcPr>
          <w:p>
            <w:r/>
            <w:r>
              <w:t>string</w:t>
            </w:r>
          </w:p>
        </w:tc>
        <w:tc>
          <w:tcPr>
            <w:tcW w:type="dxa" w:w="1728"/>
            <w:vAlign w:val="top"/>
          </w:tcPr>
          <w:p>
            <w:r/>
            <w:r>
              <w:t>yes (deploy)</w:t>
            </w:r>
          </w:p>
        </w:tc>
        <w:tc>
          <w:tcPr>
            <w:tcW w:type="dxa" w:w="1728"/>
            <w:vAlign w:val="top"/>
          </w:tcPr>
          <w:p>
            <w:r/>
            <w:r>
              <w:t>azd environment</w:t>
            </w:r>
          </w:p>
        </w:tc>
        <w:tc>
          <w:tcPr>
            <w:tcW w:type="dxa" w:w="1728"/>
            <w:vAlign w:val="top"/>
          </w:tcPr>
          <w:p>
            <w:r/>
            <w:r>
              <w:t xml:space="preserve">Foundry project endpoint used at deploy/invoke time. Unchanged from the hosted flow — listed here only because the </w:t>
            </w:r>
            <w:r>
              <w:rPr>
                <w:rFonts w:ascii="Consolas" w:hAnsi="Consolas"/>
                <w:sz w:val="20"/>
              </w:rPr>
              <w:t>runInitManaged</w:t>
            </w:r>
            <w:r>
              <w:t xml:space="preserve"> next-steps block prints how to set it.</w:t>
            </w:r>
          </w:p>
        </w:tc>
      </w:tr>
    </w:tbl>
    <w:p>
      <w:pPr>
        <w:pStyle w:val="Heading1"/>
        <w:spacing w:before="360"/>
      </w:pPr>
      <w:r>
        <w:t>Local Development Against the [[code:managed-harness]] Backend</w:t>
      </w:r>
    </w:p>
    <w:p>
      <w:r>
        <w:t xml:space="preserve">The vienna </w:t>
      </w:r>
      <w:r>
        <w:rPr>
          <w:rFonts w:ascii="Consolas" w:hAnsi="Consolas"/>
          <w:sz w:val="20"/>
        </w:rPr>
        <w:t>managed-harness</w:t>
      </w:r>
      <w:r>
        <w:t xml:space="preserve"> service implements the same v2.0 controller as production and is the recommended local backend. To target it from azd:</w:t>
      </w:r>
    </w:p>
    <w:p>
      <w:pPr>
        <w:pStyle w:val="CodeBlock"/>
        <w:shd w:val="clear" w:color="auto" w:fill="F2F2F2"/>
      </w:pPr>
      <w:r>
        <w:t># 1) start managed-harness locally</w:t>
        <w:br/>
        <w:t>#    (default port 5000; see vienna repo for details)</w:t>
        <w:br/>
        <w:br/>
        <w:t># 2) bypass the strict project-endpoint validator so http://localhost is accepted</w:t>
        <w:br/>
        <w:t>$Env:AZD_FOUNDRY_ENDPOINT_OVERRIDE = "1"</w:t>
        <w:br/>
        <w:br/>
        <w:t># 3) point the managed client at the local origin (anything in {localhost,127.0.0.1,::1} works)</w:t>
        <w:br/>
        <w:t>$Env:AZD_MANAGED_AGENT_BASE_URL = "http://localhost:5000"</w:t>
        <w:br/>
        <w:br/>
        <w:t># 4) supply the ARM workspace tuple (the harness validates shape but does not call ARM)</w:t>
        <w:br/>
        <w:t>$Env:AZD_MANAGED_AGENT_SUBSCRIPTION_ID = "00000000-0000-0000-0000-000000000000"</w:t>
        <w:br/>
        <w:t>$Env:AZD_MANAGED_AGENT_RESOURCE_GROUP  = "local-rg"</w:t>
        <w:br/>
        <w:t>$Env:AZD_MANAGED_AGENT_WORKSPACE       = "local-ws"</w:t>
        <w:br/>
        <w:br/>
        <w:t># 5) scaffold a managed agent and deploy</w:t>
        <w:br/>
        <w:t>azd ai agent init      # choose "Managed agent"</w:t>
        <w:br/>
        <w:t>azd env set FOUNDRY_PROJECT_ENDPOINT http://localhost:5000/api/projects/local</w:t>
        <w:br/>
        <w:t>azd deploy</w:t>
      </w:r>
    </w:p>
    <w:p>
      <w:r>
        <w:t xml:space="preserve">Because </w:t>
      </w:r>
      <w:r>
        <w:rPr>
          <w:rFonts w:ascii="Consolas" w:hAnsi="Consolas"/>
          <w:sz w:val="20"/>
        </w:rPr>
        <w:t>isLocalBackendBaseURL</w:t>
      </w:r>
      <w:r>
        <w:t xml:space="preserve"> returns true for any of these origins, the </w:t>
      </w:r>
      <w:r>
        <w:rPr>
          <w:rFonts w:ascii="Consolas" w:hAnsi="Consolas"/>
          <w:sz w:val="20"/>
        </w:rPr>
        <w:t>ManagedAgentClient</w:t>
      </w:r>
      <w:r>
        <w:t xml:space="preserve"> is constructed without a credential and the bearer-token policy is omitted from the pipeline — no Azure login is required.</w:t>
      </w:r>
    </w:p>
    <w:p>
      <w:pPr>
        <w:pStyle w:val="Heading1"/>
        <w:spacing w:before="360"/>
      </w:pPr>
      <w:r>
        <w:t>Testing Strategy</w:t>
      </w:r>
    </w:p>
    <w:p>
      <w:pPr>
        <w:pStyle w:val="ListBullet"/>
      </w:pPr>
      <w:r/>
      <w:r>
        <w:rPr>
          <w:rFonts w:ascii="Consolas" w:hAnsi="Consolas"/>
          <w:sz w:val="20"/>
        </w:rPr>
        <w:t>agent_yaml/managed_test.go</w:t>
      </w:r>
      <w:r>
        <w:t xml:space="preserve"> — round-trip YAML → </w:t>
      </w:r>
      <w:r>
        <w:rPr>
          <w:rFonts w:ascii="Consolas" w:hAnsi="Consolas"/>
          <w:sz w:val="20"/>
        </w:rPr>
        <w:t>ManagedAgent</w:t>
      </w:r>
      <w:r>
        <w:t xml:space="preserve"> → YAML; validator coverage for missing </w:t>
      </w:r>
      <w:r>
        <w:rPr>
          <w:rFonts w:ascii="Consolas" w:hAnsi="Consolas"/>
          <w:sz w:val="20"/>
        </w:rPr>
        <w:t>model</w:t>
      </w:r>
      <w:r>
        <w:t xml:space="preserve"> / </w:t>
      </w:r>
      <w:r>
        <w:rPr>
          <w:rFonts w:ascii="Consolas" w:hAnsi="Consolas"/>
          <w:sz w:val="20"/>
        </w:rPr>
        <w:t>instructions</w:t>
      </w:r>
      <w:r>
        <w:t xml:space="preserve">; discriminator routing through </w:t>
      </w:r>
      <w:r>
        <w:rPr>
          <w:rFonts w:ascii="Consolas" w:hAnsi="Consolas"/>
          <w:sz w:val="20"/>
        </w:rPr>
        <w:t>parse.go</w:t>
      </w:r>
      <w:r>
        <w:t>.</w:t>
      </w:r>
    </w:p>
    <w:p>
      <w:pPr>
        <w:pStyle w:val="ListBullet"/>
      </w:pPr>
      <w:r/>
      <w:r>
        <w:rPr>
          <w:rFonts w:ascii="Consolas" w:hAnsi="Consolas"/>
          <w:sz w:val="20"/>
        </w:rPr>
        <w:t>agent_yaml/map_test.go</w:t>
      </w:r>
      <w:r>
        <w:t xml:space="preserve"> — </w:t>
      </w:r>
      <w:r>
        <w:rPr>
          <w:rFonts w:ascii="Consolas" w:hAnsi="Consolas"/>
          <w:sz w:val="20"/>
        </w:rPr>
        <w:t>CreateManagedAgentAPIRequest</w:t>
      </w:r>
      <w:r>
        <w:t xml:space="preserve"> populates </w:t>
      </w:r>
      <w:r>
        <w:rPr>
          <w:rFonts w:ascii="Consolas" w:hAnsi="Consolas"/>
          <w:sz w:val="20"/>
        </w:rPr>
        <w:t>ManagedAgentDefinition</w:t>
      </w:r>
      <w:r>
        <w:t xml:space="preserve"> correctly, copies skills/policies, and propagates build-time env vars into </w:t>
      </w:r>
      <w:r>
        <w:rPr>
          <w:rFonts w:ascii="Consolas" w:hAnsi="Consolas"/>
          <w:sz w:val="20"/>
        </w:rPr>
        <w:t>ManagedEnvironment</w:t>
      </w:r>
      <w:r>
        <w:t>.</w:t>
      </w:r>
    </w:p>
    <w:p>
      <w:pPr>
        <w:pStyle w:val="ListBullet"/>
      </w:pPr>
      <w:r/>
      <w:r>
        <w:rPr>
          <w:rFonts w:ascii="Consolas" w:hAnsi="Consolas"/>
          <w:sz w:val="20"/>
        </w:rPr>
        <w:t>agent_api/managed_operations_test.go</w:t>
      </w:r>
      <w:r>
        <w:t xml:space="preserve"> — </w:t>
      </w:r>
      <w:r>
        <w:rPr>
          <w:rFonts w:ascii="Consolas" w:hAnsi="Consolas"/>
          <w:sz w:val="20"/>
        </w:rPr>
        <w:t>BuildWorkspaceRoutePrefix</w:t>
      </w:r>
      <w:r>
        <w:t xml:space="preserve"> input validation; </w:t>
      </w:r>
      <w:r>
        <w:rPr>
          <w:rFonts w:ascii="Consolas" w:hAnsi="Consolas"/>
          <w:sz w:val="20"/>
        </w:rPr>
        <w:t>httptest</w:t>
      </w:r>
      <w:r>
        <w:t xml:space="preserve">-backed coverage for every lifecycle and responses URL (including the 204 path on </w:t>
      </w:r>
      <w:r>
        <w:rPr>
          <w:rFonts w:ascii="Consolas" w:hAnsi="Consolas"/>
          <w:sz w:val="20"/>
        </w:rPr>
        <w:t>DeleteAgent</w:t>
      </w:r>
      <w:r>
        <w:t xml:space="preserve"> and the </w:t>
      </w:r>
      <w:r>
        <w:rPr>
          <w:rFonts w:ascii="Consolas" w:hAnsi="Consolas"/>
          <w:sz w:val="20"/>
        </w:rPr>
        <w:t>force</w:t>
      </w:r>
      <w:r>
        <w:t xml:space="preserve"> query param); header forwarding on </w:t>
      </w:r>
      <w:r>
        <w:rPr>
          <w:rFonts w:ascii="Consolas" w:hAnsi="Consolas"/>
          <w:sz w:val="20"/>
        </w:rPr>
        <w:t>CreateResponse</w:t>
      </w:r>
      <w:r>
        <w:t>; credential-nil pipeline construction.</w:t>
      </w:r>
    </w:p>
    <w:p>
      <w:pPr>
        <w:pStyle w:val="ListBullet"/>
      </w:pPr>
      <w:r/>
      <w:r>
        <w:rPr>
          <w:rFonts w:ascii="Consolas" w:hAnsi="Consolas"/>
          <w:sz w:val="20"/>
        </w:rPr>
        <w:t>cmd/project_endpoint_test.go</w:t>
      </w:r>
      <w:r>
        <w:t xml:space="preserve"> — the </w:t>
      </w:r>
      <w:r>
        <w:rPr>
          <w:rFonts w:ascii="Consolas" w:hAnsi="Consolas"/>
          <w:sz w:val="20"/>
        </w:rPr>
        <w:t>AZD_FOUNDRY_ENDPOINT_OVERRIDE</w:t>
      </w:r>
      <w:r>
        <w:t xml:space="preserve"> bypass accepts </w:t>
      </w:r>
      <w:r>
        <w:rPr>
          <w:rFonts w:ascii="Consolas" w:hAnsi="Consolas"/>
          <w:sz w:val="20"/>
        </w:rPr>
        <w:t>http://</w:t>
      </w:r>
      <w:r>
        <w:t xml:space="preserve"> and skips the host-suffix check only when set.</w:t>
      </w:r>
    </w:p>
    <w:p>
      <w:pPr>
        <w:pStyle w:val="ListBullet"/>
      </w:pPr>
      <w:r/>
      <w:r>
        <w:rPr>
          <w:rFonts w:ascii="Consolas" w:hAnsi="Consolas"/>
          <w:sz w:val="20"/>
        </w:rPr>
        <w:t>cmd/managed_dispatch_test.go</w:t>
      </w:r>
      <w:r>
        <w:t xml:space="preserve"> — </w:t>
      </w:r>
      <w:r>
        <w:rPr>
          <w:rFonts w:ascii="Consolas" w:hAnsi="Consolas"/>
          <w:sz w:val="20"/>
        </w:rPr>
        <w:t>isManagedAgentYAML</w:t>
      </w:r>
      <w:r>
        <w:t xml:space="preserve"> handles missing/malformed/non-managed/managed files; </w:t>
      </w:r>
      <w:r>
        <w:rPr>
          <w:rFonts w:ascii="Consolas" w:hAnsi="Consolas"/>
          <w:sz w:val="20"/>
        </w:rPr>
        <w:t>newManagedAgentClientFromEnv</w:t>
      </w:r>
      <w:r>
        <w:t xml:space="preserve"> returns typed validation errors with actionable suggestions when env vars are missing.</w:t>
      </w:r>
    </w:p>
    <w:p>
      <w:pPr>
        <w:pStyle w:val="Heading1"/>
        <w:spacing w:before="360"/>
      </w:pPr>
      <w:r>
        <w:t>Open Questions and Future Work</w:t>
      </w:r>
    </w:p>
    <w:p>
      <w:pPr>
        <w:pStyle w:val="ListBullet"/>
      </w:pPr>
      <w:r>
        <w:t xml:space="preserve">Wire </w:t>
      </w:r>
      <w:r>
        <w:rPr>
          <w:rFonts w:ascii="Consolas" w:hAnsi="Consolas"/>
          <w:sz w:val="20"/>
        </w:rPr>
        <w:t>azd ai agent show</w:t>
      </w:r>
      <w:r>
        <w:t xml:space="preserve"> / </w:t>
      </w:r>
      <w:r>
        <w:rPr>
          <w:rFonts w:ascii="Consolas" w:hAnsi="Consolas"/>
          <w:sz w:val="20"/>
        </w:rPr>
        <w:t>list</w:t>
      </w:r>
      <w:r>
        <w:t xml:space="preserve"> / </w:t>
      </w:r>
      <w:r>
        <w:rPr>
          <w:rFonts w:ascii="Consolas" w:hAnsi="Consolas"/>
          <w:sz w:val="20"/>
        </w:rPr>
        <w:t>invoke</w:t>
      </w:r>
      <w:r>
        <w:t xml:space="preserve"> for managed agents. Designed but deferred this milestone. </w:t>
      </w:r>
      <w:r>
        <w:rPr>
          <w:rFonts w:ascii="Consolas" w:hAnsi="Consolas"/>
          <w:sz w:val="20"/>
        </w:rPr>
        <w:t>invoke</w:t>
      </w:r>
      <w:r>
        <w:t xml:space="preserve"> in particular wants to lean on </w:t>
      </w:r>
      <w:r>
        <w:rPr>
          <w:rFonts w:ascii="Consolas" w:hAnsi="Consolas"/>
          <w:sz w:val="20"/>
        </w:rPr>
        <w:t>CreateResponse</w:t>
      </w:r>
      <w:r>
        <w:t xml:space="preserve"> + </w:t>
      </w:r>
      <w:r>
        <w:rPr>
          <w:rFonts w:ascii="Consolas" w:hAnsi="Consolas"/>
          <w:sz w:val="20"/>
        </w:rPr>
        <w:t>GetResponse</w:t>
      </w:r>
      <w:r>
        <w:t xml:space="preserve"> streaming.</w:t>
      </w:r>
    </w:p>
    <w:p>
      <w:pPr>
        <w:pStyle w:val="ListBullet"/>
      </w:pPr>
      <w:r>
        <w:t xml:space="preserve">Surface advanced </w:t>
      </w:r>
      <w:r>
        <w:rPr>
          <w:rFonts w:ascii="Consolas" w:hAnsi="Consolas"/>
          <w:sz w:val="20"/>
        </w:rPr>
        <w:t>ManagedAgentDefinition</w:t>
      </w:r>
      <w:r>
        <w:t xml:space="preserve"> fields through YAML: </w:t>
      </w:r>
      <w:r>
        <w:rPr>
          <w:rFonts w:ascii="Consolas" w:hAnsi="Consolas"/>
          <w:sz w:val="20"/>
        </w:rPr>
        <w:t>structured_inputs</w:t>
      </w:r>
      <w:r>
        <w:t xml:space="preserve">, </w:t>
      </w:r>
      <w:r>
        <w:rPr>
          <w:rFonts w:ascii="Consolas" w:hAnsi="Consolas"/>
          <w:sz w:val="20"/>
        </w:rPr>
        <w:t>files</w:t>
      </w:r>
      <w:r>
        <w:t xml:space="preserve">, and the full </w:t>
      </w:r>
      <w:r>
        <w:rPr>
          <w:rFonts w:ascii="Consolas" w:hAnsi="Consolas"/>
          <w:sz w:val="20"/>
        </w:rPr>
        <w:t>environment</w:t>
      </w:r>
      <w:r>
        <w:t xml:space="preserve"> block (image, base_image, packages, cpu/memory, egress_policy). The wire types already accept them; only the </w:t>
      </w:r>
      <w:r>
        <w:rPr>
          <w:rFonts w:ascii="Consolas" w:hAnsi="Consolas"/>
          <w:sz w:val="20"/>
        </w:rPr>
        <w:t>ManagedAgent</w:t>
      </w:r>
      <w:r>
        <w:t xml:space="preserve"> YAML struct intentionally omits them today.</w:t>
      </w:r>
    </w:p>
    <w:p>
      <w:pPr>
        <w:pStyle w:val="ListBullet"/>
      </w:pPr>
      <w:r>
        <w:t>Automatic ARM workspace discovery from a Foundry project endpoint. Today the user must set three env vars explicitly. A future iteration could derive the workspace tuple from a project endpoint + credential via a lightweight Foundry control-plane lookup.</w:t>
      </w:r>
    </w:p>
    <w:p>
      <w:pPr>
        <w:pStyle w:val="ListBullet"/>
      </w:pPr>
      <w:r>
        <w:t xml:space="preserve">Hosted versioning parity. Whether the v2.0 controller will gain a per-version delete is an open product question. Today </w:t>
      </w:r>
      <w:r>
        <w:rPr>
          <w:rFonts w:ascii="Consolas" w:hAnsi="Consolas"/>
          <w:sz w:val="20"/>
        </w:rPr>
        <w:t>--version</w:t>
      </w:r>
      <w:r>
        <w:t xml:space="preserve"> is a typed validation error.</w:t>
      </w:r>
    </w:p>
    <w:p>
      <w:pPr>
        <w:pStyle w:val="ListBullet"/>
      </w:pPr>
      <w:r>
        <w:t xml:space="preserve">Publish </w:t>
      </w:r>
      <w:r>
        <w:rPr>
          <w:rFonts w:ascii="Consolas" w:hAnsi="Consolas"/>
          <w:sz w:val="20"/>
        </w:rPr>
        <w:t>ManagedAgent.yaml</w:t>
      </w:r>
      <w:r>
        <w:t xml:space="preserve"> in </w:t>
      </w:r>
      <w:r>
        <w:rPr>
          <w:rFonts w:ascii="Consolas" w:hAnsi="Consolas"/>
          <w:sz w:val="20"/>
        </w:rPr>
        <w:t>microsoft/AgentSchema</w:t>
      </w:r>
      <w:r>
        <w:t xml:space="preserve"> so the schema URL in the </w:t>
      </w:r>
      <w:r>
        <w:rPr>
          <w:rFonts w:ascii="Consolas" w:hAnsi="Consolas"/>
          <w:sz w:val="20"/>
        </w:rPr>
        <w:t>yaml-language-server</w:t>
      </w:r>
      <w:r>
        <w:t xml:space="preserve"> annotation resolves to a real document.</w:t>
      </w:r>
    </w:p>
    <w:p>
      <w:pPr>
        <w:pStyle w:val="ListBullet"/>
      </w:pPr>
      <w:r>
        <w:t xml:space="preserve">Telemetry: emit a </w:t>
      </w:r>
      <w:r>
        <w:rPr>
          <w:rFonts w:ascii="Consolas" w:hAnsi="Consolas"/>
          <w:sz w:val="20"/>
        </w:rPr>
        <w:t>azd.ext.azure.ai.agents.kind</w:t>
      </w:r>
      <w:r>
        <w:t xml:space="preserve"> field on init/delete events so we can measure managed adoption distinct from hosted.</w:t>
      </w:r>
    </w:p>
    <w:p>
      <w:pPr>
        <w:pStyle w:val="Heading1"/>
        <w:spacing w:before="360"/>
      </w:pPr>
      <w:r>
        <w:t>References</w:t>
      </w:r>
    </w:p>
    <w:p>
      <w:pPr>
        <w:pStyle w:val="ListBullet"/>
      </w:pPr>
      <w:r/>
      <w:r>
        <w:rPr>
          <w:rFonts w:ascii="Consolas" w:hAnsi="Consolas"/>
          <w:sz w:val="20"/>
        </w:rPr>
        <w:t>cli/azd/extensions/azure.ai.agents/internal/pkg/agents/agent_yaml/yaml.go</w:t>
      </w:r>
      <w:r>
        <w:t xml:space="preserve"> — </w:t>
      </w:r>
      <w:r>
        <w:rPr>
          <w:rFonts w:ascii="Consolas" w:hAnsi="Consolas"/>
          <w:sz w:val="20"/>
        </w:rPr>
        <w:t>ManagedAgent</w:t>
      </w:r>
      <w:r>
        <w:t xml:space="preserve"> struct, </w:t>
      </w:r>
      <w:r>
        <w:rPr>
          <w:rFonts w:ascii="Consolas" w:hAnsi="Consolas"/>
          <w:sz w:val="20"/>
        </w:rPr>
        <w:t>AgentKindManaged</w:t>
      </w:r>
      <w:r>
        <w:t xml:space="preserve"> constant.</w:t>
      </w:r>
    </w:p>
    <w:p>
      <w:pPr>
        <w:pStyle w:val="ListBullet"/>
      </w:pPr>
      <w:r/>
      <w:r>
        <w:rPr>
          <w:rFonts w:ascii="Consolas" w:hAnsi="Consolas"/>
          <w:sz w:val="20"/>
        </w:rPr>
        <w:t>cli/azd/extensions/azure.ai.agents/internal/pkg/agents/agent_yaml/parse.go</w:t>
      </w:r>
      <w:r>
        <w:t xml:space="preserve"> — discriminator switch.</w:t>
      </w:r>
    </w:p>
    <w:p>
      <w:pPr>
        <w:pStyle w:val="ListBullet"/>
      </w:pPr>
      <w:r/>
      <w:r>
        <w:rPr>
          <w:rFonts w:ascii="Consolas" w:hAnsi="Consolas"/>
          <w:sz w:val="20"/>
        </w:rPr>
        <w:t>cli/azd/extensions/azure.ai.agents/internal/pkg/agents/agent_yaml/map.go</w:t>
      </w:r>
      <w:r>
        <w:t xml:space="preserve"> — </w:t>
      </w:r>
      <w:r>
        <w:rPr>
          <w:rFonts w:ascii="Consolas" w:hAnsi="Consolas"/>
          <w:sz w:val="20"/>
        </w:rPr>
        <w:t>CreateManagedAgentAPIRequest</w:t>
      </w:r>
      <w:r>
        <w:t>.</w:t>
      </w:r>
    </w:p>
    <w:p>
      <w:pPr>
        <w:pStyle w:val="ListBullet"/>
      </w:pPr>
      <w:r/>
      <w:r>
        <w:rPr>
          <w:rFonts w:ascii="Consolas" w:hAnsi="Consolas"/>
          <w:sz w:val="20"/>
        </w:rPr>
        <w:t>cli/azd/extensions/azure.ai.agents/internal/pkg/agents/agent_api/models.go</w:t>
      </w:r>
      <w:r>
        <w:t xml:space="preserve"> — </w:t>
      </w:r>
      <w:r>
        <w:rPr>
          <w:rFonts w:ascii="Consolas" w:hAnsi="Consolas"/>
          <w:sz w:val="20"/>
        </w:rPr>
        <w:t>ManagedAgentDefinition</w:t>
      </w:r>
      <w:r>
        <w:t xml:space="preserve"> / </w:t>
      </w:r>
      <w:r>
        <w:rPr>
          <w:rFonts w:ascii="Consolas" w:hAnsi="Consolas"/>
          <w:sz w:val="20"/>
        </w:rPr>
        <w:t>ManagedEnvironment</w:t>
      </w:r>
      <w:r>
        <w:t xml:space="preserve"> / </w:t>
      </w:r>
      <w:r>
        <w:rPr>
          <w:rFonts w:ascii="Consolas" w:hAnsi="Consolas"/>
          <w:sz w:val="20"/>
        </w:rPr>
        <w:t>ManagedPackages</w:t>
      </w:r>
      <w:r>
        <w:t>.</w:t>
      </w:r>
    </w:p>
    <w:p>
      <w:pPr>
        <w:pStyle w:val="ListBullet"/>
      </w:pPr>
      <w:r/>
      <w:r>
        <w:rPr>
          <w:rFonts w:ascii="Consolas" w:hAnsi="Consolas"/>
          <w:sz w:val="20"/>
        </w:rPr>
        <w:t>cli/azd/extensions/azure.ai.agents/internal/pkg/agents/agent_api/managed_operations.go</w:t>
      </w:r>
      <w:r>
        <w:t xml:space="preserve"> — </w:t>
      </w:r>
      <w:r>
        <w:rPr>
          <w:rFonts w:ascii="Consolas" w:hAnsi="Consolas"/>
          <w:sz w:val="20"/>
        </w:rPr>
        <w:t>ManagedAgentClient</w:t>
      </w:r>
      <w:r>
        <w:t xml:space="preserve"> + </w:t>
      </w:r>
      <w:r>
        <w:rPr>
          <w:rFonts w:ascii="Consolas" w:hAnsi="Consolas"/>
          <w:sz w:val="20"/>
        </w:rPr>
        <w:t>BuildWorkspaceRoutePrefix</w:t>
      </w:r>
      <w:r>
        <w:t>.</w:t>
      </w:r>
    </w:p>
    <w:p>
      <w:pPr>
        <w:pStyle w:val="ListBullet"/>
      </w:pPr>
      <w:r/>
      <w:r>
        <w:rPr>
          <w:rFonts w:ascii="Consolas" w:hAnsi="Consolas"/>
          <w:sz w:val="20"/>
        </w:rPr>
        <w:t>cli/azd/extensions/azure.ai.agents/internal/cmd/init.go</w:t>
      </w:r>
      <w:r>
        <w:t xml:space="preserve"> — kind prompt insertion site.</w:t>
      </w:r>
    </w:p>
    <w:p>
      <w:pPr>
        <w:pStyle w:val="ListBullet"/>
      </w:pPr>
      <w:r/>
      <w:r>
        <w:rPr>
          <w:rFonts w:ascii="Consolas" w:hAnsi="Consolas"/>
          <w:sz w:val="20"/>
        </w:rPr>
        <w:t>cli/azd/extensions/azure.ai.agents/internal/cmd/init_from_templates_helpers.go</w:t>
      </w:r>
      <w:r>
        <w:t xml:space="preserve"> — </w:t>
      </w:r>
      <w:r>
        <w:rPr>
          <w:rFonts w:ascii="Consolas" w:hAnsi="Consolas"/>
          <w:sz w:val="20"/>
        </w:rPr>
        <w:t>promptAgentKind</w:t>
      </w:r>
      <w:r>
        <w:t>.</w:t>
      </w:r>
    </w:p>
    <w:p>
      <w:pPr>
        <w:pStyle w:val="ListBullet"/>
      </w:pPr>
      <w:r/>
      <w:r>
        <w:rPr>
          <w:rFonts w:ascii="Consolas" w:hAnsi="Consolas"/>
          <w:sz w:val="20"/>
        </w:rPr>
        <w:t>cli/azd/extensions/azure.ai.agents/internal/cmd/init_managed.go</w:t>
      </w:r>
      <w:r>
        <w:t xml:space="preserve"> — </w:t>
      </w:r>
      <w:r>
        <w:rPr>
          <w:rFonts w:ascii="Consolas" w:hAnsi="Consolas"/>
          <w:sz w:val="20"/>
        </w:rPr>
        <w:t>runInitManaged</w:t>
      </w:r>
      <w:r>
        <w:t xml:space="preserve"> scaffolding.</w:t>
      </w:r>
    </w:p>
    <w:p>
      <w:pPr>
        <w:pStyle w:val="ListBullet"/>
      </w:pPr>
      <w:r/>
      <w:r>
        <w:rPr>
          <w:rFonts w:ascii="Consolas" w:hAnsi="Consolas"/>
          <w:sz w:val="20"/>
        </w:rPr>
        <w:t>cli/azd/extensions/azure.ai.agents/internal/cmd/managed_dispatch.go</w:t>
      </w:r>
      <w:r>
        <w:t xml:space="preserve"> — dispatch helpers + env-var constants.</w:t>
      </w:r>
    </w:p>
    <w:p>
      <w:pPr>
        <w:pStyle w:val="ListBullet"/>
      </w:pPr>
      <w:r/>
      <w:r>
        <w:rPr>
          <w:rFonts w:ascii="Consolas" w:hAnsi="Consolas"/>
          <w:sz w:val="20"/>
        </w:rPr>
        <w:t>cli/azd/extensions/azure.ai.agents/internal/cmd/delete.go</w:t>
      </w:r>
      <w:r>
        <w:t xml:space="preserve"> — </w:t>
      </w:r>
      <w:r>
        <w:rPr>
          <w:rFonts w:ascii="Consolas" w:hAnsi="Consolas"/>
          <w:sz w:val="20"/>
        </w:rPr>
        <w:t>runManagedDelete</w:t>
      </w:r>
      <w:r>
        <w:t>.</w:t>
      </w:r>
    </w:p>
    <w:p>
      <w:pPr>
        <w:pStyle w:val="ListBullet"/>
      </w:pPr>
      <w:r/>
      <w:r>
        <w:rPr>
          <w:rFonts w:ascii="Consolas" w:hAnsi="Consolas"/>
          <w:sz w:val="20"/>
        </w:rPr>
        <w:t>cli/azd/extensions/azure.ai.agents/internal/cmd/project_endpoint.go</w:t>
      </w:r>
      <w:r>
        <w:t xml:space="preserve"> — </w:t>
      </w:r>
      <w:r>
        <w:rPr>
          <w:rFonts w:ascii="Consolas" w:hAnsi="Consolas"/>
          <w:sz w:val="20"/>
        </w:rPr>
        <w:t>AZD_FOUNDRY_ENDPOINT_OVERRIDE</w:t>
      </w:r>
      <w:r>
        <w:t xml:space="preserve"> bypass.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pPr>
    <w:rPr>
      <w:rFonts w:ascii="Consolas" w:hAnsi="Consolas"/>
      <w:color w:val="1F1F1F"/>
      <w:sz w:val="18"/>
    </w:rPr>
  </w:style>
  <w:style w:type="character" w:customStyle="1" w:styleId="InlineCode">
    <w:name w:val="Inline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