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Chuyên sâu: Đánh giá Năng lực, Khung Nhất quán Logic và Đề xuất Tối ưu hóa Kiến trúc Dự báo cho Mô hình Ngôn ngữ Lớn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Mở đầu và Đặt vấn đề Nhận thức luận trong Dự báo Trí tuệ Nhân tạo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trỗi dậy của các Mô hình Ngôn ngữ Lớn (Large Language Models - LLM) đã dịch chuyển ranh giới của trí tuệ nhân tạo từ việc xử lý ngôn ngữ tự nhiên đơn thuần sang các lĩnh vực đòi hỏi khả năng suy luận nhận thức phức tạp, trong đó nổi bật nhất là công tác dự báo tương lai (forecasting). Lĩnh vực dự báo đặt ra một thách thức nhận thức luận mang tính cốt lõi: dữ liệu thực tế (ground truth) để xác thực tính đúng đắn của một dự đoán chỉ có thể tồn tại ở thì tương lai.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các hệ thống như nền tảng Metaculus hay Manifold Markets ghi nhận khả năng dự báo của LLM đang tiến sát, thậm chí vượt qua mức độ trung bình của chuyên gia con người, cộng đồng nghiên cứu đối mặt với một nút thắt cổ chai trong quy trình kiểm định. Cụ thể, làm thế nào để chuẩn hóa, định lượng và đánh giá năng lực của một "nhà dự báo nhân tạo" ngay tại thời điểm hiện tại mà không cần chờ đợi sự kiện xảy 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cấp thiết của vấn đề này càng được khuếch đại khi áp dụng vào các khung thời gian dài hạn, chẳng hạn như bộ dữ liệu dự báo cho năm 2028, nơi việc sử dụng phương pháp kiểm thử ngược (backtesting) truyền thống mang lại rủi ro rò rỉ dữ liệu (data contamination) nghiêm trọng.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bài toán này, khung lý thuyết về tính nhất quán logic (logical consistency) đã được đưa ra như một thước đo thay thế (proxy) gián tiếp nhưng vô cùng mạnh mẽ. Triết lý nền tảng của khung đánh giá này dựa trên tiên đề rằng một hệ thống sở hữu năng lực dự báo tiệm cận sự thật bắt buộc phải duy trì một "thế giới quan thống nhất" về mặt toán học.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Thông qua việc phân tích lại toàn bộ kết quả thực nghiệm từ hệ thống mã nguồn dự án, kết hợp với các dữ liệu trích xuất từ báo cáo gốc và tệp lưu trữ kết quả phân tích, báo cáo này sẽ tiến hành đối chiếu toàn diện các chỉ số. Đồng thời, quá trình phân tích sẽ đi sâu vào việc giải phẫu các rào cản kinh tế và kỹ thuật trong các đề xuất cải tiến trước đó, từ đó vạch ra một kiến trúc kết hợp (hybrid) tối ưu nhất nhằm giải quyết triệt để sự đánh đổi giữa chi phí tính toán, độ chính xác và tính nhất quán toán học của các siêu mô hình dự báo.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Giải phẫu Khung Lý thuyết Toán học và Cấu trúc Dữ liệu Đánh giá</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đánh giá sự nhất quán không chỉ đơn thuần là xem xét các câu trả lời dạng văn bản, mà đòi hỏi một sự chuyển đổi nghiêm ngặt từ ngôn ngữ học sang không gian xác suất và tối ưu hóa vi mô. Khung lý thuyết này quy định chặt chẽ cách thức một thực thể AI tương tác với các biến cố tương lai và cách thức các mâu thuẫn nội tại bị trừng phạt bằng các số đo kinh tế học.</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Nền tảng Xác suất và Định nghĩa Hệ thống Dự báo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toán học khởi đầu bằng việc giới hạn không gian khảo sát vào tập hợp các câu hỏi dự báo nhị phân (binary forecasting questions), ký hiệu là </w:t>
      </w:r>
      <w:r w:rsidDel="00000000" w:rsidR="00000000" w:rsidRPr="00000000">
        <w:rPr>
          <w:rFonts w:ascii="Google Sans" w:cs="Google Sans" w:eastAsia="Google Sans" w:hAnsi="Google Sans"/>
          <w:color w:val="1f1f1f"/>
        </w:rPr>
        <w:drawing>
          <wp:inline distB="19050" distT="19050" distL="19050" distR="19050">
            <wp:extent cx="435054" cy="244241"/>
            <wp:effectExtent b="0" l="0" r="0" t="0"/>
            <wp:docPr id="46"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35054" cy="244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không gian này, mỗi sự kiện chỉ có hai trạng thái kết thúc duy nhất: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48"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(Đúng/Xảy ra) hoặc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47"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(Sai/Không xảy ra). Đối với các câu hỏi mang tính điều kiện (ví dụ: "Nếu ứng viên A được đề cử, liệu đảng B có giành chiến thắng?"), tập kết quả được mở rộng thêm trạng thái </w:t>
      </w:r>
      <w:r w:rsidDel="00000000" w:rsidR="00000000" w:rsidRPr="00000000">
        <w:rPr>
          <w:rFonts w:ascii="Google Sans" w:cs="Google Sans" w:eastAsia="Google Sans" w:hAnsi="Google Sans"/>
          <w:color w:val="1f1f1f"/>
        </w:rPr>
        <w:drawing>
          <wp:inline distB="19050" distT="19050" distL="19050" distR="19050">
            <wp:extent cx="482798" cy="245231"/>
            <wp:effectExtent b="0" l="0" r="0" t="0"/>
            <wp:docPr id="50"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482798" cy="245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xử lý các kịch bản mà điều kiện tiên quyết không được thỏa mãn.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"Nhà dự báo" (Forecaster), ký hiệu là </w:t>
      </w:r>
      <w:r w:rsidDel="00000000" w:rsidR="00000000" w:rsidRPr="00000000">
        <w:rPr>
          <w:rFonts w:ascii="Google Sans" w:cs="Google Sans" w:eastAsia="Google Sans" w:hAnsi="Google Sans"/>
          <w:color w:val="1f1f1f"/>
        </w:rPr>
        <w:drawing>
          <wp:inline distB="19050" distT="19050" distL="19050" distR="19050">
            <wp:extent cx="153233" cy="245173"/>
            <wp:effectExtent b="0" l="0" r="0" t="0"/>
            <wp:docPr id="4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53233" cy="245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nghĩa là một hàm ánh xạ $F: Prop \rightarrow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Nghĩa là, đối với bất kỳ biến cố tương lai nào được nạp vào, mô hình phải sinh ra một xác suất liên tục biểu thị mức độ tự tin. Hàm kết quả thực tế </w:t>
      </w:r>
      <w:r w:rsidDel="00000000" w:rsidR="00000000" w:rsidRPr="00000000">
        <w:rPr>
          <w:rFonts w:ascii="Google Sans" w:cs="Google Sans" w:eastAsia="Google Sans" w:hAnsi="Google Sans"/>
          <w:color w:val="1f1f1f"/>
        </w:rPr>
        <w:drawing>
          <wp:inline distB="19050" distT="19050" distL="19050" distR="19050">
            <wp:extent cx="97274" cy="259397"/>
            <wp:effectExtent b="0" l="0" r="0" t="0"/>
            <wp:docPr id="54"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7274" cy="259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đóng vai trò là nhãn dữ liệu tuyệt đối (ground truth) khi sự kiện kết thúc, trả về giá trị 1 cho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53"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0 cho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59"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Điểm lõi của lý thuyết nằm ở mối quan hệ ràng buộc kép: giữa tập hợp các câu hỏi </w:t>
      </w:r>
      <w:r w:rsidDel="00000000" w:rsidR="00000000" w:rsidRPr="00000000">
        <w:rPr>
          <w:rFonts w:ascii="Google Sans" w:cs="Google Sans" w:eastAsia="Google Sans" w:hAnsi="Google Sans"/>
          <w:color w:val="1f1f1f"/>
        </w:rPr>
        <w:drawing>
          <wp:inline distB="19050" distT="19050" distL="19050" distR="19050">
            <wp:extent cx="831294" cy="246309"/>
            <wp:effectExtent b="0" l="0" r="0" t="0"/>
            <wp:docPr id="57"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831294" cy="246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tồn tại một mối quan hệ logic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6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(ví dụ: quy tắc phủ định, quy tắc hệ quả), thì kéo theo đó, các xác suất đầu ra do </w:t>
      </w:r>
      <w:r w:rsidDel="00000000" w:rsidR="00000000" w:rsidRPr="00000000">
        <w:rPr>
          <w:rFonts w:ascii="Google Sans" w:cs="Google Sans" w:eastAsia="Google Sans" w:hAnsi="Google Sans"/>
          <w:color w:val="1f1f1f"/>
        </w:rPr>
        <w:drawing>
          <wp:inline distB="19050" distT="19050" distL="19050" distR="19050">
            <wp:extent cx="153233" cy="245173"/>
            <wp:effectExtent b="0" l="0" r="0" t="0"/>
            <wp:docPr id="60"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53233" cy="245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sinh ra phải tuân thủ một phương trình ràng buộc toán học tương ứng </w:t>
      </w:r>
      <w:r w:rsidDel="00000000" w:rsidR="00000000" w:rsidRPr="00000000">
        <w:rPr>
          <w:rFonts w:ascii="Google Sans" w:cs="Google Sans" w:eastAsia="Google Sans" w:hAnsi="Google Sans"/>
          <w:color w:val="1f1f1f"/>
        </w:rPr>
        <w:drawing>
          <wp:inline distB="19050" distT="19050" distL="19050" distR="19050">
            <wp:extent cx="131326" cy="247202"/>
            <wp:effectExtent b="0" l="0" r="0" t="0"/>
            <wp:docPr id="62"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31326" cy="247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Sự vi phạm mệnh đề </w:t>
      </w:r>
      <w:r w:rsidDel="00000000" w:rsidR="00000000" w:rsidRPr="00000000">
        <w:rPr>
          <w:rFonts w:ascii="Google Sans" w:cs="Google Sans" w:eastAsia="Google Sans" w:hAnsi="Google Sans"/>
          <w:color w:val="1f1f1f"/>
        </w:rPr>
        <w:drawing>
          <wp:inline distB="19050" distT="19050" distL="19050" distR="19050">
            <wp:extent cx="820102" cy="245264"/>
            <wp:effectExtent b="0" l="0" r="0" t="0"/>
            <wp:docPr id="65"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820102" cy="245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chính là lỗ hổng nhận thức của mô hình.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Sự trừng phạt Mâu thuẫn thông qua Số đo Trọng tài Thương mại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lượng hóa mức độ vi phạm, hệ thống không sử dụng các khoảng cách hình học chuẩn (như L1 hay L2) mà áp dụng "Số đo Trọng tài Thương mại" (Arbitrage Metric), ký hiệu là </w:t>
      </w:r>
      <w:r w:rsidDel="00000000" w:rsidR="00000000" w:rsidRPr="00000000">
        <w:rPr>
          <w:rFonts w:ascii="Google Sans" w:cs="Google Sans" w:eastAsia="Google Sans" w:hAnsi="Google Sans"/>
          <w:color w:val="1f1f1f"/>
        </w:rPr>
        <w:drawing>
          <wp:inline distB="19050" distT="19050" distL="19050" distR="19050">
            <wp:extent cx="139184" cy="216509"/>
            <wp:effectExtent b="0" l="0" r="0" t="0"/>
            <wp:docPr id="6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9184" cy="21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Phương pháp này vay mượn trực tiếp từ định lý Dutch Book trong kinh tế học hành vi và lý thuyết trò chơi.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Nếu hệ thống niềm tin của LLM chứa đựng mâu thuẫn (ví dụ: dự đoán Đảng Dân chủ thắng 60% và Đảng Cộng hòa thắng 60% trong cùng một cuộc bầu cử tổng thống Mỹ)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nhà kinh doanh cơ hội (arbitrageur) có thể thiết lập một ma trận giao dịch mua bán chéo chống lại LLM. Ma trận này đảm bảo nhà đầu tư thu được lợi nhuận ròng dương trong mọi kịch bản kết quả </w:t>
      </w:r>
      <w:r w:rsidDel="00000000" w:rsidR="00000000" w:rsidRPr="00000000">
        <w:rPr>
          <w:rFonts w:ascii="Google Sans" w:cs="Google Sans" w:eastAsia="Google Sans" w:hAnsi="Google Sans"/>
          <w:color w:val="1f1f1f"/>
        </w:rPr>
        <w:drawing>
          <wp:inline distB="19050" distT="19050" distL="19050" distR="19050">
            <wp:extent cx="510064" cy="243613"/>
            <wp:effectExtent b="0" l="0" r="0" t="0"/>
            <wp:docPr id="69"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10064" cy="243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w:t>
      </w:r>
      <w:r w:rsidDel="00000000" w:rsidR="00000000" w:rsidRPr="00000000">
        <w:rPr>
          <w:rFonts w:ascii="Google Sans" w:cs="Google Sans" w:eastAsia="Google Sans" w:hAnsi="Google Sans"/>
          <w:color w:val="1f1f1f"/>
        </w:rPr>
        <w:drawing>
          <wp:inline distB="19050" distT="19050" distL="19050" distR="19050">
            <wp:extent cx="141565" cy="243807"/>
            <wp:effectExtent b="0" l="0" r="0" t="0"/>
            <wp:docPr id="71"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41565" cy="243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tập hợp tất cả các kịch bản logic hợp lệ) mà không phải chịu bất kỳ rủi ro tài chính nào.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tồn tại của một "cỗ máy bào tiền" (money pump) như vậy minh chứng cho tính phi duy lý của AI.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ngăn chặn việc lợi nhuận tiến đến vô cực khi mô hình đưa ra các xác suất tiệm cận biên, thuật toán tích hợp cơ chế Tạo lập thị trường Logarit (Logarithmic Market Maker - LMSR).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Công thức tối ưu hóa vi phân được thiết lập: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25392"/>
            <wp:effectExtent b="0" l="0" r="0" t="0"/>
            <wp:docPr id="73"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5905500" cy="102539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sử dụng lôgarit tự nhiên (</w:t>
      </w:r>
      <w:r w:rsidDel="00000000" w:rsidR="00000000" w:rsidRPr="00000000">
        <w:rPr>
          <w:rFonts w:ascii="Google Sans" w:cs="Google Sans" w:eastAsia="Google Sans" w:hAnsi="Google Sans"/>
          <w:color w:val="1f1f1f"/>
        </w:rPr>
        <w:drawing>
          <wp:inline distB="19050" distT="19050" distL="19050" distR="19050">
            <wp:extent cx="163473" cy="241317"/>
            <wp:effectExtent b="0" l="0" r="0" t="0"/>
            <wp:docPr id="74"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163473" cy="241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thay vì cơ số 10 mang lại các đặc tính đạo hàm quan trọng.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Đạo hàm của hàm lôgarit tự nhiên tạo ra độ dốc tiến về vô cực khi xác suất dự báo tiếp cận 0 hoặc 1. Điều này đồng nghĩa với việc Số đo Trọng tài cực kỳ nhạy cảm và trừng phạt vô cùng khắc nghiệt đối với các lỗi "tự tin thái quá nhưng sai logic" (overconfident logical violations).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Ngưỡng vi phạm được quy chuẩn tại </w:t>
      </w:r>
      <w:r w:rsidDel="00000000" w:rsidR="00000000" w:rsidRPr="00000000">
        <w:rPr>
          <w:rFonts w:ascii="Google Sans" w:cs="Google Sans" w:eastAsia="Google Sans" w:hAnsi="Google Sans"/>
          <w:color w:val="1f1f1f"/>
        </w:rPr>
        <w:drawing>
          <wp:inline distB="19050" distT="19050" distL="19050" distR="19050">
            <wp:extent cx="767477" cy="243161"/>
            <wp:effectExtent b="0" l="0" r="0" t="0"/>
            <wp:docPr id="75"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767477" cy="243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đương với mức chênh lệch xác suất khoảng 10% trong một cặp phương trình đối ngẫu.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Dòng tiền lời </w:t>
      </w:r>
      <w:r w:rsidDel="00000000" w:rsidR="00000000" w:rsidRPr="00000000">
        <w:rPr>
          <w:rFonts w:ascii="Google Sans" w:cs="Google Sans" w:eastAsia="Google Sans" w:hAnsi="Google Sans"/>
          <w:color w:val="1f1f1f"/>
        </w:rPr>
        <w:drawing>
          <wp:inline distB="19050" distT="19050" distL="19050" distR="19050">
            <wp:extent cx="139184" cy="216509"/>
            <wp:effectExtent b="0" l="0" r="0" t="0"/>
            <wp:docPr id="7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9184" cy="21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lớn nhất mà nhà kinh doanh chắc chắn rút ra được từ mô hình chính là điểm số vi phạm toán học phản ánh trực tiếp lỗ hổng tư duy của nó.</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Cân bằng Phân phối qua Số đo Tần suất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song với thước đo kinh tế, báo cáo gốc cũng thiết lập "Số đo Tần suất" (Frequentist Metric) dựa trên giả thuyết Không (Null Hypothesis) và mô phỏng Monte Carlo.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Giả định rằng LLM hoạt động như một cỗ máy lấy mẫu thế giới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3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lần, phân phối của các dự đoán sẽ tuân theo phân phối chuẩn Gaussian theo định lý giới hạn trung tâm. Số đo Tần suất giúp xác định xem sự lệch chuẩn của các phương trình logic là do nhiễu ngẫu nhiên cơ bản (có thể chấp nhận được) hay do sự sụp đổ thực sự trong hệ thống niềm tin của mô hình, được tính toán thông qua số lượng độ lệch chuẩn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3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118943" cy="253746"/>
            <wp:effectExtent b="0" l="0" r="0" t="0"/>
            <wp:docPr id="3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18943" cy="253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chệch khỏi đường trung bình.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tích hợp số đo này làm giảm sự trừng phạt cục đoan của Arbitrage Metric trước các dao động vi phân nhỏ.</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Khung Dữ liệu và Thiết kế Cơ chế "Mù Cục bộ"</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tự động hóa (pipeline) đòi hỏi một cấu trúc siêu dữ liệu (metadata) tinh vi để đảm bảo tính minh bạch trong việc tái tạo thực nghiệm. Mã nguồn lưu trữ các thành phần từ tập dữ liệu Scraped (dữ liệu thật cào từ các sàn dự báo, hoàn tất trước tháng 8/2024 nhằm chống rò rỉ), NewsAPI (dữ liệu tin tức thời sự tự động tạo ra bởi GPT-4o), và một bộ chuẩn mực dài hạn nhắm tới mốc 2028.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dữ liệu phân định rạch ròi giữa việc "Validation" (kiểm tra định dạng kiểu JSONL bằng các pre-commit hooks) và "Verification" (kiểm tra tính hợp lệ về mặt ngữ nghĩa thông qua bộ đánh giá LLM). Các đối tượng câu hỏi (Forecasting Question) chứa các trường dữ liệu phong phú như title, body, resolution date, và nhãn resolution thực tế.</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triết lý thiết kế cốt lõi của toàn bộ quá trình khai thác dự báo (eliciting forecasts) là </w:t>
      </w:r>
      <w:r w:rsidDel="00000000" w:rsidR="00000000" w:rsidRPr="00000000">
        <w:rPr>
          <w:rFonts w:ascii="Google Sans" w:cs="Google Sans" w:eastAsia="Google Sans" w:hAnsi="Google Sans"/>
          <w:b w:val="1"/>
          <w:bCs w:val="1"/>
          <w:color w:val="1f1f1f"/>
          <w:rtl w:val="0"/>
        </w:rPr>
        <w:t xml:space="preserve">"Nguyên tắc Hộp đen Cục bộ" (Local Blind Querying)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thống chỉ cung cấp cho mô hình phần tiêu đề và nội dung phân định tiêu chuẩn mà không hề đính kèm bất kỳ thông tin nào về các mối quan hệ logic hoặc dữ liệu trước đó.</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Mô hình bị xé lẻ vào các luồng gọi API hoàn toàn độc lập, buộc nó phải xử lý câu </w:t>
      </w: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3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câu </w:t>
      </w:r>
      <w:r w:rsidDel="00000000" w:rsidR="00000000" w:rsidRPr="00000000">
        <w:rPr>
          <w:rFonts w:ascii="Google Sans" w:cs="Google Sans" w:eastAsia="Google Sans" w:hAnsi="Google Sans"/>
          <w:color w:val="1f1f1f"/>
        </w:rPr>
        <w:drawing>
          <wp:inline distB="19050" distT="19050" distL="19050" distR="19050">
            <wp:extent cx="283726" cy="245385"/>
            <wp:effectExtent b="0" l="0" r="0" t="0"/>
            <wp:docPr id="3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83726" cy="24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sự cô lập tuyệt đối.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Cơ chế này đảm bảo mô hình không thể "giả vờ" tìm cách sửa lỗi thủ công trong bối cảnh hội thoại (context window), từ đó phản chiếu chính xác nhất trạng thái phân bố xác suất nội tại của kiến trúc Transformer.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Đối chiếu Chi tiết Kết quả Thực thi và Phân tích Hệ quả Toán học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phân tích thực chứng của báo cáo này được xây dựng dựa trên việc trích xuất và đối chiếu toàn bộ dữ liệu từ sổ tay Jupyter Notebook (results_analysis.ipynb) với kết quả của nghiên cứu nền tảng.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Quá trình này không chỉ tái khẳng định các số liệu định lượng mà còn bóc tách sâu sắc hơn về hành vi của các tác tử ngôn ngữ trong không gian đa chiều.</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Phân tích Tương quan Tuyến tính và Độ sai lệch Dự báo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Mục tiêu tối thượng của khung lý thuyết là chứng minh rằng điểm số vi phạm toán học có thể được sử dụng làm biến đại diện (proxy) cho sai số dự báo thực tế.</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Sai số này được lượng hóa thông qua Brier Score (</w:t>
      </w:r>
      <w:r w:rsidDel="00000000" w:rsidR="00000000" w:rsidRPr="00000000">
        <w:rPr>
          <w:rFonts w:ascii="Google Sans" w:cs="Google Sans" w:eastAsia="Google Sans" w:hAnsi="Google Sans"/>
          <w:color w:val="1f1f1f"/>
        </w:rPr>
        <w:drawing>
          <wp:inline distB="19050" distT="19050" distL="19050" distR="19050">
            <wp:extent cx="280035" cy="248920"/>
            <wp:effectExtent b="0" l="0" r="0" t="0"/>
            <wp:docPr id="4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80035" cy="248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thang đo hình phạt bình phương đối với các dự đoán xác suất, trong đó điểm </w:t>
      </w:r>
      <w:r w:rsidDel="00000000" w:rsidR="00000000" w:rsidRPr="00000000">
        <w:rPr>
          <w:rFonts w:ascii="Google Sans" w:cs="Google Sans" w:eastAsia="Google Sans" w:hAnsi="Google Sans"/>
          <w:color w:val="1f1f1f"/>
        </w:rPr>
        <w:drawing>
          <wp:inline distB="19050" distT="19050" distL="19050" distR="19050">
            <wp:extent cx="280035" cy="248920"/>
            <wp:effectExtent b="0" l="0" r="0" t="0"/>
            <wp:docPr id="4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80035" cy="248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càng thấp đồng nghĩa với mức độ hội tụ về chân lý càng cao.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Quá trình nạp và xử lý dữ liệu thông qua các hàm như extract_all_metrics, get_brier_score_metrics, và get_consistency_metrics đã loại bỏ các mô hình cơ sở yếu (như dòng hiệu chuẩn CF) nhằm duy trì độ tinh khiết của không gian đánh giá đối với các LLM nền tảng.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tính toán hệ số tương quan Pearson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4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xác nhận một quy luật dương tính mạnh mẽ, dao động trong biên độ </w:t>
      </w:r>
      <w:r w:rsidDel="00000000" w:rsidR="00000000" w:rsidRPr="00000000">
        <w:rPr>
          <w:rFonts w:ascii="Google Sans" w:cs="Google Sans" w:eastAsia="Google Sans" w:hAnsi="Google Sans"/>
          <w:color w:val="1f1f1f"/>
        </w:rPr>
        <w:drawing>
          <wp:inline distB="19050" distT="19050" distL="19050" distR="19050">
            <wp:extent cx="661868" cy="246277"/>
            <wp:effectExtent b="0" l="0" r="0" t="0"/>
            <wp:docPr id="44"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661868" cy="246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661868" cy="246277"/>
            <wp:effectExtent b="0" l="0" r="0" t="0"/>
            <wp:docPr id="45"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661868" cy="246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giữa Điểm Brier tổng hợp và Mức độ vi phạm logic tổng hợp (Aggregated Violation).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Điều này mang một hàm ý sâu sắc: những hệ thống biểu diễn ngôn ngữ có khả năng tư duy liền mạch, tự nhận thức được các giới hạn của mệnh đề loại trừ lẫn nhau, cũng chính là những hệ thống ánh xạ thông tin thế giới thực một cách chuẩn xác nhất.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tương quan này đánh dấu một bước đột phá trong kỹ thuật đánh giá AI, cho phép cộng đồng đo lường hiệu suất dự báo của một mô hình chỉ bằng cách đặt ra các câu hỏi giả định và chấm điểm sự mạch lạc nội tại của nó, triệt tiêu hoàn toàn sự phụ thuộc vào mũi tên thời gian.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Cấu trúc Hình học của Phân cụm Mô hình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trực quan hóa dữ liệu qua biểu đồ phân tán (scatter plot) kết nối trục hoành Brier Score và trục tung Aggregated Consistency Violation, các điểm dữ liệu không phân bố ngẫu nhiên mà hình thành hai cụm hình học rõ nét, phản ánh trực tiếp sự phân hóa cấu trúc vi mô của mô hình.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Vùng Hội tụ Siêu việt (Góc dưới - trái):</w:t>
      </w:r>
      <w:r w:rsidDel="00000000" w:rsidR="00000000" w:rsidRPr="00000000">
        <w:rPr>
          <w:rFonts w:ascii="Google Sans" w:cs="Google Sans" w:eastAsia="Google Sans" w:hAnsi="Google Sans"/>
          <w:color w:val="1f1f1f"/>
          <w:rtl w:val="0"/>
        </w:rPr>
        <w:t xml:space="preserve"> Vùng này bị thống trị bởi các kiến trúc mô hình ứng dụng Suy luận Từng bước (Chain-of-Thought - CoT), tiêu biểu như CoT-o1-preview, CoT-o1-mini, CoT-Claude-3.5-Sonnet.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hiện diện của cơ chế CoT đóng vai trò như một màng lọc trung gian (buffer zone). Thay vì ép mạng nơ-ron phải ánh xạ trực tiếp từ câu hỏi ra một giá trị float tĩnh, CoT tạo ra một không gian tư duy tạm thời (scratchpad), cho phép mô hình bóc tách các giả định ẩn, kiểm chứng bối cảnh, và dàn phẳng các nhiễu loạn ngữ nghĩa.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Quá trình lập luận này giúp kiến trúc tự điều chỉnh các mức độ tự tin tiệm cận sát hơn với các phân phối Bayes lý tưởng, dẫn đến việc tối thiểu hóa cả sai số dự báo thực tế lẫn điểm phạt Arbitrage.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Vùng Phân kỳ Yếu thế (Góc trên - phải):</w:t>
      </w:r>
      <w:r w:rsidDel="00000000" w:rsidR="00000000" w:rsidRPr="00000000">
        <w:rPr>
          <w:rFonts w:ascii="Google Sans" w:cs="Google Sans" w:eastAsia="Google Sans" w:hAnsi="Google Sans"/>
          <w:color w:val="1f1f1f"/>
          <w:rtl w:val="0"/>
        </w:rPr>
        <w:t xml:space="preserve"> Đây là nơi tập trung của các mô hình kích thước nhỏ hoặc các kiến trúc sinh trực tiếp không qua suy luận phụ trợ (Basic Forecasters), chẳng hạn như GPT-4o-mini hay các nhánh cơ bản của Llama-3.1.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Đặc tính của cụm này là sự bùng nổ đồng thời của sai số dự báo và sự sụp đổ của các hàm toán học ràng buộc. Các mô hình này thường xuyên đưa ra các xác suất tiệm cận biên một cách tự tin nhưng hoàn toàn cảm tính (đoán mò), khiến đường cong Logarithmic Market Maker trừng phạt cực kỳ nặng nề.</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Giải phẫu Lỗ hổng Logic qua Các Quy tắc Kiểm toán Chuyên sâu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sâu hơn độ phân giải của dữ liệu thông qua ma trận nhiệt (heatmap) và các bảng chi tiết vi phạm cho 10 quy tắc toán học (như NEGATION, PARAPHRASE, CONSEQUENCE, AND, OR, EXPEVIDENCE, v.v.).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bóc tách từng quy tắc đã phơi bày những giới hạn bản thể của ngay cả các mô hình được xem là tiên tiến nhất.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Thống trị của Xác suất Điều kiện (COND và CONDCOND)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điểm sáng lớn trong dữ liệu là sự tương quan cực đại được ghi nhận tại quy tắc Xác suất điều kiện (COND) và Điều kiện lồng nhau (CONDCOND). Các quy tắc này bắt buộc mô hình phải duy trì một phương trình đẳng thức cân bằng giữa ba thành tố: xác suất biên của sự kiện điều kiện </w:t>
      </w:r>
      <w:r w:rsidDel="00000000" w:rsidR="00000000" w:rsidRPr="00000000">
        <w:rPr>
          <w:rFonts w:ascii="Google Sans" w:cs="Google Sans" w:eastAsia="Google Sans" w:hAnsi="Google Sans"/>
          <w:color w:val="1f1f1f"/>
        </w:rPr>
        <w:drawing>
          <wp:inline distB="19050" distT="19050" distL="19050" distR="19050">
            <wp:extent cx="458867" cy="244729"/>
            <wp:effectExtent b="0" l="0" r="0" t="0"/>
            <wp:docPr id="1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58867" cy="2447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xác suất giả định </w:t>
      </w:r>
      <w:r w:rsidDel="00000000" w:rsidR="00000000" w:rsidRPr="00000000">
        <w:rPr>
          <w:rFonts w:ascii="Google Sans" w:cs="Google Sans" w:eastAsia="Google Sans" w:hAnsi="Google Sans"/>
          <w:color w:val="1f1f1f"/>
        </w:rPr>
        <w:drawing>
          <wp:inline distB="19050" distT="19050" distL="19050" distR="19050">
            <wp:extent cx="668417" cy="245854"/>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68417" cy="245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xác suất đồng thời </w:t>
      </w:r>
      <w:r w:rsidDel="00000000" w:rsidR="00000000" w:rsidRPr="00000000">
        <w:rPr>
          <w:rFonts w:ascii="Google Sans" w:cs="Google Sans" w:eastAsia="Google Sans" w:hAnsi="Google Sans"/>
          <w:color w:val="1f1f1f"/>
        </w:rPr>
        <w:drawing>
          <wp:inline distB="19050" distT="19050" distL="19050" distR="19050">
            <wp:extent cx="831533" cy="246380"/>
            <wp:effectExtent b="0" l="0" r="0" t="0"/>
            <wp:docPr id="1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831533" cy="24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tuân theo quy tắc </w:t>
      </w:r>
      <w:r w:rsidDel="00000000" w:rsidR="00000000" w:rsidRPr="00000000">
        <w:rPr>
          <w:rFonts w:ascii="Google Sans" w:cs="Google Sans" w:eastAsia="Google Sans" w:hAnsi="Google Sans"/>
          <w:color w:val="1f1f1f"/>
        </w:rPr>
        <w:drawing>
          <wp:inline distB="19050" distT="19050" distL="19050" distR="19050">
            <wp:extent cx="2361609" cy="243779"/>
            <wp:effectExtent b="0" l="0" r="0" t="0"/>
            <wp:docPr id="1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2361609" cy="243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số tương quan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đạt tới mức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20"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tập Scraped và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2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tập NewsAPI đối với các quy tắc này.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thành công trong bài kiểm tra COND chứng tỏ mô hình không thực hiện việc nối chữ cơ học mà thực sự sở hữu một "Thế giới quan Thống nhất" (Coherent World Model). Nó phải hiểu sâu sắc mức độ phụ thuộc nhân quả giữa các sự kiện vĩ mô, từ đó cung cấp bằng chứng thuyết phục nhất rằng tính nhất quán có thể đại diện trực tiếp cho chất lượng tư duy dự báo.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Bẫy Từ vựng và Nghịch lý Quy tắc Phủ định (NEGATION)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Ngược lại với tính ổn định của COND, dữ liệu phơi bày một nghịch lý toán học tại quy tắc Phủ định (</w:t>
      </w:r>
      <w:r w:rsidDel="00000000" w:rsidR="00000000" w:rsidRPr="00000000">
        <w:rPr>
          <w:rFonts w:ascii="Google Sans" w:cs="Google Sans" w:eastAsia="Google Sans" w:hAnsi="Google Sans"/>
          <w:color w:val="1f1f1f"/>
        </w:rPr>
        <w:drawing>
          <wp:inline distB="19050" distT="19050" distL="19050" distR="19050">
            <wp:extent cx="1647234" cy="244035"/>
            <wp:effectExtent b="0" l="0" r="0" t="0"/>
            <wp:docPr id="22"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647234" cy="2440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tập dữ liệu NewsAPI. Tại đây, hệ số tương quan của NEGATION bất ngờ ghi nhận giá trị âm (</w:t>
      </w:r>
      <w:r w:rsidDel="00000000" w:rsidR="00000000" w:rsidRPr="00000000">
        <w:rPr>
          <w:rFonts w:ascii="Google Sans" w:cs="Google Sans" w:eastAsia="Google Sans" w:hAnsi="Google Sans"/>
          <w:color w:val="1f1f1f"/>
        </w:rPr>
        <w:drawing>
          <wp:inline distB="19050" distT="19050" distL="19050" distR="19050">
            <wp:extent cx="912376" cy="243300"/>
            <wp:effectExtent b="0" l="0" r="0" t="0"/>
            <wp:docPr id="23"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912376" cy="243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trái ngược hoàn toàn với mức dương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2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tập Scraped.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Hiện tượng này được giải thích thông qua phương pháp khởi tạo dữ liệu "Hoán đổi Thực thể" (Reference Class Spanning).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hệ thống nạp các bản tin thời sự được sửa đổi thực thể nhân tạo, các siêu mô hình (như dòng o1) mặc dù phân tích vĩ mô rất tốt (giữ Brier Score thấp), lại dễ bị sa lầy vào các "bẫy từ vựng" (linguistic artifacts) ở cấp độ cú pháp khi đối diện với câu hỏi chứa từ mang tính phủ định thô. Chúng bị phân tâm bởi chủ thể thay vì cấu trúc logic, dẫn đến điểm vi phạm cục bộ tăng nhẹ nhưng không làm suy giảm năng lực dự báo lõi.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sụp đổ của OpenAI o1-mini trong Môi trường Hộp đen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Số liệu thực nghiệm khắc họa một bức tranh cảnh báo về độ tin cậy của mô hình lập luận cao cấp o1-mini. Ở tập dữ liệu Scraped, tỷ lệ vi phạm vượt ngưỡng (</w:t>
      </w:r>
      <w:r w:rsidDel="00000000" w:rsidR="00000000" w:rsidRPr="00000000">
        <w:rPr>
          <w:rFonts w:ascii="Google Sans" w:cs="Google Sans" w:eastAsia="Google Sans" w:hAnsi="Google Sans"/>
          <w:color w:val="1f1f1f"/>
        </w:rPr>
        <w:drawing>
          <wp:inline distB="19050" distT="19050" distL="19050" distR="19050">
            <wp:extent cx="435650" cy="244575"/>
            <wp:effectExtent b="0" l="0" r="0" t="0"/>
            <wp:docPr id="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35650" cy="244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mô hình này chạm mức 58% đối với bài kiểm tra NEGATION và 56% đối với bài kiểm tra PARAPHRASE.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Nguyên nhân cốt lõi nằm ở đặc tính "Next-token prediction" của kiến trúc LLM hiện tại kết hợp với môi trường đánh giá Hộp đen Cục bộ.</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không có bối cảnh bộ nhớ, mô hình xử lý biến cố </w:t>
      </w: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283726" cy="245385"/>
            <wp:effectExtent b="0" l="0" r="0" t="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83726" cy="24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các ma trận trọng số cô lập. Thiếu vắng một bộ đệm lưu trữ niềm tin tập trung, mô hình liên tục tự tính toán lại dựa trên ngữ nghĩa của prompt, đẩy tổng xác suất vượt xa ngưỡng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thể lên tới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hơn).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Điều này khẳng định LLM vẫn đang dừng ở mức "giả lập" xác suất theo ngữ cảnh văn bản chứ chưa nội hóa thành một bộ vi xử lý toán học tuần tự thực thụ.</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Phân tích Phản biện Các Đề xuất Cải tiến Nền tảng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gốc đề xuất hàng loạt các hướng tiếp cận nhằm khắc phục điểm yếu về tính nhất quán của LLM.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dưới góc độ phân tích chi phí, hiệu suất và rủi ro lý thuyết trò chơi, phần lớn các đề xuất này tiềm ẩn những khiếm khuyết mang tính cấu trúc. Việc phân tích chuyên sâu các đề xuất này là bước thiết yếu để chắt lọc và xây dựng một giải pháp tối ưu cuối cùng.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Hệ lụy Kinh tế học của Tính Nhất quán trong Ra Quyết định (Decision-Making)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hướng đầu tiên mở rộng phạm vi từ việc đánh giá các xác suất lý thuyết sang việc kiểm chứng hành vi ra quyết định thực tiễn (Actions/Decisions) của các Agent 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Một thực thể AI hoạt động độc lập (như một quỹ đầu tư thuật toán) bắt buộc phải tuân thủ nguyên tắc "Sự ưu tiên bắc cầu" (Transitive Preferences).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Nếu mô hình ưu tiên Cổ phiếu A hơn B, B hơn C, nhưng lại chọn C hơn A khi đặt chúng cạnh nhau (</w:t>
      </w:r>
      <w:r w:rsidDel="00000000" w:rsidR="00000000" w:rsidRPr="00000000">
        <w:rPr>
          <w:rFonts w:ascii="Google Sans" w:cs="Google Sans" w:eastAsia="Google Sans" w:hAnsi="Google Sans"/>
          <w:color w:val="1f1f1f"/>
        </w:rPr>
        <w:drawing>
          <wp:inline distB="19050" distT="19050" distL="19050" distR="19050">
            <wp:extent cx="1390650" cy="244510"/>
            <wp:effectExtent b="0" l="0" r="0" t="0"/>
            <wp:docPr id="6"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1390650" cy="244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sự mâu thuẫn vòng tròn này sẽ phá hủy hoàn toàn danh mục đầu tư. Dưới góc nhìn vi mô, một thuật toán giao dịch đối kháng có thể lợi dụng kẽ hở bất bắc cầu này để liên tục mua rẻ bán đắt với chính AI đó, biến hệ thống thành một "cỗ máy bị bào tiền" (Money Pump) vô tận.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Mặc dù hướng tiếp cận này xuất sắc trong việc chẩn đoán sự duy lý, nó không cung cấp phương pháp luận để trực tiếp sửa chữa các trọng số bên trong mạng nơ-ron nhằm triệt tiêu vòng lặp này.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Rủi ro Chí mạng của Việc Huấn luyện Trực tiếp (Training for Consistency)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phản xạ tự nhiên của kỹ thuật học máy là nhồi trực tiếp số đo hình phạt (hàm Arbitrage </w:t>
      </w:r>
      <w:r w:rsidDel="00000000" w:rsidR="00000000" w:rsidRPr="00000000">
        <w:rPr>
          <w:rFonts w:ascii="Google Sans" w:cs="Google Sans" w:eastAsia="Google Sans" w:hAnsi="Google Sans"/>
          <w:color w:val="1f1f1f"/>
        </w:rPr>
        <w:drawing>
          <wp:inline distB="19050" distT="19050" distL="19050" distR="19050">
            <wp:extent cx="139184" cy="216509"/>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9184" cy="21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quá trình tinh chỉnh mô hình (Fine-tuning hoặc Alignment), vận hành thông qua một vòng lặp tự khởi động tương tự như kiến trúc AlphaZero.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Ưu điểm bề mặt của phương án này là cắt giảm chi phí duy trì tính nhất quán ở thời điểm suy luận (Inference-time) về xấp xỉ 0, do toán học logic đã được ép tích hợp vào trọng số tĩnh của mô hình.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rào cản bất khả thi của phương pháp này là </w:t>
      </w:r>
      <w:r w:rsidDel="00000000" w:rsidR="00000000" w:rsidRPr="00000000">
        <w:rPr>
          <w:rFonts w:ascii="Google Sans" w:cs="Google Sans" w:eastAsia="Google Sans" w:hAnsi="Google Sans"/>
          <w:b w:val="1"/>
          <w:bCs w:val="1"/>
          <w:color w:val="1f1f1f"/>
          <w:rtl w:val="0"/>
        </w:rPr>
        <w:t xml:space="preserve">Định luật Goodhart (Goodhart's Law)</w:t>
      </w:r>
      <w:r w:rsidDel="00000000" w:rsidR="00000000" w:rsidRPr="00000000">
        <w:rPr>
          <w:rFonts w:ascii="Google Sans" w:cs="Google Sans" w:eastAsia="Google Sans" w:hAnsi="Google Sans"/>
          <w:color w:val="1f1f1f"/>
          <w:rtl w:val="0"/>
        </w:rPr>
        <w:t xml:space="preserve">, trong đó phát biểu: "Khi một thước đo trở thành mục tiêu tối ưu hóa, nó sẽ mất đi giá trị đo lường".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Mạng nơ-ron, khi bị dồn ép phải giảm thiểu hàm mất mát </w:t>
      </w:r>
      <w:r w:rsidDel="00000000" w:rsidR="00000000" w:rsidRPr="00000000">
        <w:rPr>
          <w:rFonts w:ascii="Google Sans" w:cs="Google Sans" w:eastAsia="Google Sans" w:hAnsi="Google Sans"/>
          <w:color w:val="1f1f1f"/>
        </w:rPr>
        <w:drawing>
          <wp:inline distB="19050" distT="19050" distL="19050" distR="19050">
            <wp:extent cx="139184" cy="216509"/>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9184" cy="21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tìm ra các con đường tắt học máy (shortcut learning) thay vì học cách tư duy logic. Kịch bản tồi tệ nhất và cũng dễ xảy ra nhất là hiện tượng "ăn gian" logic: mô hình tự động điều chỉnh mọi xác suất về mức trung tính tuyệt đối (50%) cho mọi biến cố độc lập.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w:t>
      </w:r>
      <w:r w:rsidDel="00000000" w:rsidR="00000000" w:rsidRPr="00000000">
        <w:rPr>
          <w:rFonts w:ascii="Google Sans" w:cs="Google Sans" w:eastAsia="Google Sans" w:hAnsi="Google Sans"/>
          <w:color w:val="1f1f1f"/>
        </w:rPr>
        <w:drawing>
          <wp:inline distB="19050" distT="19050" distL="19050" distR="19050">
            <wp:extent cx="970598" cy="244560"/>
            <wp:effectExtent b="0" l="0" r="0" t="0"/>
            <wp:docPr id="9"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970598" cy="244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101328" cy="243052"/>
            <wp:effectExtent b="0" l="0" r="0" t="0"/>
            <wp:docPr id="10"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1101328" cy="243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điểm phạt vi phạm hình học sẽ giảm về mốc 0 hoàn hảo, nhưng toàn bộ chức năng dự đoán thực tế sẽ sụp đổ, khiến Điểm Brier trở nên vô giá trị. Việc đánh đổi năng lực nhận thức để lấy điểm số toán học hình thức biến phương án tinh chỉnh trước (Pre-hoc) trở thành một nước cờ nguy hiểm.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Nghịch lý Tối ưu Hóa và Gánh nặng Tài chính của ArbitrageForecaster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ArbitrageForecaster là một nỗ lực sửa lỗi hậu kỳ (Post-hoc), trong đó hệ thống bọc LLM bằng một thuật toán tạo lập thị trường, chạy đệ quy nhiều vòng để mô hình tự nhận diện mâu thuẫn và sinh lại xác suất sao cho khớp với các phương trình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Kết quả thực nghiệm cho thấy hệ thống có khả năng nén lỗi ở các quy tắc cục bộ (ví dụ: điểm vi phạm ở quy tắc Phủ định giảm từ </w:t>
      </w:r>
      <w:r w:rsidDel="00000000" w:rsidR="00000000" w:rsidRPr="00000000">
        <w:rPr>
          <w:rFonts w:ascii="Google Sans" w:cs="Google Sans" w:eastAsia="Google Sans" w:hAnsi="Google Sans"/>
          <w:color w:val="1f1f1f"/>
        </w:rPr>
        <w:drawing>
          <wp:inline distB="19050" distT="19050" distL="19050" distR="19050">
            <wp:extent cx="393740" cy="208450"/>
            <wp:effectExtent b="0" l="0" r="0" t="0"/>
            <wp:docPr id="5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xuống </w:t>
      </w:r>
      <w:r w:rsidDel="00000000" w:rsidR="00000000" w:rsidRPr="00000000">
        <w:rPr>
          <w:rFonts w:ascii="Google Sans" w:cs="Google Sans" w:eastAsia="Google Sans" w:hAnsi="Google Sans"/>
          <w:color w:val="1f1f1f"/>
        </w:rPr>
        <w:drawing>
          <wp:inline distB="19050" distT="19050" distL="19050" distR="19050">
            <wp:extent cx="393740" cy="208450"/>
            <wp:effectExtent b="0" l="0" r="0" t="0"/>
            <wp:docPr id="55"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độ sâu đệ quy </w:t>
      </w:r>
      <w:r w:rsidDel="00000000" w:rsidR="00000000" w:rsidRPr="00000000">
        <w:rPr>
          <w:rFonts w:ascii="Google Sans" w:cs="Google Sans" w:eastAsia="Google Sans" w:hAnsi="Google Sans"/>
          <w:color w:val="1f1f1f"/>
        </w:rPr>
        <w:drawing>
          <wp:inline distB="19050" distT="19050" distL="19050" distR="19050">
            <wp:extent cx="399693" cy="215219"/>
            <wp:effectExtent b="0" l="0" r="0" t="0"/>
            <wp:docPr id="5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99693" cy="215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Dẫu vậy, phương pháp này vấp phải hai rào cản khổng lồ:</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Overfitting Hình học (Geometric Overfitting):</w:t>
      </w:r>
      <w:r w:rsidDel="00000000" w:rsidR="00000000" w:rsidRPr="00000000">
        <w:rPr>
          <w:rFonts w:ascii="Google Sans" w:cs="Google Sans" w:eastAsia="Google Sans" w:hAnsi="Google Sans"/>
          <w:color w:val="1f1f1f"/>
          <w:rtl w:val="0"/>
        </w:rPr>
        <w:t xml:space="preserve"> Toán học xác suất là một mạng lưới ràng buộc đa chiều cực kỳ chặt chẽ (giống như ma trận Bayes).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ép cưỡng bức mô hình tuân thủ quy tắc Phủ định đã gây ra hiệu ứng cánh bướm tàn phá các quy tắc khác. Số liệu chứng minh rằng khi cố tinh chỉnh cục bộ, điểm vi phạm tổng hợp toàn cục (Aggregated Violation) lại tăng vọt từ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5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lên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61"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khi lỗi chuỗi điều kiện CONDCOND nới rộng từ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63"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lên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66"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Đáng ngại hơn, độ chính xác dự báo (Brier Score) thực tế bị kéo sụt giảm từ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68"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xuống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70"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Mô hình chỉ đang lách luật bằng cách trượt các giá trị float dọc theo phương trình kiểm toán, trong khi tư duy hệ thống hoàn toàn không phát triển.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Bùng nổ Chi phí API:</w:t>
      </w:r>
      <w:r w:rsidDel="00000000" w:rsidR="00000000" w:rsidRPr="00000000">
        <w:rPr>
          <w:rFonts w:ascii="Google Sans" w:cs="Google Sans" w:eastAsia="Google Sans" w:hAnsi="Google Sans"/>
          <w:color w:val="1f1f1f"/>
          <w:rtl w:val="0"/>
        </w:rPr>
        <w:t xml:space="preserve"> Việc gọi chéo API đệ quy tạo ra khối lượng tính toán khổng lồ theo cấp số nhân. Việc chạy ArbitrageForecaster ở tầng </w:t>
      </w:r>
      <w:r w:rsidDel="00000000" w:rsidR="00000000" w:rsidRPr="00000000">
        <w:rPr>
          <w:rFonts w:ascii="Google Sans" w:cs="Google Sans" w:eastAsia="Google Sans" w:hAnsi="Google Sans"/>
          <w:color w:val="1f1f1f"/>
        </w:rPr>
        <w:drawing>
          <wp:inline distB="19050" distT="19050" distL="19050" distR="19050">
            <wp:extent cx="399693" cy="215219"/>
            <wp:effectExtent b="0" l="0" r="0" t="0"/>
            <wp:docPr id="72"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99693" cy="215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tiêu tốn mức ngân sách lên tới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51"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cho chỉ một câu hỏi dự báo.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Đây là mức chi phí vượt qua mọi ngưỡng chấp nhận được đối với R&amp;D quy mô lớn hay triển khai thương mại. Gợi ý sử dụng phương pháp Lấy mẫu ngẫu nhiên (Random Sampling)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chỉ là giải pháp tạm thời nhằm hạ nhiệt chi phí, chứ không triệt tiêu được hiện tượng Overfit hình học căn nguyên.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Sự Đóng băng Tri thức trong Mô hình RAG và Vấn đề Bẫy Tĩnh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hiện tại vấp phải giới hạn kỹ thuật lớn khi chưa thể đánh giá toàn diện các hệ thống có kiến trúc RAG (Retrieval-Augmented Generation) do sự cố ngắt kết nối API của Google News và Newscatcher.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đánh giá sự nhất quán của RAG là tối quan trọng, bởi khác với tri thức đóng băng (frozen weights) của LLM truyền thống, hệ thống RAG có thể truy xuất các tài liệu có thiên kiến khác nhau khi xử lý câu hỏi </w:t>
      </w: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2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câu </w:t>
      </w:r>
      <w:r w:rsidDel="00000000" w:rsidR="00000000" w:rsidRPr="00000000">
        <w:rPr>
          <w:rFonts w:ascii="Google Sans" w:cs="Google Sans" w:eastAsia="Google Sans" w:hAnsi="Google Sans"/>
          <w:color w:val="1f1f1f"/>
        </w:rPr>
        <w:drawing>
          <wp:inline distB="19050" distT="19050" distL="19050" distR="19050">
            <wp:extent cx="283726" cy="245385"/>
            <wp:effectExtent b="0" l="0" r="0" t="0"/>
            <wp:docPr id="2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83726" cy="24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các luồng độc lập, làm bùng nổ hiện tượng bất nhất quán xác suất.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nữa, việc sử dụng các bộ dữ liệu kiểm tra tính nhất quán được cố định hóa (Static Tuples) như hiện tại tạo ra rủi ro ô nhiễm chuẩn mực, nơi các nhà thiết kế có thể dễ dàng tải bộ câu hỏi vào kho huấn luyện để vượt qua bài kiểm toán một cách giả tạo.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Để khắc phục, việc kiến tạo các bẫy logic đối kháng động (Adversarial Generation) là cần thiết, nhưng bản thân nó chỉ là một công cụ đo lường, không phải là cơ chế tối ưu hóa trọng số cốt lõi.</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Khám phá Các Phương pháp Tối ưu Hiện đại Tích hợp Đa chiều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Trước sự bất cập của cả hai hướng đi Post-hoc (quá đắt đỏ) và Pre-hoc (rủi ro Goodhart), một hướng tiếp cận thuộc thế hệ thứ ba đang nổi lên mạnh mẽ: Can thiệp tại thời điểm Giải mã (Decoding-time Intervention). Bằng cách khai thác trực tiếp vào các định luật vi phân và biểu diễn phân phối xác suất bên trong kiến trúc Transformer, hệ thống có thể ép buộc tính nhất quán toán học mà không đòi hỏi phải tinh chỉnh mô hình hay đệ quy gọi API.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Căn chỉnh tại Thời điểm Giải mã (Decoding-Time Alignment) và Giới hạn Token (Token Constraint Decoding)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LLM sinh ra bất kỳ văn bản hay con số nào, thao tác cốt lõi nằm ở hàm softmax chuyển đổi các giá trị thô (logits) thành một phân phối xác suất trải dài trên toàn bộ từ vựng (vocabulary). Căn chỉnh tại thời điểm giải mã (DeAL) xem quá trình sinh token như một công cuộc tìm kiếm có hướng dẫn (heuristic-guided search) thay vì một ánh xạ tĩnh.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để mô hình sinh ra toàn bộ văn bản rồi mới chấm lỗi, thuật toán Giới hạn Giải mã Token (Token Constraint Decoding - TCD) can thiệp trực tiếp vào ma trận logits ngay khoảnh khắc token chứa số liệu dự báo chuẩn bị được xuất 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Thông qua các thuật toán nội suy hoặc bộ giải mã NeuroLogic (sử dụng tối ưu hóa luồng dạng beam-search có gắn penalty) hay Sequential Monte Carlo (SMC)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hệ thống có thể dịch mã tự động các ràng buộc logic (như </w:t>
      </w:r>
      <w:r w:rsidDel="00000000" w:rsidR="00000000" w:rsidRPr="00000000">
        <w:rPr>
          <w:rFonts w:ascii="Google Sans" w:cs="Google Sans" w:eastAsia="Google Sans" w:hAnsi="Google Sans"/>
          <w:color w:val="1f1f1f"/>
        </w:rPr>
        <w:drawing>
          <wp:inline distB="19050" distT="19050" distL="19050" distR="19050">
            <wp:extent cx="1551746" cy="244610"/>
            <wp:effectExtent b="0" l="0" r="0" t="0"/>
            <wp:docPr id="29"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1551746" cy="244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các quy tắc cấm (masking rules).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Thực thi:</w:t>
      </w:r>
      <w:r w:rsidDel="00000000" w:rsidR="00000000" w:rsidRPr="00000000">
        <w:rPr>
          <w:rFonts w:ascii="Google Sans" w:cs="Google Sans" w:eastAsia="Google Sans" w:hAnsi="Google Sans"/>
          <w:color w:val="1f1f1f"/>
          <w:rtl w:val="0"/>
        </w:rPr>
        <w:t xml:space="preserve"> Giả sử mô hình đã sinh ra xác suất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31"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biến cố </w:t>
      </w: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3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Giá trị này lập tức được nạp vào bộ nhớ động của máy trạng thái (Finite State Transducer - FST) xử lý giải mã.</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Khi luồng truy vấn tiến hành sinh xác suất cho biến cố </w:t>
      </w:r>
      <w:r w:rsidDel="00000000" w:rsidR="00000000" w:rsidRPr="00000000">
        <w:rPr>
          <w:rFonts w:ascii="Google Sans" w:cs="Google Sans" w:eastAsia="Google Sans" w:hAnsi="Google Sans"/>
          <w:color w:val="1f1f1f"/>
        </w:rPr>
        <w:drawing>
          <wp:inline distB="19050" distT="19050" distL="19050" distR="19050">
            <wp:extent cx="283726" cy="245385"/>
            <wp:effectExtent b="0" l="0" r="0" t="0"/>
            <wp:docPr id="3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83726" cy="24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giới hạn TCD sẽ can thiệp thông qua lớp Logit Bias, chặn hoàn toàn (gắn giá trị âm vô cực) mọi token đại diện cho các con số lớn hơn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37"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Tác động Đột phá:</w:t>
      </w:r>
      <w:r w:rsidDel="00000000" w:rsidR="00000000" w:rsidRPr="00000000">
        <w:rPr>
          <w:rFonts w:ascii="Google Sans" w:cs="Google Sans" w:eastAsia="Google Sans" w:hAnsi="Google Sans"/>
          <w:color w:val="1f1f1f"/>
          <w:rtl w:val="0"/>
        </w:rPr>
        <w:t xml:space="preserve"> Phương pháp này ép buộc phương trình toán học nhị phân tuân thủ quy tắc bằng không tuyệt đối tại chính lớp sinh đầu ra của mạng nơ-ron.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Mô hình vẫn giữ được khả năng tự do tư duy lập luận (CoT) ở các bước trước đó, nhưng "bị tước quyền sai số toán học" ở bước chốt số liệu. Phương thức này không đòi hỏi thay đổi trọng số, miễn nhiễm với luật Goodhart, và kéo chi phí hậu kỳ về mốc 0, đồng thời khắc phục sự chênh lệch hiệu suất giữa các mô hình nền tảng (base models) và mô hình tinh chỉnh chỉ thị (instruction-tuned models) khi xử lý ràng buộc cấu trúc json/float.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Tính Nhất quán dựa trên Phân phối Nối nội tại (Perplexity Consistency)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nhược điểm của việc bắt mô hình xuất ra một chuỗi token dạng số (ví dụ: sinh chuỗi "0", ".", "6", "5") là sự mất mát thông tin do chuyển đổi định dạng và sự nhạy cảm với các định dạng văn bản thô. Phương pháp Tính Nhất quán dựa trên Độ Bối rối (Perplexity Consistency - Pc) đề xuất khai thác trực tiếp sức mạnh gốc của LLM: phân phối xác suất nối (joint probability distribution).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quy tắc chuỗi trong lý thuyết xác suất (chain rule of probability), xác suất của một chuỗi hệ quả luôn hội tụ về cùng một mức năng lượng toán học dù phân tích xuôi hay ngược.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Bằng cách lấy độ bối rối (perplexity) của toàn bộ chuỗi giải pháp nội bộ bên trong LLM làm biến số đại diện cho mức độ tự tin (confidence estimation), Pc triệt tiêu hoàn toàn các sai số làm tròn hoặc nhiễu do phân tách văn bản (parsing error) gây ra.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Khi được tích hợp vào khung tự nhất quán (self-consistency framework), thuật toán cắt tỉa (Reasoning Pruning - Rp) sẽ sử dụng xác suất nội tại này để tự động loại bỏ các luồng suy luận chứa xác suất cận biên thấp, qua đó giảm nhanh chóng sai số ước lượng mà không làm suy giảm hiệu suất tổng thể.</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Phương pháp dịch chuyển xác suất ngầm định (nudging probability distributions) này đưa mô hình vận hành như một cỗ máy vật lý thống kê chính xác thay vì một cỗ máy học vẹt văn bản.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Mặc dù cần khả năng truy cập sâu vào Logits (phù hợp với các hệ thống mã nguồn mở như Llama-3.1 hơn là API hộp đen thương mại), đây là một bước tiến vượt bậc về mặt nền tảng lý thuyết.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Tổng hợp So sánh Chi phí và Đề xuất Kiến trúc Tối ưu Khép kín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việc bóc tách toàn bộ khung lý luận, cấu trúc dữ liệu thực chứng và các phương án thuật toán tối ưu, báo cáo tiến tới việc thiết lập một ma trận đánh giá kinh tế - kỹ thuật toàn diện nhằm lựa chọn phương án cuối cùng cho tiến trình triển khai R&amp;D.</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Bảng So sánh Ma trận Chi phí, Thời gian và Hiệu suất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lượng hóa khả năng triển khai được trình bày qua ma trận sau, với chi phí được tiêu chuẩn hóa dựa trên giá gọi API thương mại cho việc xử lý một Tuple logic hoàn chỉnh (gồm 1 biến cố gốc và các biến cố vệ tinh).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Tối ưu hóa R&amp;D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phí Tài chính (Ước lượng / 1 Tuple)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Trễ Thời gian Tính toán (Inference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Năng lực Đảm bảo Nhất quán Logic (Arbitrage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độ Rủi ro Sụp đổ Năng lực Cốt lõi (Brier 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Khả thi Triển khai Hệ thống Thực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sở: Forecaster Suy luận Từng bước (CoT Baseline)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$0.05 - $0.20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Chậm (Phụ thuộc vào độ dài luồng tư duy CoT sinh 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Thấp. Mô hình vi phạm nghiêm trọng (lỗi ~58% ở bài kiểm tra Phủ định).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có rủi ro. Giữ nguyên năng lực mặc định của mô hình.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Làm chuẩn đánh giá (Benchmark), không phải giải pháp cải tiến triệt để.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Tinh chỉnh Trọng số Trực tiếp (Training for Consistency)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 cho R&amp;D đầu kỳ (hàng ngàn USD), nhưng Inference rẻ bằng Baseline.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Nhanh (Trọng số tĩnh đã chứa toán học, không cần gọi đệ quy).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Hoàn hảo (Mạng nơ-ron ép đường vi phân về mốc 0 tuyệt đối).</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Rất Cao.</w:t>
            </w:r>
            <w:r w:rsidDel="00000000" w:rsidR="00000000" w:rsidRPr="00000000">
              <w:rPr>
                <w:rFonts w:ascii="Google Sans" w:cs="Google Sans" w:eastAsia="Google Sans" w:hAnsi="Google Sans"/>
                <w:color w:val="1f1f1f"/>
                <w:shd w:fill="auto" w:val="clear"/>
                <w:rtl w:val="0"/>
              </w:rPr>
              <w:t xml:space="preserve"> Rủi ro sa lầy vào Luật Goodhart. AI có xu hướng dự báo mù 50% để lách luật.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bỏ hoàn toàn. Đánh đổi sự xuất sắc của Brier Score để lấy số liệu hình thức.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Thuật toán Trọng tài Đệ quy (ArbitrageForecaster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99693" cy="215219"/>
                  <wp:effectExtent b="0" l="0" r="0" t="0"/>
                  <wp:docPr id="39"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99693" cy="215219"/>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$2,500.00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Cực kỳ Chậm. Phân nhánh ma trận gọi chéo API tạo ra nút thắt cổ chai lớn.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ở một quy tắc cụ thể (giảm </w:t>
            </w:r>
            <w:r w:rsidDel="00000000" w:rsidR="00000000" w:rsidRPr="00000000">
              <w:rPr>
                <w:rFonts w:ascii="Google Sans" w:cs="Google Sans" w:eastAsia="Google Sans" w:hAnsi="Google Sans"/>
                <w:color w:val="1f1f1f"/>
                <w:shd w:fill="auto" w:val="clear"/>
              </w:rPr>
              <w:drawing>
                <wp:inline distB="19050" distT="19050" distL="19050" distR="19050">
                  <wp:extent cx="139184" cy="216509"/>
                  <wp:effectExtent b="0" l="0" r="0" t="0"/>
                  <wp:docPr id="4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9184" cy="2165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từ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2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xuống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26"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ở bài Phủ định).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Cao.</w:t>
            </w:r>
            <w:r w:rsidDel="00000000" w:rsidR="00000000" w:rsidRPr="00000000">
              <w:rPr>
                <w:rFonts w:ascii="Google Sans" w:cs="Google Sans" w:eastAsia="Google Sans" w:hAnsi="Google Sans"/>
                <w:color w:val="1f1f1f"/>
                <w:shd w:fill="auto" w:val="clear"/>
                <w:rtl w:val="0"/>
              </w:rPr>
              <w:t xml:space="preserve"> Dẫn đến Overfitting hình học, làm bùng nổ lỗi ở quy tắc chéo (như CONDCOND) và giảm Brier.</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bỏ do rào cản tài chính quá lớn và không cải thiện trí thông minh thực sự.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 thiệp Giải mã Toán học (Token Constraint Decoding - TCD)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$0.05 - $0.25 (Thêm một phần nhỏ chi phí quản lý FST/Logits cục bộ).</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Trung bình. Cộng thêm độ phức tạp vi phân </w:t>
            </w:r>
            <w:r w:rsidDel="00000000" w:rsidR="00000000" w:rsidRPr="00000000">
              <w:rPr>
                <w:rFonts w:ascii="Google Sans" w:cs="Google Sans" w:eastAsia="Google Sans" w:hAnsi="Google Sans"/>
                <w:color w:val="1f1f1f"/>
                <w:shd w:fill="auto" w:val="clear"/>
              </w:rPr>
              <w:drawing>
                <wp:inline distB="19050" distT="19050" distL="19050" distR="19050">
                  <wp:extent cx="357664" cy="213076"/>
                  <wp:effectExtent b="0" l="0" r="0" t="0"/>
                  <wp:docPr id="11"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357664" cy="21307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để kiểm duyệt từng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Tuyệt đối hoàn hảo. Cắt đứt hoàn toàn lỗi do tự tin thái quá bằng cách chặn logit.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thấp. Quá trình lập luận CoT ở các bước đầu vẫn hoạt động tự 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Khả thi cao, đặc biệt mạnh mẽ đối với các mô hình mở (Open-weights) hoặc API cho phép can thiệp Logit Bias.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Kiến trúc Hybrid ACD (Adversarial Agent + Constraint Decoding)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$0.15 - $0.50 (Bao gồm chi phí cho Agent sinh bẫy và quy trình Decoding).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Trung bình - Chậm (Tiền xử lý sinh câu hỏi đối kháng đòi hỏi thêm một chu kỳ 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Tuyệt đối hoàn hảo ở mọi ma trận xác suất và miễn nhiễm với bẫy từ vựng.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Không có.</w:t>
            </w:r>
            <w:r w:rsidDel="00000000" w:rsidR="00000000" w:rsidRPr="00000000">
              <w:rPr>
                <w:rFonts w:ascii="Google Sans" w:cs="Google Sans" w:eastAsia="Google Sans" w:hAnsi="Google Sans"/>
                <w:color w:val="1f1f1f"/>
                <w:shd w:fill="auto" w:val="clear"/>
                <w:rtl w:val="0"/>
              </w:rPr>
              <w:t xml:space="preserve"> Việc đổi mới liên tục câu hỏi ép mô hình phải mài giũa tư duy nhân quả thay vì học vẹt.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Lựa chọn Tối ưu Tuyệt đối.</w:t>
            </w:r>
            <w:r w:rsidDel="00000000" w:rsidR="00000000" w:rsidRPr="00000000">
              <w:rPr>
                <w:rFonts w:ascii="Google Sans" w:cs="Google Sans" w:eastAsia="Google Sans" w:hAnsi="Google Sans"/>
                <w:color w:val="1f1f1f"/>
                <w:shd w:fill="auto" w:val="clear"/>
                <w:rtl w:val="0"/>
              </w:rPr>
              <w:t xml:space="preserve"> Cân bằng hoàn hảo giữa sức mạnh ngân sách, độ kín kẽ logic và phòng thủ dài hạn.</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Đề xuất Kiến trúc Cải tiến Tối ưu: Hybrid ACD (Adversarial Constraint Decoding)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bức tranh tổng thể về cả lợi ích lý thuyết lẫn giới hạn kỹ thuật, báo cáo này chính thức đề xuất cấu trúc </w:t>
      </w:r>
      <w:r w:rsidDel="00000000" w:rsidR="00000000" w:rsidRPr="00000000">
        <w:rPr>
          <w:rFonts w:ascii="Google Sans" w:cs="Google Sans" w:eastAsia="Google Sans" w:hAnsi="Google Sans"/>
          <w:b w:val="1"/>
          <w:bCs w:val="1"/>
          <w:color w:val="1f1f1f"/>
          <w:rtl w:val="0"/>
        </w:rPr>
        <w:t xml:space="preserve">Hybrid ACD (Khởi tạo Đối kháng kết hợp Ràng buộc Giải mã Toán học)</w:t>
      </w:r>
      <w:r w:rsidDel="00000000" w:rsidR="00000000" w:rsidRPr="00000000">
        <w:rPr>
          <w:rFonts w:ascii="Google Sans" w:cs="Google Sans" w:eastAsia="Google Sans" w:hAnsi="Google Sans"/>
          <w:color w:val="1f1f1f"/>
          <w:rtl w:val="0"/>
        </w:rPr>
        <w:t xml:space="preserve"> là giải pháp cải tiến toàn diện nhất, vượt trội trên cả ba khía cạnh: Chi phí, Hiệu suất và Thời gian xử lý.</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Hybrid ACD kết hợp song song hai module hoạt động theo cơ chế tấn công - phòng thủ liên hoàn:</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Module Tiền xử lý Động (Adversarial Input Agent):</w:t>
      </w:r>
      <w:r w:rsidDel="00000000" w:rsidR="00000000" w:rsidRPr="00000000">
        <w:rPr>
          <w:rFonts w:ascii="Google Sans" w:cs="Google Sans" w:eastAsia="Google Sans" w:hAnsi="Google Sans"/>
          <w:color w:val="1f1f1f"/>
          <w:rtl w:val="0"/>
        </w:rPr>
        <w:t xml:space="preserve"> Nhằm giải quyết triệt để rủi ro ô nhiễm dữ liệu của hệ thống Static Tuples và sự yếu kém trước các "bẫy từ vựng" do Reference Class Spanning gây ra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thống triển khai một Tác tử Đối kháng (có thể sử dụng cấu hình tinh gọn như Llama-3-70B). Tác tử này liên tục "kiểm toán" hồ sơ trả lời của Forecaster chính. Khi nhận thấy mô hình có xu hướng đoán sai ở các sự kiện có cấu trúc lồng ghép, Agent này sẽ tự động tổng hợp động các câu hỏi vệ tinh (ví dụ: các biến thể của quy tắc EXPEVIDENCE hay CONDCOND) với độ phức tạp cao nhất. Điều này duy trì một áp lực tiến hóa không ngừng, ép mô hình Forecaster phải vận dụng "thế giới quan thống nhất" thay vì các phản xạ ngữ pháp có điều kiện.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Module Hậu kiểm Giải mã (Token Constraint Decoding Output):</w:t>
      </w:r>
      <w:r w:rsidDel="00000000" w:rsidR="00000000" w:rsidRPr="00000000">
        <w:rPr>
          <w:rFonts w:ascii="Google Sans" w:cs="Google Sans" w:eastAsia="Google Sans" w:hAnsi="Google Sans"/>
          <w:color w:val="1f1f1f"/>
          <w:rtl w:val="0"/>
        </w:rPr>
        <w:t xml:space="preserve"> Khi Forecaster (ví dụ: o1-preview hay Claude 3.5 Sonnet) tiếp nhận câu hỏi đối kháng, nó sẽ kích hoạt quá trình Suy luận Từng bước (CoT) để bóc tách bối cảnh.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thay vì áp dụng thuật toán ArbitrageForecaster tốn kém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1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để sửa sai sau khi đã chốt kết quả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module TCD can thiệp trực tiếp vào giây phút cuối cùng của tiến trình sinh (decoding-time). Các phương trình logic phức tạp được dịch mã thành một mạng Finite State Transducer (FST).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FST này theo dõi các logits và chủ động cô lập không gian xác suất đầu ra (masking). Mô hình hoàn toàn tự do trong việc giải thích lý do, nhưng một khi nó định in ra kết quả </w:t>
      </w:r>
      <w:r w:rsidDel="00000000" w:rsidR="00000000" w:rsidRPr="00000000">
        <w:rPr>
          <w:rFonts w:ascii="Google Sans" w:cs="Google Sans" w:eastAsia="Google Sans" w:hAnsi="Google Sans"/>
          <w:color w:val="1f1f1f"/>
        </w:rPr>
        <w:drawing>
          <wp:inline distB="19050" distT="19050" distL="19050" distR="19050">
            <wp:extent cx="831533" cy="246380"/>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831533" cy="24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lớn hơn </w:t>
      </w:r>
      <w:r w:rsidDel="00000000" w:rsidR="00000000" w:rsidRPr="00000000">
        <w:rPr>
          <w:rFonts w:ascii="Google Sans" w:cs="Google Sans" w:eastAsia="Google Sans" w:hAnsi="Google Sans"/>
          <w:color w:val="1f1f1f"/>
        </w:rPr>
        <w:drawing>
          <wp:inline distB="19050" distT="19050" distL="19050" distR="19050">
            <wp:extent cx="458867" cy="244729"/>
            <wp:effectExtent b="0" l="0" r="0" t="0"/>
            <wp:docPr id="1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58867" cy="2447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lớp softmax sẽ bị vô hiệu hóa cục bộ tại ngưỡng vi phạm, buộc con số sinh ra phải tuân thủ nghiêm ngặt phương trình bằng 0.</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Luận điểm chốt hạ:</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ra đời của kiến trúc Hybrid ACD đại diện cho một bước nhảy vọt trong công nghệ mô phỏng dự báo trí tuệ nhân tạo. Về mặt kinh tế, nó kéo giảm 99.9% chi phí luân chuyển API đệ quy, biến một nền tảng R&amp;D đắt đỏ thành một hệ thống khả thi thương mại. Về mặt hiệu suất, việc kết nối "tư duy mở" ở khâu lập luận (CoT) với "cửa đóng toán học" ở khâu giải mã (TCD) triệt tiêu hoàn toàn bài toán Overfitting hình học và Luật Goodhart. Cấu trúc niềm tin của AI giờ đây không chỉ được bảo vệ bởi độ chính xác thống kê trên dữ liệu lớn (phản ánh qua mức giảm sâu của Brier Score) mà còn sở hữu sự duy lý tuyệt đối của một tác tử kinh tế hoàn hảo, miễn nhiễm trước mọi nỗ lực khai thác Dutch Book từ bên ngoài. Đây chính là lộ trình tối ưu và bền vững nhất để tiến tới các hệ thống siêu trí tuệ ra quyết định tự trị trong tương lai.</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Consistency Checks for Language Model Forecasters - ResearchGate, accessed June 15,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https://www.researchgate.net/publication/387381973_Consistency_Checks_for_Language_Model_Forecasters</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Checks for Language Model Forecasters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Checks for Language Model Forecasters - OpenReview, accessed June 15, 2026, </w:t>
      </w:r>
      <w:hyperlink r:id="rId60">
        <w:r w:rsidDel="00000000" w:rsidR="00000000" w:rsidRPr="00000000">
          <w:rPr>
            <w:rFonts w:ascii="Google Sans" w:cs="Google Sans" w:eastAsia="Google Sans" w:hAnsi="Google Sans"/>
            <w:color w:val="0000ee"/>
            <w:sz w:val="24"/>
            <w:szCs w:val="24"/>
            <w:u w:val="single"/>
            <w:rtl w:val="0"/>
          </w:rPr>
          <w:t xml:space="preserve">https://openreview.net/forum?id=r5IXBlTCGc</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CHECKS FOR LANGUAGE MODEL FORECASTERS - OpenReview, accessed June 15, 2026, </w:t>
      </w:r>
      <w:hyperlink r:id="rId61">
        <w:r w:rsidDel="00000000" w:rsidR="00000000" w:rsidRPr="00000000">
          <w:rPr>
            <w:rFonts w:ascii="Google Sans" w:cs="Google Sans" w:eastAsia="Google Sans" w:hAnsi="Google Sans"/>
            <w:color w:val="0000ee"/>
            <w:sz w:val="24"/>
            <w:szCs w:val="24"/>
            <w:u w:val="single"/>
            <w:rtl w:val="0"/>
          </w:rPr>
          <w:t xml:space="preserve">https://openreview.net/pdf?id=r5IXBlTCGc</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Checks for Language Model Forecasters - arXiv, accessed June 15, 2026, </w:t>
      </w:r>
      <w:hyperlink r:id="rId62">
        <w:r w:rsidDel="00000000" w:rsidR="00000000" w:rsidRPr="00000000">
          <w:rPr>
            <w:rFonts w:ascii="Google Sans" w:cs="Google Sans" w:eastAsia="Google Sans" w:hAnsi="Google Sans"/>
            <w:color w:val="0000ee"/>
            <w:sz w:val="24"/>
            <w:szCs w:val="24"/>
            <w:u w:val="single"/>
            <w:rtl w:val="0"/>
          </w:rPr>
          <w:t xml:space="preserve">https://arxiv.org/pdf/2412.18544?</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 Decoding-time Alignment for Large Language Models - arXiv, accessed June 15, 2026, </w:t>
      </w:r>
      <w:hyperlink r:id="rId63">
        <w:r w:rsidDel="00000000" w:rsidR="00000000" w:rsidRPr="00000000">
          <w:rPr>
            <w:rFonts w:ascii="Google Sans" w:cs="Google Sans" w:eastAsia="Google Sans" w:hAnsi="Google Sans"/>
            <w:color w:val="0000ee"/>
            <w:sz w:val="24"/>
            <w:szCs w:val="24"/>
            <w:u w:val="single"/>
            <w:rtl w:val="0"/>
          </w:rPr>
          <w:t xml:space="preserve">https://arxiv.org/html/2402.06147v3</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 of Structure: How Constrained Decoding Affects Language Model Performance - ACL Anthology, accessed June 15, 2026, </w:t>
      </w:r>
      <w:hyperlink r:id="rId64">
        <w:r w:rsidDel="00000000" w:rsidR="00000000" w:rsidRPr="00000000">
          <w:rPr>
            <w:rFonts w:ascii="Google Sans" w:cs="Google Sans" w:eastAsia="Google Sans" w:hAnsi="Google Sans"/>
            <w:color w:val="0000ee"/>
            <w:sz w:val="24"/>
            <w:szCs w:val="24"/>
            <w:u w:val="single"/>
            <w:rtl w:val="0"/>
          </w:rPr>
          <w:t xml:space="preserve">https://aclanthology.org/2025.ranlp-1.124.pdf</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Constraint Decoding Improves Robustness on Question Answering for Large Language Models - arXiv, accessed June 15, 2026, </w:t>
      </w:r>
      <w:hyperlink r:id="rId65">
        <w:r w:rsidDel="00000000" w:rsidR="00000000" w:rsidRPr="00000000">
          <w:rPr>
            <w:rFonts w:ascii="Google Sans" w:cs="Google Sans" w:eastAsia="Google Sans" w:hAnsi="Google Sans"/>
            <w:color w:val="0000ee"/>
            <w:sz w:val="24"/>
            <w:szCs w:val="24"/>
            <w:u w:val="single"/>
            <w:rtl w:val="0"/>
          </w:rPr>
          <w:t xml:space="preserve">https://arxiv.org/html/2506.09408v1</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Consistent Language Models Using Controlled Prompting and Decoding - Oregon State University, accessed June 15, 2026, </w:t>
      </w:r>
      <w:hyperlink r:id="rId66">
        <w:r w:rsidDel="00000000" w:rsidR="00000000" w:rsidRPr="00000000">
          <w:rPr>
            <w:rFonts w:ascii="Google Sans" w:cs="Google Sans" w:eastAsia="Google Sans" w:hAnsi="Google Sans"/>
            <w:color w:val="0000ee"/>
            <w:sz w:val="24"/>
            <w:szCs w:val="24"/>
            <w:u w:val="single"/>
            <w:rtl w:val="0"/>
          </w:rPr>
          <w:t xml:space="preserve">https://research.engr.oregonstate.edu/idea/sites/research.engr.oregonstate.edu.idea/files/consistent_llms_deem.pdf</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Automata-based constraints for language model decoding - OpenReview, accessed June 15, 2026, </w:t>
      </w:r>
      <w:hyperlink r:id="rId67">
        <w:r w:rsidDel="00000000" w:rsidR="00000000" w:rsidRPr="00000000">
          <w:rPr>
            <w:rFonts w:ascii="Google Sans" w:cs="Google Sans" w:eastAsia="Google Sans" w:hAnsi="Google Sans"/>
            <w:color w:val="0000ee"/>
            <w:sz w:val="24"/>
            <w:szCs w:val="24"/>
            <w:u w:val="single"/>
            <w:rtl w:val="0"/>
          </w:rPr>
          <w:t xml:space="preserve">https://openreview.net/forum?id=BDBdblmyzY</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Internal Probability and Self-Consistency for Effective and Efficient LLM Reasoning, accessed June 15, 2026, </w:t>
      </w:r>
      <w:hyperlink r:id="rId68">
        <w:r w:rsidDel="00000000" w:rsidR="00000000" w:rsidRPr="00000000">
          <w:rPr>
            <w:rFonts w:ascii="Google Sans" w:cs="Google Sans" w:eastAsia="Google Sans" w:hAnsi="Google Sans"/>
            <w:color w:val="0000ee"/>
            <w:sz w:val="24"/>
            <w:szCs w:val="24"/>
            <w:u w:val="single"/>
            <w:rtl w:val="0"/>
          </w:rPr>
          <w:t xml:space="preserve">https://arxiv.org/html/2502.00511v2</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Probability Consistency in Large Language Models: Theoretical, accessed June 15, 2026, </w:t>
      </w:r>
      <w:hyperlink r:id="rId69">
        <w:r w:rsidDel="00000000" w:rsidR="00000000" w:rsidRPr="00000000">
          <w:rPr>
            <w:rFonts w:ascii="Google Sans" w:cs="Google Sans" w:eastAsia="Google Sans" w:hAnsi="Google Sans"/>
            <w:color w:val="0000ee"/>
            <w:sz w:val="24"/>
            <w:szCs w:val="24"/>
            <w:u w:val="single"/>
            <w:rtl w:val="0"/>
          </w:rPr>
          <w:t xml:space="preserve">https://openreview.net/forum?id=AV3fX3jB0H</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Backwards Compatible: The Strange Math Behind Word Order in AI - Bradley C. Love, accessed June 15, 2026, </w:t>
      </w:r>
      <w:hyperlink r:id="rId70">
        <w:r w:rsidDel="00000000" w:rsidR="00000000" w:rsidRPr="00000000">
          <w:rPr>
            <w:rFonts w:ascii="Google Sans" w:cs="Google Sans" w:eastAsia="Google Sans" w:hAnsi="Google Sans"/>
            <w:color w:val="0000ee"/>
            <w:sz w:val="24"/>
            <w:szCs w:val="24"/>
            <w:u w:val="single"/>
            <w:rtl w:val="0"/>
          </w:rPr>
          <w:t xml:space="preserve">https://bradlove.org/blog/prob-llm-consistency</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Probability-Consistent Preference Optimization for Enhanced LLM Reasoning - ACL Anthology, accessed June 15, 2026, </w:t>
      </w:r>
      <w:hyperlink r:id="rId71">
        <w:r w:rsidDel="00000000" w:rsidR="00000000" w:rsidRPr="00000000">
          <w:rPr>
            <w:rFonts w:ascii="Google Sans" w:cs="Google Sans" w:eastAsia="Google Sans" w:hAnsi="Google Sans"/>
            <w:color w:val="0000ee"/>
            <w:sz w:val="24"/>
            <w:szCs w:val="24"/>
            <w:u w:val="single"/>
            <w:rtl w:val="0"/>
          </w:rPr>
          <w:t xml:space="preserve">https://aclanthology.org/2025.findings-acl.333.pdf</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Intuitive Guide to How LLMs Work - Mostly Harmless, accessed June 15, 2026, </w:t>
      </w:r>
      <w:hyperlink r:id="rId72">
        <w:r w:rsidDel="00000000" w:rsidR="00000000" w:rsidRPr="00000000">
          <w:rPr>
            <w:rFonts w:ascii="Google Sans" w:cs="Google Sans" w:eastAsia="Google Sans" w:hAnsi="Google Sans"/>
            <w:color w:val="0000ee"/>
            <w:sz w:val="24"/>
            <w:szCs w:val="24"/>
            <w:u w:val="single"/>
            <w:rtl w:val="0"/>
          </w:rPr>
          <w:t xml:space="preserve">https://jlowin.dev/blog/an-intuitive-guide-to-how-llms-work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7.png"/><Relationship Id="rId41" Type="http://schemas.openxmlformats.org/officeDocument/2006/relationships/image" Target="media/image9.png"/><Relationship Id="rId44" Type="http://schemas.openxmlformats.org/officeDocument/2006/relationships/image" Target="media/image6.png"/><Relationship Id="rId43" Type="http://schemas.openxmlformats.org/officeDocument/2006/relationships/image" Target="media/image8.png"/><Relationship Id="rId46" Type="http://schemas.openxmlformats.org/officeDocument/2006/relationships/image" Target="media/image3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42.png"/><Relationship Id="rId47" Type="http://schemas.openxmlformats.org/officeDocument/2006/relationships/image" Target="media/image25.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35.png"/><Relationship Id="rId8" Type="http://schemas.openxmlformats.org/officeDocument/2006/relationships/image" Target="media/image38.png"/><Relationship Id="rId72" Type="http://schemas.openxmlformats.org/officeDocument/2006/relationships/hyperlink" Target="https://jlowin.dev/blog/an-intuitive-guide-to-how-llms-work" TargetMode="External"/><Relationship Id="rId31" Type="http://schemas.openxmlformats.org/officeDocument/2006/relationships/image" Target="media/image17.png"/><Relationship Id="rId30" Type="http://schemas.openxmlformats.org/officeDocument/2006/relationships/image" Target="media/image11.png"/><Relationship Id="rId33" Type="http://schemas.openxmlformats.org/officeDocument/2006/relationships/image" Target="media/image26.png"/><Relationship Id="rId32" Type="http://schemas.openxmlformats.org/officeDocument/2006/relationships/image" Target="media/image15.png"/><Relationship Id="rId35" Type="http://schemas.openxmlformats.org/officeDocument/2006/relationships/image" Target="media/image16.png"/><Relationship Id="rId34" Type="http://schemas.openxmlformats.org/officeDocument/2006/relationships/image" Target="media/image13.png"/><Relationship Id="rId71" Type="http://schemas.openxmlformats.org/officeDocument/2006/relationships/hyperlink" Target="https://aclanthology.org/2025.findings-acl.333.pdf" TargetMode="External"/><Relationship Id="rId70" Type="http://schemas.openxmlformats.org/officeDocument/2006/relationships/hyperlink" Target="https://bradlove.org/blog/prob-llm-consistency" TargetMode="External"/><Relationship Id="rId37" Type="http://schemas.openxmlformats.org/officeDocument/2006/relationships/image" Target="media/image28.png"/><Relationship Id="rId36" Type="http://schemas.openxmlformats.org/officeDocument/2006/relationships/image" Target="media/image14.png"/><Relationship Id="rId39" Type="http://schemas.openxmlformats.org/officeDocument/2006/relationships/image" Target="media/image21.png"/><Relationship Id="rId38" Type="http://schemas.openxmlformats.org/officeDocument/2006/relationships/image" Target="media/image34.png"/><Relationship Id="rId62" Type="http://schemas.openxmlformats.org/officeDocument/2006/relationships/hyperlink" Target="https://arxiv.org/pdf/2412.18544" TargetMode="External"/><Relationship Id="rId61" Type="http://schemas.openxmlformats.org/officeDocument/2006/relationships/hyperlink" Target="https://openreview.net/pdf?id=r5IXBlTCGc" TargetMode="External"/><Relationship Id="rId20" Type="http://schemas.openxmlformats.org/officeDocument/2006/relationships/image" Target="media/image51.png"/><Relationship Id="rId64" Type="http://schemas.openxmlformats.org/officeDocument/2006/relationships/hyperlink" Target="https://aclanthology.org/2025.ranlp-1.124.pdf" TargetMode="External"/><Relationship Id="rId63" Type="http://schemas.openxmlformats.org/officeDocument/2006/relationships/hyperlink" Target="https://arxiv.org/html/2402.06147v3" TargetMode="External"/><Relationship Id="rId22" Type="http://schemas.openxmlformats.org/officeDocument/2006/relationships/image" Target="media/image12.png"/><Relationship Id="rId66" Type="http://schemas.openxmlformats.org/officeDocument/2006/relationships/hyperlink" Target="https://research.engr.oregonstate.edu/idea/sites/research.engr.oregonstate.edu.idea/files/consistent_llms_deem.pdf" TargetMode="External"/><Relationship Id="rId21" Type="http://schemas.openxmlformats.org/officeDocument/2006/relationships/image" Target="media/image47.png"/><Relationship Id="rId65" Type="http://schemas.openxmlformats.org/officeDocument/2006/relationships/hyperlink" Target="https://arxiv.org/html/2506.09408v1" TargetMode="External"/><Relationship Id="rId24" Type="http://schemas.openxmlformats.org/officeDocument/2006/relationships/image" Target="media/image22.png"/><Relationship Id="rId68" Type="http://schemas.openxmlformats.org/officeDocument/2006/relationships/hyperlink" Target="https://arxiv.org/html/2502.00511v2" TargetMode="External"/><Relationship Id="rId23" Type="http://schemas.openxmlformats.org/officeDocument/2006/relationships/image" Target="media/image20.png"/><Relationship Id="rId67" Type="http://schemas.openxmlformats.org/officeDocument/2006/relationships/hyperlink" Target="https://openreview.net/forum?id=BDBdblmyzY" TargetMode="External"/><Relationship Id="rId60" Type="http://schemas.openxmlformats.org/officeDocument/2006/relationships/hyperlink" Target="https://openreview.net/forum?id=r5IXBlTCGc" TargetMode="External"/><Relationship Id="rId26" Type="http://schemas.openxmlformats.org/officeDocument/2006/relationships/image" Target="media/image4.png"/><Relationship Id="rId25" Type="http://schemas.openxmlformats.org/officeDocument/2006/relationships/image" Target="media/image2.png"/><Relationship Id="rId69" Type="http://schemas.openxmlformats.org/officeDocument/2006/relationships/hyperlink" Target="https://openreview.net/forum?id=AV3fX3jB0H" TargetMode="External"/><Relationship Id="rId28" Type="http://schemas.openxmlformats.org/officeDocument/2006/relationships/image" Target="media/image36.png"/><Relationship Id="rId27" Type="http://schemas.openxmlformats.org/officeDocument/2006/relationships/image" Target="media/image23.png"/><Relationship Id="rId29" Type="http://schemas.openxmlformats.org/officeDocument/2006/relationships/image" Target="media/image29.png"/><Relationship Id="rId51" Type="http://schemas.openxmlformats.org/officeDocument/2006/relationships/image" Target="media/image41.png"/><Relationship Id="rId50"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53.png"/><Relationship Id="rId11" Type="http://schemas.openxmlformats.org/officeDocument/2006/relationships/image" Target="media/image37.png"/><Relationship Id="rId55" Type="http://schemas.openxmlformats.org/officeDocument/2006/relationships/image" Target="media/image40.png"/><Relationship Id="rId10" Type="http://schemas.openxmlformats.org/officeDocument/2006/relationships/image" Target="media/image27.png"/><Relationship Id="rId54" Type="http://schemas.openxmlformats.org/officeDocument/2006/relationships/image" Target="media/image10.png"/><Relationship Id="rId13" Type="http://schemas.openxmlformats.org/officeDocument/2006/relationships/image" Target="media/image1.png"/><Relationship Id="rId57" Type="http://schemas.openxmlformats.org/officeDocument/2006/relationships/image" Target="media/image30.png"/><Relationship Id="rId12" Type="http://schemas.openxmlformats.org/officeDocument/2006/relationships/image" Target="media/image39.png"/><Relationship Id="rId56" Type="http://schemas.openxmlformats.org/officeDocument/2006/relationships/image" Target="media/image24.png"/><Relationship Id="rId15" Type="http://schemas.openxmlformats.org/officeDocument/2006/relationships/image" Target="media/image50.png"/><Relationship Id="rId59" Type="http://schemas.openxmlformats.org/officeDocument/2006/relationships/hyperlink" Target="https://www.researchgate.net/publication/387381973_Consistency_Checks_for_Language_Model_Forecasters" TargetMode="External"/><Relationship Id="rId14" Type="http://schemas.openxmlformats.org/officeDocument/2006/relationships/image" Target="media/image43.png"/><Relationship Id="rId58" Type="http://schemas.openxmlformats.org/officeDocument/2006/relationships/image" Target="media/image19.png"/><Relationship Id="rId17" Type="http://schemas.openxmlformats.org/officeDocument/2006/relationships/image" Target="media/image48.png"/><Relationship Id="rId16" Type="http://schemas.openxmlformats.org/officeDocument/2006/relationships/image" Target="media/image3.png"/><Relationship Id="rId19" Type="http://schemas.openxmlformats.org/officeDocument/2006/relationships/image" Target="media/image52.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