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125EA" w14:textId="7DE59580" w:rsidR="00156EDD" w:rsidRDefault="001E757A" w:rsidP="00C323C5">
      <w:pPr>
        <w:pStyle w:val="Title"/>
      </w:pPr>
      <w:r>
        <w:t>Enable Directory Integration</w:t>
      </w:r>
    </w:p>
    <w:p w14:paraId="3BA86849" w14:textId="49044782" w:rsidR="00C323C5" w:rsidRDefault="007D0D71" w:rsidP="00C323C5">
      <w:r>
        <w:t xml:space="preserve">This guide provides setup requirements and steps to demonstrate how to </w:t>
      </w:r>
      <w:r w:rsidR="001E757A">
        <w:t>enable directory integration for an Azure Active Directory so that an on-premises directory can be extended to Azure</w:t>
      </w:r>
      <w:r w:rsidR="00AE6A74">
        <w:t xml:space="preserve"> AD</w:t>
      </w:r>
      <w:bookmarkStart w:id="0" w:name="_GoBack"/>
      <w:bookmarkEnd w:id="0"/>
      <w:r w:rsidR="001E757A">
        <w:t>.</w:t>
      </w:r>
    </w:p>
    <w:sdt>
      <w:sdtPr>
        <w:rPr>
          <w:rFonts w:asciiTheme="minorHAnsi" w:eastAsiaTheme="minorEastAsia" w:hAnsiTheme="minorHAnsi" w:cstheme="minorBidi"/>
          <w:b w:val="0"/>
          <w:bCs w:val="0"/>
          <w:color w:val="auto"/>
          <w:sz w:val="22"/>
          <w:szCs w:val="22"/>
        </w:rPr>
        <w:id w:val="-1948688402"/>
        <w:docPartObj>
          <w:docPartGallery w:val="Table of Contents"/>
          <w:docPartUnique/>
        </w:docPartObj>
      </w:sdtPr>
      <w:sdtEndPr>
        <w:rPr>
          <w:noProof/>
        </w:rPr>
      </w:sdtEndPr>
      <w:sdtContent>
        <w:p w14:paraId="46B59009" w14:textId="77777777" w:rsidR="00C323C5" w:rsidRDefault="00C323C5">
          <w:pPr>
            <w:pStyle w:val="TOCHeading"/>
          </w:pPr>
          <w:r>
            <w:t>Contents</w:t>
          </w:r>
        </w:p>
        <w:p w14:paraId="2BA5001C" w14:textId="77777777" w:rsidR="002021AB" w:rsidRDefault="00C323C5">
          <w:pPr>
            <w:pStyle w:val="TOC2"/>
            <w:tabs>
              <w:tab w:val="right" w:leader="dot" w:pos="10790"/>
            </w:tabs>
            <w:rPr>
              <w:noProof/>
            </w:rPr>
          </w:pPr>
          <w:r>
            <w:fldChar w:fldCharType="begin"/>
          </w:r>
          <w:r>
            <w:instrText xml:space="preserve"> TOC \o "1-3" \h \z \u </w:instrText>
          </w:r>
          <w:r>
            <w:fldChar w:fldCharType="separate"/>
          </w:r>
          <w:hyperlink w:anchor="_Toc428805424" w:history="1">
            <w:r w:rsidR="002021AB" w:rsidRPr="003E289A">
              <w:rPr>
                <w:rStyle w:val="Hyperlink"/>
                <w:noProof/>
              </w:rPr>
              <w:t>Pre-Requisites</w:t>
            </w:r>
            <w:r w:rsidR="002021AB">
              <w:rPr>
                <w:noProof/>
                <w:webHidden/>
              </w:rPr>
              <w:tab/>
            </w:r>
            <w:r w:rsidR="002021AB">
              <w:rPr>
                <w:noProof/>
                <w:webHidden/>
              </w:rPr>
              <w:fldChar w:fldCharType="begin"/>
            </w:r>
            <w:r w:rsidR="002021AB">
              <w:rPr>
                <w:noProof/>
                <w:webHidden/>
              </w:rPr>
              <w:instrText xml:space="preserve"> PAGEREF _Toc428805424 \h </w:instrText>
            </w:r>
            <w:r w:rsidR="002021AB">
              <w:rPr>
                <w:noProof/>
                <w:webHidden/>
              </w:rPr>
            </w:r>
            <w:r w:rsidR="002021AB">
              <w:rPr>
                <w:noProof/>
                <w:webHidden/>
              </w:rPr>
              <w:fldChar w:fldCharType="separate"/>
            </w:r>
            <w:r w:rsidR="002021AB">
              <w:rPr>
                <w:noProof/>
                <w:webHidden/>
              </w:rPr>
              <w:t>1</w:t>
            </w:r>
            <w:r w:rsidR="002021AB">
              <w:rPr>
                <w:noProof/>
                <w:webHidden/>
              </w:rPr>
              <w:fldChar w:fldCharType="end"/>
            </w:r>
          </w:hyperlink>
        </w:p>
        <w:p w14:paraId="740205A4" w14:textId="77777777" w:rsidR="002021AB" w:rsidRDefault="00AE6A74">
          <w:pPr>
            <w:pStyle w:val="TOC2"/>
            <w:tabs>
              <w:tab w:val="right" w:leader="dot" w:pos="10790"/>
            </w:tabs>
            <w:rPr>
              <w:noProof/>
            </w:rPr>
          </w:pPr>
          <w:hyperlink w:anchor="_Toc428805425" w:history="1">
            <w:r w:rsidR="002021AB" w:rsidRPr="003E289A">
              <w:rPr>
                <w:rStyle w:val="Hyperlink"/>
                <w:noProof/>
              </w:rPr>
              <w:t>Setup</w:t>
            </w:r>
            <w:r w:rsidR="002021AB">
              <w:rPr>
                <w:noProof/>
                <w:webHidden/>
              </w:rPr>
              <w:tab/>
            </w:r>
            <w:r w:rsidR="002021AB">
              <w:rPr>
                <w:noProof/>
                <w:webHidden/>
              </w:rPr>
              <w:fldChar w:fldCharType="begin"/>
            </w:r>
            <w:r w:rsidR="002021AB">
              <w:rPr>
                <w:noProof/>
                <w:webHidden/>
              </w:rPr>
              <w:instrText xml:space="preserve"> PAGEREF _Toc428805425 \h </w:instrText>
            </w:r>
            <w:r w:rsidR="002021AB">
              <w:rPr>
                <w:noProof/>
                <w:webHidden/>
              </w:rPr>
            </w:r>
            <w:r w:rsidR="002021AB">
              <w:rPr>
                <w:noProof/>
                <w:webHidden/>
              </w:rPr>
              <w:fldChar w:fldCharType="separate"/>
            </w:r>
            <w:r w:rsidR="002021AB">
              <w:rPr>
                <w:noProof/>
                <w:webHidden/>
              </w:rPr>
              <w:t>1</w:t>
            </w:r>
            <w:r w:rsidR="002021AB">
              <w:rPr>
                <w:noProof/>
                <w:webHidden/>
              </w:rPr>
              <w:fldChar w:fldCharType="end"/>
            </w:r>
          </w:hyperlink>
        </w:p>
        <w:p w14:paraId="0C9F4BC2" w14:textId="77777777" w:rsidR="002021AB" w:rsidRDefault="00AE6A74">
          <w:pPr>
            <w:pStyle w:val="TOC2"/>
            <w:tabs>
              <w:tab w:val="right" w:leader="dot" w:pos="10790"/>
            </w:tabs>
            <w:rPr>
              <w:noProof/>
            </w:rPr>
          </w:pPr>
          <w:hyperlink w:anchor="_Toc428805426" w:history="1">
            <w:r w:rsidR="002021AB" w:rsidRPr="003E289A">
              <w:rPr>
                <w:rStyle w:val="Hyperlink"/>
                <w:noProof/>
              </w:rPr>
              <w:t>Demo Steps</w:t>
            </w:r>
            <w:r w:rsidR="002021AB">
              <w:rPr>
                <w:noProof/>
                <w:webHidden/>
              </w:rPr>
              <w:tab/>
            </w:r>
            <w:r w:rsidR="002021AB">
              <w:rPr>
                <w:noProof/>
                <w:webHidden/>
              </w:rPr>
              <w:fldChar w:fldCharType="begin"/>
            </w:r>
            <w:r w:rsidR="002021AB">
              <w:rPr>
                <w:noProof/>
                <w:webHidden/>
              </w:rPr>
              <w:instrText xml:space="preserve"> PAGEREF _Toc428805426 \h </w:instrText>
            </w:r>
            <w:r w:rsidR="002021AB">
              <w:rPr>
                <w:noProof/>
                <w:webHidden/>
              </w:rPr>
            </w:r>
            <w:r w:rsidR="002021AB">
              <w:rPr>
                <w:noProof/>
                <w:webHidden/>
              </w:rPr>
              <w:fldChar w:fldCharType="separate"/>
            </w:r>
            <w:r w:rsidR="002021AB">
              <w:rPr>
                <w:noProof/>
                <w:webHidden/>
              </w:rPr>
              <w:t>1</w:t>
            </w:r>
            <w:r w:rsidR="002021AB">
              <w:rPr>
                <w:noProof/>
                <w:webHidden/>
              </w:rPr>
              <w:fldChar w:fldCharType="end"/>
            </w:r>
          </w:hyperlink>
        </w:p>
        <w:p w14:paraId="562A0999" w14:textId="77777777" w:rsidR="002021AB" w:rsidRDefault="00AE6A74">
          <w:pPr>
            <w:pStyle w:val="TOC2"/>
            <w:tabs>
              <w:tab w:val="right" w:leader="dot" w:pos="10790"/>
            </w:tabs>
            <w:rPr>
              <w:noProof/>
            </w:rPr>
          </w:pPr>
          <w:hyperlink w:anchor="_Toc428805427" w:history="1">
            <w:r w:rsidR="002021AB" w:rsidRPr="003E289A">
              <w:rPr>
                <w:rStyle w:val="Hyperlink"/>
                <w:noProof/>
              </w:rPr>
              <w:t>Clean Up</w:t>
            </w:r>
            <w:r w:rsidR="002021AB">
              <w:rPr>
                <w:noProof/>
                <w:webHidden/>
              </w:rPr>
              <w:tab/>
            </w:r>
            <w:r w:rsidR="002021AB">
              <w:rPr>
                <w:noProof/>
                <w:webHidden/>
              </w:rPr>
              <w:fldChar w:fldCharType="begin"/>
            </w:r>
            <w:r w:rsidR="002021AB">
              <w:rPr>
                <w:noProof/>
                <w:webHidden/>
              </w:rPr>
              <w:instrText xml:space="preserve"> PAGEREF _Toc428805427 \h </w:instrText>
            </w:r>
            <w:r w:rsidR="002021AB">
              <w:rPr>
                <w:noProof/>
                <w:webHidden/>
              </w:rPr>
            </w:r>
            <w:r w:rsidR="002021AB">
              <w:rPr>
                <w:noProof/>
                <w:webHidden/>
              </w:rPr>
              <w:fldChar w:fldCharType="separate"/>
            </w:r>
            <w:r w:rsidR="002021AB">
              <w:rPr>
                <w:noProof/>
                <w:webHidden/>
              </w:rPr>
              <w:t>2</w:t>
            </w:r>
            <w:r w:rsidR="002021AB">
              <w:rPr>
                <w:noProof/>
                <w:webHidden/>
              </w:rPr>
              <w:fldChar w:fldCharType="end"/>
            </w:r>
          </w:hyperlink>
        </w:p>
        <w:p w14:paraId="3D15EA14" w14:textId="77777777" w:rsidR="00C323C5" w:rsidRDefault="00C323C5">
          <w:r>
            <w:rPr>
              <w:b/>
              <w:bCs/>
              <w:noProof/>
            </w:rPr>
            <w:fldChar w:fldCharType="end"/>
          </w:r>
        </w:p>
      </w:sdtContent>
    </w:sdt>
    <w:p w14:paraId="0CC1CE72" w14:textId="77777777" w:rsidR="00C323C5" w:rsidRDefault="00C323C5" w:rsidP="00C323C5"/>
    <w:p w14:paraId="0219A257" w14:textId="77777777" w:rsidR="00C323C5" w:rsidRDefault="00C323C5" w:rsidP="00C323C5">
      <w:pPr>
        <w:pStyle w:val="Heading2"/>
      </w:pPr>
      <w:bookmarkStart w:id="1" w:name="_Toc428805424"/>
      <w:r>
        <w:t>Pre-Requisites</w:t>
      </w:r>
      <w:bookmarkEnd w:id="1"/>
    </w:p>
    <w:p w14:paraId="2C759C8D" w14:textId="77777777" w:rsidR="00C323C5" w:rsidRDefault="00C323C5" w:rsidP="00C323C5">
      <w:r>
        <w:t>This section lists the pre-requisites required for this demonstration.</w:t>
      </w:r>
    </w:p>
    <w:p w14:paraId="3BEB40A6" w14:textId="7B315B0B" w:rsidR="00F55912" w:rsidRDefault="00C323C5" w:rsidP="00F55912">
      <w:pPr>
        <w:pStyle w:val="ListParagraph"/>
        <w:numPr>
          <w:ilvl w:val="0"/>
          <w:numId w:val="1"/>
        </w:numPr>
      </w:pPr>
      <w:r>
        <w:t>An Azure subscription</w:t>
      </w:r>
    </w:p>
    <w:p w14:paraId="2271F663" w14:textId="77777777" w:rsidR="00C323C5" w:rsidRDefault="00C323C5" w:rsidP="00C323C5">
      <w:pPr>
        <w:pStyle w:val="Heading2"/>
      </w:pPr>
      <w:bookmarkStart w:id="2" w:name="_Toc428805425"/>
      <w:r>
        <w:t>Setup</w:t>
      </w:r>
      <w:bookmarkEnd w:id="2"/>
    </w:p>
    <w:p w14:paraId="5325D864" w14:textId="77777777" w:rsidR="00F55912" w:rsidRDefault="00F55912" w:rsidP="00F55912">
      <w:r>
        <w:t xml:space="preserve">There are no setup requirements if you performed the setup requirements for </w:t>
      </w:r>
      <w:r w:rsidRPr="00F55912">
        <w:rPr>
          <w:b/>
        </w:rPr>
        <w:t>Demo 1 – App Integration</w:t>
      </w:r>
      <w:r>
        <w:t>.  Otherwise, perform the setup instructions for demo 1.</w:t>
      </w:r>
    </w:p>
    <w:p w14:paraId="001F81DF" w14:textId="77777777" w:rsidR="00C323C5" w:rsidRDefault="00C323C5" w:rsidP="00C323C5">
      <w:pPr>
        <w:pStyle w:val="Heading2"/>
      </w:pPr>
      <w:bookmarkStart w:id="3" w:name="_Toc428805426"/>
      <w:r>
        <w:t>Demo Steps</w:t>
      </w:r>
      <w:bookmarkEnd w:id="3"/>
    </w:p>
    <w:p w14:paraId="53C5EADA" w14:textId="6DF8140A" w:rsidR="00C323C5" w:rsidRPr="00C323C5" w:rsidRDefault="00C323C5" w:rsidP="00C323C5">
      <w:pPr>
        <w:rPr>
          <w:rStyle w:val="SubtleEmphasis"/>
        </w:rPr>
      </w:pPr>
      <w:r w:rsidRPr="00C323C5">
        <w:rPr>
          <w:rStyle w:val="SubtleEmphasis"/>
        </w:rPr>
        <w:t xml:space="preserve">Estimated time: </w:t>
      </w:r>
      <w:r w:rsidR="004A71E1">
        <w:rPr>
          <w:rStyle w:val="SubtleEmphasis"/>
        </w:rPr>
        <w:t>5</w:t>
      </w:r>
      <w:r w:rsidR="00F32834">
        <w:rPr>
          <w:rStyle w:val="SubtleEmphasis"/>
        </w:rPr>
        <w:t xml:space="preserve"> minutes</w:t>
      </w:r>
    </w:p>
    <w:tbl>
      <w:tblPr>
        <w:tblStyle w:val="TableGrid"/>
        <w:tblW w:w="0" w:type="auto"/>
        <w:tblLayout w:type="fixed"/>
        <w:tblLook w:val="04A0" w:firstRow="1" w:lastRow="0" w:firstColumn="1" w:lastColumn="0" w:noHBand="0" w:noVBand="1"/>
      </w:tblPr>
      <w:tblGrid>
        <w:gridCol w:w="6835"/>
        <w:gridCol w:w="3955"/>
      </w:tblGrid>
      <w:tr w:rsidR="00707825" w14:paraId="7CCBA9A8" w14:textId="77777777" w:rsidTr="004D05E3">
        <w:tc>
          <w:tcPr>
            <w:tcW w:w="6835" w:type="dxa"/>
          </w:tcPr>
          <w:p w14:paraId="61C642DF" w14:textId="12177519" w:rsidR="00916D5C" w:rsidRDefault="00707825" w:rsidP="00707825">
            <w:pPr>
              <w:pStyle w:val="ListParagraph"/>
              <w:numPr>
                <w:ilvl w:val="0"/>
                <w:numId w:val="3"/>
              </w:numPr>
            </w:pPr>
            <w:r w:rsidRPr="00707825">
              <w:t xml:space="preserve">In the Azure Management portal, </w:t>
            </w:r>
            <w:r w:rsidR="00916D5C">
              <w:t xml:space="preserve">click on </w:t>
            </w:r>
            <w:r w:rsidR="00916D5C" w:rsidRPr="00916D5C">
              <w:rPr>
                <w:b/>
              </w:rPr>
              <w:t>ACTIVE DIRECTORY</w:t>
            </w:r>
            <w:r w:rsidR="00916D5C">
              <w:t xml:space="preserve"> in the left navigation.</w:t>
            </w:r>
          </w:p>
          <w:p w14:paraId="495B9BD5" w14:textId="77777777" w:rsidR="00916D5C" w:rsidRDefault="00916D5C" w:rsidP="00707825">
            <w:pPr>
              <w:pStyle w:val="ListParagraph"/>
              <w:numPr>
                <w:ilvl w:val="0"/>
                <w:numId w:val="3"/>
              </w:numPr>
            </w:pPr>
            <w:r>
              <w:t xml:space="preserve">Click on the </w:t>
            </w:r>
            <w:r w:rsidRPr="00916D5C">
              <w:rPr>
                <w:b/>
              </w:rPr>
              <w:t xml:space="preserve">Azure </w:t>
            </w:r>
            <w:proofErr w:type="spellStart"/>
            <w:r w:rsidRPr="00916D5C">
              <w:rPr>
                <w:b/>
              </w:rPr>
              <w:t>CoE</w:t>
            </w:r>
            <w:proofErr w:type="spellEnd"/>
            <w:r>
              <w:t xml:space="preserve"> directory name.</w:t>
            </w:r>
          </w:p>
          <w:p w14:paraId="769D7827" w14:textId="77777777" w:rsidR="00916D5C" w:rsidRDefault="00916D5C" w:rsidP="00BF5C73">
            <w:pPr>
              <w:pStyle w:val="ListParagraph"/>
              <w:numPr>
                <w:ilvl w:val="0"/>
                <w:numId w:val="3"/>
              </w:numPr>
            </w:pPr>
            <w:r>
              <w:t xml:space="preserve">Click on the </w:t>
            </w:r>
            <w:r w:rsidR="00707825" w:rsidRPr="00916D5C">
              <w:rPr>
                <w:b/>
                <w:bCs/>
              </w:rPr>
              <w:t xml:space="preserve">DIRECTORY INTEGRATION </w:t>
            </w:r>
            <w:r>
              <w:t>tab at the top of the page.</w:t>
            </w:r>
          </w:p>
          <w:p w14:paraId="45EF6AA7" w14:textId="77777777" w:rsidR="00707825" w:rsidRPr="00707825" w:rsidRDefault="00707825" w:rsidP="00707825">
            <w:pPr>
              <w:pStyle w:val="ListParagraph"/>
              <w:numPr>
                <w:ilvl w:val="0"/>
                <w:numId w:val="3"/>
              </w:numPr>
            </w:pPr>
            <w:r w:rsidRPr="00707825">
              <w:t xml:space="preserve">Set the </w:t>
            </w:r>
            <w:r w:rsidRPr="00707825">
              <w:rPr>
                <w:b/>
                <w:bCs/>
              </w:rPr>
              <w:t xml:space="preserve">DIRECTORY SYNC </w:t>
            </w:r>
            <w:r w:rsidRPr="00707825">
              <w:t xml:space="preserve">option to </w:t>
            </w:r>
            <w:r w:rsidRPr="00707825">
              <w:rPr>
                <w:b/>
                <w:bCs/>
              </w:rPr>
              <w:t>ACTIVATED</w:t>
            </w:r>
            <w:r w:rsidRPr="00707825">
              <w:t>.</w:t>
            </w:r>
          </w:p>
          <w:p w14:paraId="0CDB6608" w14:textId="77777777" w:rsidR="00707825" w:rsidRPr="00707825" w:rsidRDefault="00707825" w:rsidP="00707825">
            <w:pPr>
              <w:pStyle w:val="ListParagraph"/>
              <w:numPr>
                <w:ilvl w:val="0"/>
                <w:numId w:val="3"/>
              </w:numPr>
            </w:pPr>
            <w:r w:rsidRPr="00707825">
              <w:rPr>
                <w:b/>
                <w:bCs/>
              </w:rPr>
              <w:t>SAVE.</w:t>
            </w:r>
          </w:p>
          <w:p w14:paraId="57E600D2" w14:textId="77777777" w:rsidR="00707825" w:rsidRDefault="00707825" w:rsidP="004646BE">
            <w:pPr>
              <w:pStyle w:val="ListParagraph"/>
              <w:numPr>
                <w:ilvl w:val="1"/>
                <w:numId w:val="3"/>
              </w:numPr>
            </w:pPr>
            <w:r w:rsidRPr="00707825">
              <w:t xml:space="preserve">Point out the confirmation message stating that the local directory will become the authoritative data source for user properties in Azure AD. </w:t>
            </w:r>
          </w:p>
          <w:p w14:paraId="10CD9AD5" w14:textId="74CBF3BB" w:rsidR="00707825" w:rsidRDefault="00707825" w:rsidP="002021AB">
            <w:pPr>
              <w:pStyle w:val="ListParagraph"/>
              <w:numPr>
                <w:ilvl w:val="0"/>
                <w:numId w:val="3"/>
              </w:numPr>
            </w:pPr>
            <w:r w:rsidRPr="00707825">
              <w:t xml:space="preserve">Show the </w:t>
            </w:r>
            <w:r w:rsidRPr="00707825">
              <w:rPr>
                <w:b/>
                <w:bCs/>
              </w:rPr>
              <w:t xml:space="preserve">3 steps </w:t>
            </w:r>
            <w:r w:rsidR="004646BE">
              <w:t>under</w:t>
            </w:r>
            <w:r w:rsidRPr="00707825">
              <w:t xml:space="preserve"> </w:t>
            </w:r>
            <w:proofErr w:type="gramStart"/>
            <w:r w:rsidRPr="00707825">
              <w:t xml:space="preserve">the </w:t>
            </w:r>
            <w:r w:rsidRPr="004646BE">
              <w:rPr>
                <w:b/>
              </w:rPr>
              <w:t>deploy</w:t>
            </w:r>
            <w:proofErr w:type="gramEnd"/>
            <w:r w:rsidRPr="004646BE">
              <w:rPr>
                <w:b/>
              </w:rPr>
              <w:t xml:space="preserve"> and manage</w:t>
            </w:r>
            <w:r w:rsidRPr="00707825">
              <w:t xml:space="preserve"> section.</w:t>
            </w:r>
          </w:p>
        </w:tc>
        <w:tc>
          <w:tcPr>
            <w:tcW w:w="3955" w:type="dxa"/>
          </w:tcPr>
          <w:p w14:paraId="3AB99666" w14:textId="58E37528" w:rsidR="00707825" w:rsidRDefault="004646BE" w:rsidP="00180D00">
            <w:pPr>
              <w:jc w:val="right"/>
              <w:rPr>
                <w:noProof/>
              </w:rPr>
            </w:pPr>
            <w:r>
              <w:rPr>
                <w:noProof/>
              </w:rPr>
              <w:drawing>
                <wp:inline distT="0" distB="0" distL="0" distR="0" wp14:anchorId="29126403" wp14:editId="2D794127">
                  <wp:extent cx="2329290" cy="2370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1063" cy="2372210"/>
                          </a:xfrm>
                          <a:prstGeom prst="rect">
                            <a:avLst/>
                          </a:prstGeom>
                        </pic:spPr>
                      </pic:pic>
                    </a:graphicData>
                  </a:graphic>
                </wp:inline>
              </w:drawing>
            </w:r>
          </w:p>
        </w:tc>
      </w:tr>
      <w:tr w:rsidR="004646BE" w14:paraId="5F4D28B3" w14:textId="77777777" w:rsidTr="004D05E3">
        <w:tc>
          <w:tcPr>
            <w:tcW w:w="6835" w:type="dxa"/>
          </w:tcPr>
          <w:p w14:paraId="61CCBD4E" w14:textId="32433C83" w:rsidR="004646BE" w:rsidRDefault="004646BE" w:rsidP="004646BE">
            <w:pPr>
              <w:pStyle w:val="ListParagraph"/>
              <w:numPr>
                <w:ilvl w:val="0"/>
                <w:numId w:val="3"/>
              </w:numPr>
            </w:pPr>
            <w:r w:rsidRPr="00707825">
              <w:lastRenderedPageBreak/>
              <w:t>While waiting for directory integration to be enabled</w:t>
            </w:r>
            <w:r>
              <w:t xml:space="preserve"> show where </w:t>
            </w:r>
            <w:proofErr w:type="gramStart"/>
            <w:r>
              <w:t>step 1</w:t>
            </w:r>
            <w:proofErr w:type="gramEnd"/>
            <w:r>
              <w:t xml:space="preserve"> (domains) can be setup.  Click on the </w:t>
            </w:r>
            <w:r w:rsidRPr="004646BE">
              <w:rPr>
                <w:b/>
              </w:rPr>
              <w:t>DOMAINS</w:t>
            </w:r>
            <w:r>
              <w:t xml:space="preserve"> tab at the top of the page.</w:t>
            </w:r>
          </w:p>
          <w:p w14:paraId="130029AF" w14:textId="74A5D613" w:rsidR="004646BE" w:rsidRDefault="004646BE" w:rsidP="004646BE">
            <w:pPr>
              <w:pStyle w:val="ListParagraph"/>
              <w:numPr>
                <w:ilvl w:val="1"/>
                <w:numId w:val="3"/>
              </w:numPr>
            </w:pPr>
            <w:r>
              <w:t xml:space="preserve">Click the </w:t>
            </w:r>
            <w:r w:rsidRPr="004646BE">
              <w:rPr>
                <w:b/>
              </w:rPr>
              <w:t>ADD</w:t>
            </w:r>
            <w:r>
              <w:t xml:space="preserve"> button at the bottom of the page.</w:t>
            </w:r>
          </w:p>
          <w:p w14:paraId="19129396" w14:textId="6B81243E" w:rsidR="004646BE" w:rsidRDefault="004646BE" w:rsidP="004646BE">
            <w:pPr>
              <w:pStyle w:val="ListParagraph"/>
              <w:numPr>
                <w:ilvl w:val="1"/>
                <w:numId w:val="3"/>
              </w:numPr>
            </w:pPr>
            <w:r>
              <w:t xml:space="preserve">Set </w:t>
            </w:r>
            <w:r w:rsidRPr="004646BE">
              <w:rPr>
                <w:b/>
              </w:rPr>
              <w:t>DOMAIN NAME</w:t>
            </w:r>
            <w:r>
              <w:t xml:space="preserve"> to </w:t>
            </w:r>
            <w:r w:rsidRPr="004646BE">
              <w:rPr>
                <w:b/>
              </w:rPr>
              <w:t>azurecoe.com</w:t>
            </w:r>
            <w:r>
              <w:t>.</w:t>
            </w:r>
          </w:p>
          <w:p w14:paraId="78B49E8E" w14:textId="4A988881" w:rsidR="004646BE" w:rsidRDefault="004646BE" w:rsidP="004646BE">
            <w:pPr>
              <w:pStyle w:val="ListParagraph"/>
              <w:numPr>
                <w:ilvl w:val="1"/>
                <w:numId w:val="3"/>
              </w:numPr>
            </w:pPr>
            <w:r>
              <w:t xml:space="preserve">Explain the option to configure the domain for SSO pointing out that this only applies if you have an on-premises ADFS implementation you plan to integrate with.  It really isn’t necessary to check this box </w:t>
            </w:r>
            <w:r w:rsidR="001C0CC7">
              <w:t>though because the AAD Connect tool handles all the necessary steps.  So, basically, you’re just telling the audience to ignore this.</w:t>
            </w:r>
          </w:p>
          <w:p w14:paraId="6320BE7A" w14:textId="4F3EC047" w:rsidR="001C0CC7" w:rsidRDefault="001C0CC7" w:rsidP="001C0CC7">
            <w:pPr>
              <w:pStyle w:val="ListParagraph"/>
              <w:numPr>
                <w:ilvl w:val="1"/>
                <w:numId w:val="3"/>
              </w:numPr>
            </w:pPr>
            <w:r>
              <w:t xml:space="preserve">Click the green </w:t>
            </w:r>
            <w:r w:rsidRPr="001C0CC7">
              <w:rPr>
                <w:b/>
              </w:rPr>
              <w:t>add</w:t>
            </w:r>
            <w:r>
              <w:t xml:space="preserve"> button.</w:t>
            </w:r>
          </w:p>
          <w:p w14:paraId="35633DC8" w14:textId="5E4BA349" w:rsidR="001C0CC7" w:rsidRDefault="001C0CC7" w:rsidP="001C0CC7">
            <w:pPr>
              <w:pStyle w:val="ListParagraph"/>
              <w:numPr>
                <w:ilvl w:val="1"/>
                <w:numId w:val="3"/>
              </w:numPr>
            </w:pPr>
            <w:r>
              <w:t>Click the right-arrow to continue to the next page.</w:t>
            </w:r>
          </w:p>
          <w:p w14:paraId="6D197625" w14:textId="3709C8FC" w:rsidR="001C0CC7" w:rsidRDefault="001C0CC7" w:rsidP="001C0CC7">
            <w:pPr>
              <w:pStyle w:val="ListParagraph"/>
              <w:numPr>
                <w:ilvl w:val="1"/>
                <w:numId w:val="3"/>
              </w:numPr>
            </w:pPr>
            <w:r>
              <w:t>Explain the information in the last page, which is simply a TXT record that Azure AD generates for you.  To prove you own this domain, you must add this TXT record with your domain registrar.  After doing so, you can click the green verify button.  If you entered the TXT record correctly, then Azure AD will be able to verify your ownership of the domain.  Since you don’t own the domain you won’t be able to show this but at least you have demonstrated where to configure custom domains.</w:t>
            </w:r>
          </w:p>
          <w:p w14:paraId="08CADA58" w14:textId="62A4B423" w:rsidR="001C0CC7" w:rsidRDefault="001C0CC7" w:rsidP="001C0CC7">
            <w:pPr>
              <w:pStyle w:val="ListParagraph"/>
              <w:ind w:left="1080"/>
            </w:pPr>
            <w:r>
              <w:t>Also, having a custom domain is not technically required for this demo unless you are configuring AD FS, in which case certificates for the domain are absolutely required.</w:t>
            </w:r>
          </w:p>
          <w:p w14:paraId="0D703E7F" w14:textId="58C410A9" w:rsidR="001C0CC7" w:rsidRDefault="001C0CC7" w:rsidP="001C0CC7">
            <w:pPr>
              <w:pStyle w:val="ListParagraph"/>
              <w:numPr>
                <w:ilvl w:val="1"/>
                <w:numId w:val="3"/>
              </w:numPr>
            </w:pPr>
            <w:r>
              <w:t>Click the check-mark button in the lower-right corner of the page.</w:t>
            </w:r>
          </w:p>
          <w:p w14:paraId="225C9A93" w14:textId="274C7096" w:rsidR="004646BE" w:rsidRPr="00707825" w:rsidRDefault="00852763" w:rsidP="00852763">
            <w:pPr>
              <w:pStyle w:val="ListParagraph"/>
              <w:numPr>
                <w:ilvl w:val="0"/>
                <w:numId w:val="3"/>
              </w:numPr>
            </w:pPr>
            <w:r>
              <w:t xml:space="preserve">Show the two domains in the Azure </w:t>
            </w:r>
            <w:proofErr w:type="spellStart"/>
            <w:r>
              <w:t>CoE</w:t>
            </w:r>
            <w:proofErr w:type="spellEnd"/>
            <w:r>
              <w:t xml:space="preserve"> domain where the custom domain has been added but not yet verified.</w:t>
            </w:r>
          </w:p>
        </w:tc>
        <w:tc>
          <w:tcPr>
            <w:tcW w:w="3955" w:type="dxa"/>
          </w:tcPr>
          <w:p w14:paraId="7DD479AA" w14:textId="77777777" w:rsidR="004646BE" w:rsidRDefault="004646BE" w:rsidP="00180D00">
            <w:pPr>
              <w:jc w:val="right"/>
              <w:rPr>
                <w:noProof/>
              </w:rPr>
            </w:pPr>
            <w:r>
              <w:rPr>
                <w:noProof/>
              </w:rPr>
              <w:drawing>
                <wp:inline distT="0" distB="0" distL="0" distR="0" wp14:anchorId="6BA326EB" wp14:editId="44FC9B7D">
                  <wp:extent cx="2149182" cy="128410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9022" cy="1289985"/>
                          </a:xfrm>
                          <a:prstGeom prst="rect">
                            <a:avLst/>
                          </a:prstGeom>
                        </pic:spPr>
                      </pic:pic>
                    </a:graphicData>
                  </a:graphic>
                </wp:inline>
              </w:drawing>
            </w:r>
          </w:p>
          <w:p w14:paraId="5462A02B" w14:textId="77777777" w:rsidR="001C0CC7" w:rsidRDefault="001C0CC7" w:rsidP="00180D00">
            <w:pPr>
              <w:jc w:val="right"/>
              <w:rPr>
                <w:noProof/>
              </w:rPr>
            </w:pPr>
            <w:r>
              <w:rPr>
                <w:noProof/>
              </w:rPr>
              <w:drawing>
                <wp:inline distT="0" distB="0" distL="0" distR="0" wp14:anchorId="67B12B8C" wp14:editId="3DB4FB7D">
                  <wp:extent cx="2116992" cy="1463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3460" cy="1481332"/>
                          </a:xfrm>
                          <a:prstGeom prst="rect">
                            <a:avLst/>
                          </a:prstGeom>
                        </pic:spPr>
                      </pic:pic>
                    </a:graphicData>
                  </a:graphic>
                </wp:inline>
              </w:drawing>
            </w:r>
          </w:p>
          <w:p w14:paraId="6F4523ED" w14:textId="77777777" w:rsidR="001C0CC7" w:rsidRDefault="001C0CC7" w:rsidP="00180D00">
            <w:pPr>
              <w:jc w:val="right"/>
              <w:rPr>
                <w:noProof/>
              </w:rPr>
            </w:pPr>
            <w:r>
              <w:rPr>
                <w:noProof/>
              </w:rPr>
              <w:drawing>
                <wp:inline distT="0" distB="0" distL="0" distR="0" wp14:anchorId="69B792A3" wp14:editId="4A529C86">
                  <wp:extent cx="2046075" cy="173032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4449" cy="1737407"/>
                          </a:xfrm>
                          <a:prstGeom prst="rect">
                            <a:avLst/>
                          </a:prstGeom>
                        </pic:spPr>
                      </pic:pic>
                    </a:graphicData>
                  </a:graphic>
                </wp:inline>
              </w:drawing>
            </w:r>
          </w:p>
          <w:p w14:paraId="55A2BD83" w14:textId="349121CC" w:rsidR="001C0CC7" w:rsidRDefault="001C0CC7" w:rsidP="00180D00">
            <w:pPr>
              <w:jc w:val="right"/>
              <w:rPr>
                <w:noProof/>
              </w:rPr>
            </w:pPr>
            <w:r>
              <w:rPr>
                <w:noProof/>
              </w:rPr>
              <w:drawing>
                <wp:inline distT="0" distB="0" distL="0" distR="0" wp14:anchorId="3ECA67D3" wp14:editId="75FDE5E3">
                  <wp:extent cx="2374265" cy="53594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4265" cy="535940"/>
                          </a:xfrm>
                          <a:prstGeom prst="rect">
                            <a:avLst/>
                          </a:prstGeom>
                        </pic:spPr>
                      </pic:pic>
                    </a:graphicData>
                  </a:graphic>
                </wp:inline>
              </w:drawing>
            </w:r>
          </w:p>
        </w:tc>
      </w:tr>
      <w:tr w:rsidR="00852763" w14:paraId="55897712" w14:textId="77777777" w:rsidTr="004D05E3">
        <w:tc>
          <w:tcPr>
            <w:tcW w:w="6835" w:type="dxa"/>
          </w:tcPr>
          <w:p w14:paraId="3A87E456" w14:textId="11983B88" w:rsidR="00852763" w:rsidRDefault="00852763" w:rsidP="004646BE">
            <w:pPr>
              <w:pStyle w:val="ListParagraph"/>
              <w:numPr>
                <w:ilvl w:val="0"/>
                <w:numId w:val="3"/>
              </w:numPr>
            </w:pPr>
            <w:r>
              <w:t xml:space="preserve">Click on the </w:t>
            </w:r>
            <w:r w:rsidRPr="00852763">
              <w:rPr>
                <w:b/>
              </w:rPr>
              <w:t>DIRECTORY INTEGRATION</w:t>
            </w:r>
            <w:r>
              <w:t xml:space="preserve"> tab at the top of the page.  </w:t>
            </w:r>
          </w:p>
          <w:p w14:paraId="024E8149" w14:textId="3F83BCB5" w:rsidR="00852763" w:rsidRDefault="00852763" w:rsidP="004646BE">
            <w:pPr>
              <w:pStyle w:val="ListParagraph"/>
              <w:numPr>
                <w:ilvl w:val="0"/>
                <w:numId w:val="3"/>
              </w:numPr>
            </w:pPr>
            <w:r>
              <w:t xml:space="preserve">Show </w:t>
            </w:r>
            <w:r w:rsidR="00F55912">
              <w:t xml:space="preserve">the section in </w:t>
            </w:r>
            <w:r w:rsidR="00F55912" w:rsidRPr="00F55912">
              <w:rPr>
                <w:b/>
              </w:rPr>
              <w:t>s</w:t>
            </w:r>
            <w:r w:rsidRPr="00F55912">
              <w:rPr>
                <w:b/>
              </w:rPr>
              <w:t>tep 2</w:t>
            </w:r>
            <w:r>
              <w:t>….</w:t>
            </w:r>
          </w:p>
          <w:p w14:paraId="17FB8800" w14:textId="2FA2284C" w:rsidR="00852763" w:rsidRPr="00707825" w:rsidRDefault="00852763" w:rsidP="00852763">
            <w:pPr>
              <w:pStyle w:val="ListParagraph"/>
              <w:numPr>
                <w:ilvl w:val="1"/>
                <w:numId w:val="3"/>
              </w:numPr>
            </w:pPr>
            <w:r>
              <w:t xml:space="preserve">Click the download link to show that AAD Connect is just an MSI.  Don’t actually download it though. </w:t>
            </w:r>
            <w:r w:rsidRPr="00707825">
              <w:t>Explain that you would download this to the machine that you are designating as the directory sync server in your on-premises environment.</w:t>
            </w:r>
          </w:p>
        </w:tc>
        <w:tc>
          <w:tcPr>
            <w:tcW w:w="3955" w:type="dxa"/>
          </w:tcPr>
          <w:p w14:paraId="279D3866" w14:textId="08B9102A" w:rsidR="00852763" w:rsidRDefault="00852763" w:rsidP="00180D00">
            <w:pPr>
              <w:jc w:val="right"/>
              <w:rPr>
                <w:noProof/>
              </w:rPr>
            </w:pPr>
            <w:r>
              <w:rPr>
                <w:noProof/>
              </w:rPr>
              <w:drawing>
                <wp:inline distT="0" distB="0" distL="0" distR="0" wp14:anchorId="3EADE344" wp14:editId="2FF47089">
                  <wp:extent cx="2374265" cy="126301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4265" cy="1263015"/>
                          </a:xfrm>
                          <a:prstGeom prst="rect">
                            <a:avLst/>
                          </a:prstGeom>
                        </pic:spPr>
                      </pic:pic>
                    </a:graphicData>
                  </a:graphic>
                </wp:inline>
              </w:drawing>
            </w:r>
          </w:p>
        </w:tc>
      </w:tr>
    </w:tbl>
    <w:p w14:paraId="3DCD46A9" w14:textId="77777777" w:rsidR="00A20173" w:rsidRDefault="00A20173" w:rsidP="00C323C5"/>
    <w:p w14:paraId="392585AE" w14:textId="77777777" w:rsidR="00C323C5" w:rsidRDefault="00C323C5" w:rsidP="00C323C5">
      <w:pPr>
        <w:pStyle w:val="Heading2"/>
      </w:pPr>
      <w:bookmarkStart w:id="4" w:name="_Toc428805427"/>
      <w:r>
        <w:t>Clean Up</w:t>
      </w:r>
      <w:bookmarkEnd w:id="4"/>
    </w:p>
    <w:p w14:paraId="66A93CD3" w14:textId="77777777" w:rsidR="008557BE" w:rsidRDefault="008557BE" w:rsidP="00C323C5">
      <w:r>
        <w:t>To clean up after this demo perform the following steps:</w:t>
      </w:r>
    </w:p>
    <w:p w14:paraId="6EFA7E26" w14:textId="544D8E51" w:rsidR="00707825" w:rsidRDefault="00F55912" w:rsidP="008557BE">
      <w:pPr>
        <w:pStyle w:val="ListParagraph"/>
        <w:numPr>
          <w:ilvl w:val="0"/>
          <w:numId w:val="4"/>
        </w:numPr>
      </w:pPr>
      <w:r>
        <w:t xml:space="preserve">Go to the </w:t>
      </w:r>
      <w:r w:rsidRPr="00F55912">
        <w:rPr>
          <w:b/>
        </w:rPr>
        <w:t>DIRECTORY INTEGRATION</w:t>
      </w:r>
      <w:r>
        <w:t xml:space="preserve"> tab for the </w:t>
      </w:r>
      <w:r w:rsidRPr="002021AB">
        <w:rPr>
          <w:b/>
        </w:rPr>
        <w:t xml:space="preserve">Azure </w:t>
      </w:r>
      <w:proofErr w:type="spellStart"/>
      <w:r w:rsidRPr="002021AB">
        <w:rPr>
          <w:b/>
        </w:rPr>
        <w:t>CoE</w:t>
      </w:r>
      <w:proofErr w:type="spellEnd"/>
      <w:r>
        <w:t xml:space="preserve"> directory.</w:t>
      </w:r>
    </w:p>
    <w:p w14:paraId="2AD1F916" w14:textId="100E4B60" w:rsidR="00F55912" w:rsidRDefault="00F55912" w:rsidP="008557BE">
      <w:pPr>
        <w:pStyle w:val="ListParagraph"/>
        <w:numPr>
          <w:ilvl w:val="0"/>
          <w:numId w:val="4"/>
        </w:numPr>
      </w:pPr>
      <w:r>
        <w:t xml:space="preserve">Set </w:t>
      </w:r>
      <w:r w:rsidRPr="00F55912">
        <w:rPr>
          <w:b/>
        </w:rPr>
        <w:t>DIR SYNC</w:t>
      </w:r>
      <w:r>
        <w:t xml:space="preserve"> to </w:t>
      </w:r>
      <w:r w:rsidRPr="00F55912">
        <w:rPr>
          <w:b/>
        </w:rPr>
        <w:t>DEACTIVATED</w:t>
      </w:r>
      <w:r>
        <w:t>.</w:t>
      </w:r>
    </w:p>
    <w:p w14:paraId="3E59A4A6" w14:textId="7DF912D1" w:rsidR="00F55912" w:rsidRDefault="00F55912" w:rsidP="008557BE">
      <w:pPr>
        <w:pStyle w:val="ListParagraph"/>
        <w:numPr>
          <w:ilvl w:val="0"/>
          <w:numId w:val="4"/>
        </w:numPr>
      </w:pPr>
      <w:r>
        <w:t xml:space="preserve">Click the </w:t>
      </w:r>
      <w:r w:rsidRPr="00F55912">
        <w:rPr>
          <w:b/>
        </w:rPr>
        <w:t>SAVE</w:t>
      </w:r>
      <w:r>
        <w:t xml:space="preserve"> button at the bottom of the page.</w:t>
      </w:r>
    </w:p>
    <w:sectPr w:rsidR="00F55912" w:rsidSect="00F803CD">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F000D" w14:textId="77777777" w:rsidR="00E72A7D" w:rsidRDefault="00E72A7D" w:rsidP="00C323C5">
      <w:pPr>
        <w:spacing w:after="0" w:line="240" w:lineRule="auto"/>
      </w:pPr>
      <w:r>
        <w:separator/>
      </w:r>
    </w:p>
  </w:endnote>
  <w:endnote w:type="continuationSeparator" w:id="0">
    <w:p w14:paraId="5173C645" w14:textId="77777777" w:rsidR="00E72A7D" w:rsidRDefault="00E72A7D" w:rsidP="00C323C5">
      <w:pPr>
        <w:spacing w:after="0" w:line="240" w:lineRule="auto"/>
      </w:pPr>
      <w:r>
        <w:continuationSeparator/>
      </w:r>
    </w:p>
  </w:endnote>
  <w:endnote w:type="continuationNotice" w:id="1">
    <w:p w14:paraId="09214F5B" w14:textId="77777777" w:rsidR="00E72A7D" w:rsidRDefault="00E72A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EC86A" w14:textId="77777777" w:rsidR="00E72A7D" w:rsidRDefault="00E72A7D" w:rsidP="00FA2B7D">
    <w:pPr>
      <w:pStyle w:val="Footer"/>
      <w:jc w:val="center"/>
    </w:pPr>
    <w:r>
      <w:t>Microsoft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218E4" w14:textId="77777777" w:rsidR="00E72A7D" w:rsidRDefault="00E72A7D" w:rsidP="00C323C5">
      <w:pPr>
        <w:spacing w:after="0" w:line="240" w:lineRule="auto"/>
      </w:pPr>
      <w:r>
        <w:separator/>
      </w:r>
    </w:p>
  </w:footnote>
  <w:footnote w:type="continuationSeparator" w:id="0">
    <w:p w14:paraId="5A09B355" w14:textId="77777777" w:rsidR="00E72A7D" w:rsidRDefault="00E72A7D" w:rsidP="00C323C5">
      <w:pPr>
        <w:spacing w:after="0" w:line="240" w:lineRule="auto"/>
      </w:pPr>
      <w:r>
        <w:continuationSeparator/>
      </w:r>
    </w:p>
  </w:footnote>
  <w:footnote w:type="continuationNotice" w:id="1">
    <w:p w14:paraId="2A22CEFF" w14:textId="77777777" w:rsidR="00E72A7D" w:rsidRDefault="00E72A7D">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62885"/>
    <w:multiLevelType w:val="hybridMultilevel"/>
    <w:tmpl w:val="46B60404"/>
    <w:lvl w:ilvl="0" w:tplc="8C5C275C">
      <w:start w:val="1"/>
      <w:numFmt w:val="bullet"/>
      <w:lvlText w:val="-"/>
      <w:lvlJc w:val="left"/>
      <w:pPr>
        <w:tabs>
          <w:tab w:val="num" w:pos="720"/>
        </w:tabs>
        <w:ind w:left="720" w:hanging="360"/>
      </w:pPr>
      <w:rPr>
        <w:rFonts w:ascii="Times New Roman" w:hAnsi="Times New Roman" w:hint="default"/>
      </w:rPr>
    </w:lvl>
    <w:lvl w:ilvl="1" w:tplc="3C481E16" w:tentative="1">
      <w:start w:val="1"/>
      <w:numFmt w:val="bullet"/>
      <w:lvlText w:val="-"/>
      <w:lvlJc w:val="left"/>
      <w:pPr>
        <w:tabs>
          <w:tab w:val="num" w:pos="1440"/>
        </w:tabs>
        <w:ind w:left="1440" w:hanging="360"/>
      </w:pPr>
      <w:rPr>
        <w:rFonts w:ascii="Times New Roman" w:hAnsi="Times New Roman" w:hint="default"/>
      </w:rPr>
    </w:lvl>
    <w:lvl w:ilvl="2" w:tplc="A8205454" w:tentative="1">
      <w:start w:val="1"/>
      <w:numFmt w:val="bullet"/>
      <w:lvlText w:val="-"/>
      <w:lvlJc w:val="left"/>
      <w:pPr>
        <w:tabs>
          <w:tab w:val="num" w:pos="2160"/>
        </w:tabs>
        <w:ind w:left="2160" w:hanging="360"/>
      </w:pPr>
      <w:rPr>
        <w:rFonts w:ascii="Times New Roman" w:hAnsi="Times New Roman" w:hint="default"/>
      </w:rPr>
    </w:lvl>
    <w:lvl w:ilvl="3" w:tplc="848E9B20" w:tentative="1">
      <w:start w:val="1"/>
      <w:numFmt w:val="bullet"/>
      <w:lvlText w:val="-"/>
      <w:lvlJc w:val="left"/>
      <w:pPr>
        <w:tabs>
          <w:tab w:val="num" w:pos="2880"/>
        </w:tabs>
        <w:ind w:left="2880" w:hanging="360"/>
      </w:pPr>
      <w:rPr>
        <w:rFonts w:ascii="Times New Roman" w:hAnsi="Times New Roman" w:hint="default"/>
      </w:rPr>
    </w:lvl>
    <w:lvl w:ilvl="4" w:tplc="9E7EF57C" w:tentative="1">
      <w:start w:val="1"/>
      <w:numFmt w:val="bullet"/>
      <w:lvlText w:val="-"/>
      <w:lvlJc w:val="left"/>
      <w:pPr>
        <w:tabs>
          <w:tab w:val="num" w:pos="3600"/>
        </w:tabs>
        <w:ind w:left="3600" w:hanging="360"/>
      </w:pPr>
      <w:rPr>
        <w:rFonts w:ascii="Times New Roman" w:hAnsi="Times New Roman" w:hint="default"/>
      </w:rPr>
    </w:lvl>
    <w:lvl w:ilvl="5" w:tplc="5B3438C4" w:tentative="1">
      <w:start w:val="1"/>
      <w:numFmt w:val="bullet"/>
      <w:lvlText w:val="-"/>
      <w:lvlJc w:val="left"/>
      <w:pPr>
        <w:tabs>
          <w:tab w:val="num" w:pos="4320"/>
        </w:tabs>
        <w:ind w:left="4320" w:hanging="360"/>
      </w:pPr>
      <w:rPr>
        <w:rFonts w:ascii="Times New Roman" w:hAnsi="Times New Roman" w:hint="default"/>
      </w:rPr>
    </w:lvl>
    <w:lvl w:ilvl="6" w:tplc="00263246" w:tentative="1">
      <w:start w:val="1"/>
      <w:numFmt w:val="bullet"/>
      <w:lvlText w:val="-"/>
      <w:lvlJc w:val="left"/>
      <w:pPr>
        <w:tabs>
          <w:tab w:val="num" w:pos="5040"/>
        </w:tabs>
        <w:ind w:left="5040" w:hanging="360"/>
      </w:pPr>
      <w:rPr>
        <w:rFonts w:ascii="Times New Roman" w:hAnsi="Times New Roman" w:hint="default"/>
      </w:rPr>
    </w:lvl>
    <w:lvl w:ilvl="7" w:tplc="EDF678B4" w:tentative="1">
      <w:start w:val="1"/>
      <w:numFmt w:val="bullet"/>
      <w:lvlText w:val="-"/>
      <w:lvlJc w:val="left"/>
      <w:pPr>
        <w:tabs>
          <w:tab w:val="num" w:pos="5760"/>
        </w:tabs>
        <w:ind w:left="5760" w:hanging="360"/>
      </w:pPr>
      <w:rPr>
        <w:rFonts w:ascii="Times New Roman" w:hAnsi="Times New Roman" w:hint="default"/>
      </w:rPr>
    </w:lvl>
    <w:lvl w:ilvl="8" w:tplc="2BD84B8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95D4B45"/>
    <w:multiLevelType w:val="hybridMultilevel"/>
    <w:tmpl w:val="B83437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B15EB8"/>
    <w:multiLevelType w:val="hybridMultilevel"/>
    <w:tmpl w:val="DED40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87104"/>
    <w:multiLevelType w:val="hybridMultilevel"/>
    <w:tmpl w:val="736A2D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B4D6477"/>
    <w:multiLevelType w:val="hybridMultilevel"/>
    <w:tmpl w:val="D03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C5"/>
    <w:rsid w:val="00011654"/>
    <w:rsid w:val="00060F98"/>
    <w:rsid w:val="00082379"/>
    <w:rsid w:val="0011018E"/>
    <w:rsid w:val="00144B7A"/>
    <w:rsid w:val="00156EDD"/>
    <w:rsid w:val="00180D00"/>
    <w:rsid w:val="0019212E"/>
    <w:rsid w:val="001A1DFA"/>
    <w:rsid w:val="001C0CC7"/>
    <w:rsid w:val="001E757A"/>
    <w:rsid w:val="001F0B61"/>
    <w:rsid w:val="001F3C14"/>
    <w:rsid w:val="002021AB"/>
    <w:rsid w:val="0022277A"/>
    <w:rsid w:val="00245F39"/>
    <w:rsid w:val="002C37BA"/>
    <w:rsid w:val="003105BF"/>
    <w:rsid w:val="00333105"/>
    <w:rsid w:val="00391742"/>
    <w:rsid w:val="003A0DF0"/>
    <w:rsid w:val="003C6CED"/>
    <w:rsid w:val="004435C8"/>
    <w:rsid w:val="004622B0"/>
    <w:rsid w:val="004646BE"/>
    <w:rsid w:val="004A03AB"/>
    <w:rsid w:val="004A71E1"/>
    <w:rsid w:val="004C7C59"/>
    <w:rsid w:val="004D05E3"/>
    <w:rsid w:val="004E350A"/>
    <w:rsid w:val="005340C6"/>
    <w:rsid w:val="00583D67"/>
    <w:rsid w:val="005A6F8A"/>
    <w:rsid w:val="006315AC"/>
    <w:rsid w:val="00674B84"/>
    <w:rsid w:val="006A0EF8"/>
    <w:rsid w:val="006E3CFB"/>
    <w:rsid w:val="00707825"/>
    <w:rsid w:val="00720508"/>
    <w:rsid w:val="00757413"/>
    <w:rsid w:val="00773C1B"/>
    <w:rsid w:val="0078655C"/>
    <w:rsid w:val="007871B6"/>
    <w:rsid w:val="007A168A"/>
    <w:rsid w:val="007D0D71"/>
    <w:rsid w:val="007E3E76"/>
    <w:rsid w:val="007F594B"/>
    <w:rsid w:val="007F7CE9"/>
    <w:rsid w:val="008405FB"/>
    <w:rsid w:val="00852763"/>
    <w:rsid w:val="008557BE"/>
    <w:rsid w:val="008809BC"/>
    <w:rsid w:val="008B26C3"/>
    <w:rsid w:val="008D70AE"/>
    <w:rsid w:val="00916D5C"/>
    <w:rsid w:val="00917722"/>
    <w:rsid w:val="009731C5"/>
    <w:rsid w:val="009803F6"/>
    <w:rsid w:val="00982ADB"/>
    <w:rsid w:val="00983E59"/>
    <w:rsid w:val="00A20173"/>
    <w:rsid w:val="00A84920"/>
    <w:rsid w:val="00AE6A74"/>
    <w:rsid w:val="00AF0C01"/>
    <w:rsid w:val="00B50E9D"/>
    <w:rsid w:val="00B62C95"/>
    <w:rsid w:val="00B84AAF"/>
    <w:rsid w:val="00B94D01"/>
    <w:rsid w:val="00BA06F0"/>
    <w:rsid w:val="00C323C5"/>
    <w:rsid w:val="00C66300"/>
    <w:rsid w:val="00D642A1"/>
    <w:rsid w:val="00D9289B"/>
    <w:rsid w:val="00E323A3"/>
    <w:rsid w:val="00E72A7D"/>
    <w:rsid w:val="00E74599"/>
    <w:rsid w:val="00E81B76"/>
    <w:rsid w:val="00E81FA2"/>
    <w:rsid w:val="00E82BAD"/>
    <w:rsid w:val="00E96304"/>
    <w:rsid w:val="00EC34FE"/>
    <w:rsid w:val="00EC3C64"/>
    <w:rsid w:val="00ED3ADA"/>
    <w:rsid w:val="00F10BB1"/>
    <w:rsid w:val="00F22949"/>
    <w:rsid w:val="00F32834"/>
    <w:rsid w:val="00F55912"/>
    <w:rsid w:val="00F75FCA"/>
    <w:rsid w:val="00F803CD"/>
    <w:rsid w:val="00FA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CF38"/>
  <w15:chartTrackingRefBased/>
  <w15:docId w15:val="{A3930B06-FA5B-402E-AF77-3E045997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3C5"/>
  </w:style>
  <w:style w:type="paragraph" w:styleId="Heading1">
    <w:name w:val="heading 1"/>
    <w:basedOn w:val="Normal"/>
    <w:next w:val="Normal"/>
    <w:link w:val="Heading1Char"/>
    <w:uiPriority w:val="9"/>
    <w:qFormat/>
    <w:rsid w:val="00C323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323C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323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23C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323C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323C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32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3C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323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23C5"/>
    <w:rPr>
      <w:rFonts w:asciiTheme="majorHAnsi" w:eastAsiaTheme="majorEastAsia" w:hAnsiTheme="majorHAnsi" w:cstheme="majorBidi"/>
      <w:color w:val="323E4F" w:themeColor="text2" w:themeShade="BF"/>
      <w:spacing w:val="5"/>
      <w:sz w:val="52"/>
      <w:szCs w:val="52"/>
    </w:rPr>
  </w:style>
  <w:style w:type="character" w:styleId="PlaceholderText">
    <w:name w:val="Placeholder Text"/>
    <w:basedOn w:val="DefaultParagraphFont"/>
    <w:uiPriority w:val="99"/>
    <w:semiHidden/>
    <w:rsid w:val="00C323C5"/>
    <w:rPr>
      <w:color w:val="808080"/>
    </w:rPr>
  </w:style>
  <w:style w:type="character" w:customStyle="1" w:styleId="Heading1Char">
    <w:name w:val="Heading 1 Char"/>
    <w:basedOn w:val="DefaultParagraphFont"/>
    <w:link w:val="Heading1"/>
    <w:uiPriority w:val="9"/>
    <w:rsid w:val="00C323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323C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323C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323C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323C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323C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32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3C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323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23C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323C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323C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323C5"/>
    <w:rPr>
      <w:b/>
      <w:bCs/>
    </w:rPr>
  </w:style>
  <w:style w:type="character" w:styleId="Emphasis">
    <w:name w:val="Emphasis"/>
    <w:basedOn w:val="DefaultParagraphFont"/>
    <w:uiPriority w:val="20"/>
    <w:qFormat/>
    <w:rsid w:val="00C323C5"/>
    <w:rPr>
      <w:i/>
      <w:iCs/>
    </w:rPr>
  </w:style>
  <w:style w:type="paragraph" w:styleId="NoSpacing">
    <w:name w:val="No Spacing"/>
    <w:uiPriority w:val="1"/>
    <w:qFormat/>
    <w:rsid w:val="00C323C5"/>
    <w:pPr>
      <w:spacing w:after="0" w:line="240" w:lineRule="auto"/>
    </w:pPr>
  </w:style>
  <w:style w:type="paragraph" w:styleId="Quote">
    <w:name w:val="Quote"/>
    <w:basedOn w:val="Normal"/>
    <w:next w:val="Normal"/>
    <w:link w:val="QuoteChar"/>
    <w:uiPriority w:val="29"/>
    <w:qFormat/>
    <w:rsid w:val="00C323C5"/>
    <w:rPr>
      <w:i/>
      <w:iCs/>
      <w:color w:val="000000" w:themeColor="text1"/>
    </w:rPr>
  </w:style>
  <w:style w:type="character" w:customStyle="1" w:styleId="QuoteChar">
    <w:name w:val="Quote Char"/>
    <w:basedOn w:val="DefaultParagraphFont"/>
    <w:link w:val="Quote"/>
    <w:uiPriority w:val="29"/>
    <w:rsid w:val="00C323C5"/>
    <w:rPr>
      <w:i/>
      <w:iCs/>
      <w:color w:val="000000" w:themeColor="text1"/>
    </w:rPr>
  </w:style>
  <w:style w:type="paragraph" w:styleId="IntenseQuote">
    <w:name w:val="Intense Quote"/>
    <w:basedOn w:val="Normal"/>
    <w:next w:val="Normal"/>
    <w:link w:val="IntenseQuoteChar"/>
    <w:uiPriority w:val="30"/>
    <w:qFormat/>
    <w:rsid w:val="00C323C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323C5"/>
    <w:rPr>
      <w:b/>
      <w:bCs/>
      <w:i/>
      <w:iCs/>
      <w:color w:val="5B9BD5" w:themeColor="accent1"/>
    </w:rPr>
  </w:style>
  <w:style w:type="character" w:styleId="SubtleEmphasis">
    <w:name w:val="Subtle Emphasis"/>
    <w:basedOn w:val="DefaultParagraphFont"/>
    <w:uiPriority w:val="19"/>
    <w:qFormat/>
    <w:rsid w:val="00C323C5"/>
    <w:rPr>
      <w:i/>
      <w:iCs/>
      <w:color w:val="808080" w:themeColor="text1" w:themeTint="7F"/>
    </w:rPr>
  </w:style>
  <w:style w:type="character" w:styleId="IntenseEmphasis">
    <w:name w:val="Intense Emphasis"/>
    <w:basedOn w:val="DefaultParagraphFont"/>
    <w:uiPriority w:val="21"/>
    <w:qFormat/>
    <w:rsid w:val="00C323C5"/>
    <w:rPr>
      <w:b/>
      <w:bCs/>
      <w:i/>
      <w:iCs/>
      <w:color w:val="5B9BD5" w:themeColor="accent1"/>
    </w:rPr>
  </w:style>
  <w:style w:type="character" w:styleId="SubtleReference">
    <w:name w:val="Subtle Reference"/>
    <w:basedOn w:val="DefaultParagraphFont"/>
    <w:uiPriority w:val="31"/>
    <w:qFormat/>
    <w:rsid w:val="00C323C5"/>
    <w:rPr>
      <w:smallCaps/>
      <w:color w:val="ED7D31" w:themeColor="accent2"/>
      <w:u w:val="single"/>
    </w:rPr>
  </w:style>
  <w:style w:type="character" w:styleId="IntenseReference">
    <w:name w:val="Intense Reference"/>
    <w:basedOn w:val="DefaultParagraphFont"/>
    <w:uiPriority w:val="32"/>
    <w:qFormat/>
    <w:rsid w:val="00C323C5"/>
    <w:rPr>
      <w:b/>
      <w:bCs/>
      <w:smallCaps/>
      <w:color w:val="ED7D31" w:themeColor="accent2"/>
      <w:spacing w:val="5"/>
      <w:u w:val="single"/>
    </w:rPr>
  </w:style>
  <w:style w:type="character" w:styleId="BookTitle">
    <w:name w:val="Book Title"/>
    <w:basedOn w:val="DefaultParagraphFont"/>
    <w:uiPriority w:val="33"/>
    <w:qFormat/>
    <w:rsid w:val="00C323C5"/>
    <w:rPr>
      <w:b/>
      <w:bCs/>
      <w:smallCaps/>
      <w:spacing w:val="5"/>
    </w:rPr>
  </w:style>
  <w:style w:type="paragraph" w:styleId="TOCHeading">
    <w:name w:val="TOC Heading"/>
    <w:basedOn w:val="Heading1"/>
    <w:next w:val="Normal"/>
    <w:uiPriority w:val="39"/>
    <w:unhideWhenUsed/>
    <w:qFormat/>
    <w:rsid w:val="00C323C5"/>
    <w:pPr>
      <w:outlineLvl w:val="9"/>
    </w:pPr>
  </w:style>
  <w:style w:type="paragraph" w:styleId="ListParagraph">
    <w:name w:val="List Paragraph"/>
    <w:basedOn w:val="Normal"/>
    <w:uiPriority w:val="34"/>
    <w:qFormat/>
    <w:rsid w:val="00C323C5"/>
    <w:pPr>
      <w:ind w:left="720"/>
      <w:contextualSpacing/>
    </w:pPr>
  </w:style>
  <w:style w:type="paragraph" w:styleId="TOC2">
    <w:name w:val="toc 2"/>
    <w:basedOn w:val="Normal"/>
    <w:next w:val="Normal"/>
    <w:autoRedefine/>
    <w:uiPriority w:val="39"/>
    <w:unhideWhenUsed/>
    <w:rsid w:val="00C323C5"/>
    <w:pPr>
      <w:spacing w:after="100"/>
      <w:ind w:left="220"/>
    </w:pPr>
  </w:style>
  <w:style w:type="character" w:styleId="Hyperlink">
    <w:name w:val="Hyperlink"/>
    <w:basedOn w:val="DefaultParagraphFont"/>
    <w:uiPriority w:val="99"/>
    <w:unhideWhenUsed/>
    <w:rsid w:val="00C323C5"/>
    <w:rPr>
      <w:color w:val="0563C1" w:themeColor="hyperlink"/>
      <w:u w:val="single"/>
    </w:rPr>
  </w:style>
  <w:style w:type="paragraph" w:styleId="Header">
    <w:name w:val="header"/>
    <w:basedOn w:val="Normal"/>
    <w:link w:val="HeaderChar"/>
    <w:uiPriority w:val="99"/>
    <w:unhideWhenUsed/>
    <w:rsid w:val="00C3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3C5"/>
  </w:style>
  <w:style w:type="paragraph" w:styleId="Footer">
    <w:name w:val="footer"/>
    <w:basedOn w:val="Normal"/>
    <w:link w:val="FooterChar"/>
    <w:uiPriority w:val="99"/>
    <w:unhideWhenUsed/>
    <w:rsid w:val="00C3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3C5"/>
  </w:style>
  <w:style w:type="table" w:styleId="TableGrid">
    <w:name w:val="Table Grid"/>
    <w:basedOn w:val="TableNormal"/>
    <w:uiPriority w:val="39"/>
    <w:rsid w:val="0067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A6F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694172">
      <w:bodyDiv w:val="1"/>
      <w:marLeft w:val="0"/>
      <w:marRight w:val="0"/>
      <w:marTop w:val="0"/>
      <w:marBottom w:val="0"/>
      <w:divBdr>
        <w:top w:val="none" w:sz="0" w:space="0" w:color="auto"/>
        <w:left w:val="none" w:sz="0" w:space="0" w:color="auto"/>
        <w:bottom w:val="none" w:sz="0" w:space="0" w:color="auto"/>
        <w:right w:val="none" w:sz="0" w:space="0" w:color="auto"/>
      </w:divBdr>
      <w:divsChild>
        <w:div w:id="1580557095">
          <w:marLeft w:val="274"/>
          <w:marRight w:val="0"/>
          <w:marTop w:val="0"/>
          <w:marBottom w:val="68"/>
          <w:divBdr>
            <w:top w:val="none" w:sz="0" w:space="0" w:color="auto"/>
            <w:left w:val="none" w:sz="0" w:space="0" w:color="auto"/>
            <w:bottom w:val="none" w:sz="0" w:space="0" w:color="auto"/>
            <w:right w:val="none" w:sz="0" w:space="0" w:color="auto"/>
          </w:divBdr>
        </w:div>
        <w:div w:id="1799881601">
          <w:marLeft w:val="274"/>
          <w:marRight w:val="0"/>
          <w:marTop w:val="0"/>
          <w:marBottom w:val="6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8F381963C77D44A6A91469D5845EE5" ma:contentTypeVersion="2" ma:contentTypeDescription="Create a new document." ma:contentTypeScope="" ma:versionID="66290b1f7725e443aa19cdb7b89371b7">
  <xsd:schema xmlns:xsd="http://www.w3.org/2001/XMLSchema" xmlns:xs="http://www.w3.org/2001/XMLSchema" xmlns:p="http://schemas.microsoft.com/office/2006/metadata/properties" xmlns:ns2="c58f79d2-8dd2-43f0-9a03-e1b9f874d667" targetNamespace="http://schemas.microsoft.com/office/2006/metadata/properties" ma:root="true" ma:fieldsID="27a8e9c299bda407fa38b12f0db042eb" ns2:_="">
    <xsd:import namespace="c58f79d2-8dd2-43f0-9a03-e1b9f874d66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f79d2-8dd2-43f0-9a03-e1b9f874d6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FDDB8-532F-4EE5-A4D9-645F1EB938A8}">
  <ds:schemaRefs>
    <ds:schemaRef ds:uri="http://purl.org/dc/dcmitype/"/>
    <ds:schemaRef ds:uri="c58f79d2-8dd2-43f0-9a03-e1b9f874d667"/>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F5D8C2EA-6F22-4841-BADF-797E28A18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f79d2-8dd2-43f0-9a03-e1b9f874d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1AC85-9222-4A33-9758-2FE078118DBC}">
  <ds:schemaRefs>
    <ds:schemaRef ds:uri="http://schemas.microsoft.com/sharepoint/v3/contenttype/forms"/>
  </ds:schemaRefs>
</ds:datastoreItem>
</file>

<file path=customXml/itemProps4.xml><?xml version="1.0" encoding="utf-8"?>
<ds:datastoreItem xmlns:ds="http://schemas.openxmlformats.org/officeDocument/2006/customXml" ds:itemID="{FF62ACF4-55C4-4B79-A07B-528AE81CE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Azure AD</dc:subject>
  <dc:creator>Rick Rainey</dc:creator>
  <cp:keywords/>
  <dc:description/>
  <cp:lastModifiedBy>Rick Rainey</cp:lastModifiedBy>
  <cp:revision>10</cp:revision>
  <dcterms:created xsi:type="dcterms:W3CDTF">2015-08-31T13:22:00Z</dcterms:created>
  <dcterms:modified xsi:type="dcterms:W3CDTF">2015-09-10T15:32:00Z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0x010100C08F381963C77D44A6A91469D5845EE5</vt:lpwstr>
  </property>
</Properties>
</file>