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5"/>
        <w:gridCol w:w="1950"/>
        <w:gridCol w:w="3225"/>
        <w:tblGridChange w:id="0">
          <w:tblGrid>
            <w:gridCol w:w="3795"/>
            <w:gridCol w:w="1950"/>
            <w:gridCol w:w="3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Total XXE payloads tested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processed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99.84%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0.16%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HTTP 200 responses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78.96%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HTTP 403 responses / blocked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3.84%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HTTP 500 responses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17.04%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Confirmed entity expansion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Possible entity expansion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Explicit XXE-specific rule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Any ModSecurity rule alert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99.84%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845"/>
        <w:gridCol w:w="845"/>
        <w:gridCol w:w="845"/>
        <w:tblGridChange w:id="0">
          <w:tblGrid>
            <w:gridCol w:w="2840"/>
            <w:gridCol w:w="845"/>
            <w:gridCol w:w="845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Completed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2,600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2,600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2,600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Any Rule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XXE Rule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Blocked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Confirmed Expansion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189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Possible Expansion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Any-Alert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4.04%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XXE-Alert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4.04%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Block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4.04%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Confirmed Expansion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7.77%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7.27%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7.27%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jKGuRbtCb6qiQQyRsAPZorJ8A==">CgMxLjA4AHIhMWU2V0lfa1dTUy1PU0NsdzNaZHMtLWNiOUZlSlIxeV9u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