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56"/>
        </w:rPr>
        <w:t>FundInv Full Project Change Report</w:t>
      </w:r>
    </w:p>
    <w:p>
      <w:pPr>
        <w:jc w:val="center"/>
      </w:pPr>
      <w:r>
        <w:rPr>
          <w:i/>
        </w:rPr>
        <w:t>Original extracted project versus the current implemented and tested state</w:t>
      </w:r>
    </w:p>
    <w:p/>
    <w:tbl>
      <w:tblPr>
        <w:tblStyle w:val="TableGrid"/>
        <w:tblW w:type="auto" w:w="0"/>
        <w:jc w:val="center"/>
        <w:tblLook w:firstColumn="1" w:firstRow="1" w:lastColumn="0" w:lastRow="0" w:noHBand="0" w:noVBand="1" w:val="04A0"/>
      </w:tblPr>
      <w:tblGrid>
        <w:gridCol w:w="5040"/>
        <w:gridCol w:w="5040"/>
      </w:tblGrid>
      <w:tr>
        <w:tc>
          <w:tcPr>
            <w:tcW w:type="dxa" w:w="2448"/>
            <w:shd w:fill="1D4ED8"/>
          </w:tcPr>
          <w:p>
            <w:r>
              <w:rPr>
                <w:b/>
                <w:color w:val="FFFFFF"/>
              </w:rPr>
              <w:t>Report item</w:t>
            </w:r>
          </w:p>
        </w:tc>
        <w:tc>
          <w:tcPr>
            <w:tcW w:type="dxa" w:w="7632"/>
            <w:shd w:fill="1D4ED8"/>
          </w:tcPr>
          <w:p>
            <w:r>
              <w:rPr>
                <w:b/>
                <w:color w:val="FFFFFF"/>
              </w:rPr>
              <w:t>Detail</w:t>
            </w:r>
          </w:p>
        </w:tc>
      </w:tr>
      <w:tr>
        <w:tc>
          <w:tcPr>
            <w:tcW w:type="dxa" w:w="2448"/>
            <w:vAlign w:val="center"/>
          </w:tcPr>
          <w:p>
            <w:r>
              <w:t>Baseline</w:t>
            </w:r>
          </w:p>
        </w:tc>
        <w:tc>
          <w:tcPr>
            <w:tcW w:type="dxa" w:w="7632"/>
            <w:vAlign w:val="center"/>
          </w:tcPr>
          <w:p>
            <w:r>
              <w:t>Git commit fe9fbf8 — Initial import</w:t>
            </w:r>
          </w:p>
        </w:tc>
      </w:tr>
      <w:tr>
        <w:tc>
          <w:tcPr>
            <w:tcW w:type="dxa" w:w="2448"/>
            <w:vAlign w:val="center"/>
            <w:shd w:fill="F1F5F9"/>
          </w:tcPr>
          <w:p>
            <w:r>
              <w:t>Current location</w:t>
            </w:r>
          </w:p>
        </w:tc>
        <w:tc>
          <w:tcPr>
            <w:tcW w:type="dxa" w:w="7632"/>
            <w:vAlign w:val="center"/>
            <w:shd w:fill="F1F5F9"/>
          </w:tcPr>
          <w:p>
            <w:r>
              <w:t>fundinv-solo extracted working directory</w:t>
            </w:r>
          </w:p>
        </w:tc>
      </w:tr>
      <w:tr>
        <w:tc>
          <w:tcPr>
            <w:tcW w:type="dxa" w:w="2448"/>
            <w:vAlign w:val="center"/>
          </w:tcPr>
          <w:p>
            <w:r>
              <w:t>Scope</w:t>
            </w:r>
          </w:p>
        </w:tc>
        <w:tc>
          <w:tcPr>
            <w:tcW w:type="dxa" w:w="7632"/>
            <w:vAlign w:val="center"/>
          </w:tcPr>
          <w:p>
            <w:r>
              <w:t>Frontend, backend, PostgreSQL, security, accounting, providers, scheduler and tests</w:t>
            </w:r>
          </w:p>
        </w:tc>
      </w:tr>
      <w:tr>
        <w:tc>
          <w:tcPr>
            <w:tcW w:type="dxa" w:w="2448"/>
            <w:vAlign w:val="center"/>
            <w:shd w:fill="F1F5F9"/>
          </w:tcPr>
          <w:p>
            <w:r>
              <w:t>Current migration</w:t>
            </w:r>
          </w:p>
        </w:tc>
        <w:tc>
          <w:tcPr>
            <w:tcW w:type="dxa" w:w="7632"/>
            <w:vAlign w:val="center"/>
            <w:shd w:fill="F1F5F9"/>
          </w:tcPr>
          <w:p>
            <w:r>
              <w:t>v0.4.4_security_reporting</w:t>
            </w:r>
          </w:p>
        </w:tc>
      </w:tr>
      <w:tr>
        <w:tc>
          <w:tcPr>
            <w:tcW w:type="dxa" w:w="2448"/>
            <w:vAlign w:val="center"/>
          </w:tcPr>
          <w:p>
            <w:r>
              <w:t>Repository status</w:t>
            </w:r>
          </w:p>
        </w:tc>
        <w:tc>
          <w:tcPr>
            <w:tcW w:type="dxa" w:w="7632"/>
            <w:vAlign w:val="center"/>
          </w:tcPr>
          <w:p>
            <w:r>
              <w:t>Local, uncommitted and not pushed to GitHub</w:t>
            </w:r>
          </w:p>
        </w:tc>
      </w:tr>
      <w:tr>
        <w:tc>
          <w:tcPr>
            <w:tcW w:type="dxa" w:w="2448"/>
            <w:vAlign w:val="center"/>
            <w:shd w:fill="F1F5F9"/>
          </w:tcPr>
          <w:p>
            <w:r>
              <w:t>Prepared for</w:t>
            </w:r>
          </w:p>
        </w:tc>
        <w:tc>
          <w:tcPr>
            <w:tcW w:type="dxa" w:w="7632"/>
            <w:vAlign w:val="center"/>
            <w:shd w:fill="F1F5F9"/>
          </w:tcPr>
          <w:p>
            <w:r>
              <w:t>Project owner handover and understanding</w:t>
            </w:r>
          </w:p>
        </w:tc>
      </w:tr>
    </w:tbl>
    <w:p/>
    <w:tbl>
      <w:tblPr>
        <w:tblStyle w:val="TableGrid"/>
        <w:tblW w:type="auto" w:w="0"/>
        <w:tblLook w:firstColumn="1" w:firstRow="1" w:lastColumn="0" w:lastRow="0" w:noHBand="0" w:noVBand="1" w:val="04A0"/>
      </w:tblPr>
      <w:tblGrid>
        <w:gridCol w:w="10080"/>
      </w:tblGrid>
      <w:tr>
        <w:tc>
          <w:tcPr>
            <w:tcW w:type="dxa" w:w="10080"/>
            <w:shd w:fill="DCFCE7"/>
          </w:tcPr>
          <w:p>
            <w:r>
              <w:rPr>
                <w:b/>
                <w:color w:val="1D4ED8"/>
              </w:rPr>
              <w:t>Plain-language summary</w:t>
              <w:br/>
            </w:r>
            <w:r>
              <w:t>The project began as a broad but partially connected investment portal. The work converted its most important workflows—especially fund deposits, withdrawals, ownership, P&amp;L, authentication and role interactions—into an integrated lifecycle with normalized accounting, clearer user states and repeatable tests.</w:t>
            </w:r>
          </w:p>
        </w:tc>
      </w:tr>
    </w:tbl>
    <w:p/>
    <w:p>
      <w:r>
        <w:br w:type="page"/>
      </w:r>
    </w:p>
    <w:p>
      <w:pPr>
        <w:pStyle w:val="Heading1"/>
      </w:pPr>
      <w:r>
        <w:t>1. Executive overview</w:t>
      </w:r>
    </w:p>
    <w:p>
      <w:r>
        <w:t>The original application already contained Next.js, FastAPI, PostgreSQL, four user roles, Stripe, Alpaca, SMTP, MFA and P&amp;L-related code. The primary problem was not a lack of pages; it was that several pages and services did not share one authoritative interpretation of investor ownership and transaction state.</w:t>
      </w:r>
    </w:p>
    <w:p>
      <w:pPr>
        <w:pStyle w:val="Heading2"/>
      </w:pPr>
      <w:r>
        <w:t>1.1 Scale of the working-tree change</w:t>
      </w:r>
    </w:p>
    <w:tbl>
      <w:tblPr>
        <w:tblStyle w:val="TableGrid"/>
        <w:tblW w:type="auto" w:w="0"/>
        <w:jc w:val="center"/>
        <w:tblLook w:firstColumn="1" w:firstRow="1" w:lastColumn="0" w:lastRow="0" w:noHBand="0" w:noVBand="1" w:val="04A0"/>
      </w:tblPr>
      <w:tblGrid>
        <w:gridCol w:w="5040"/>
        <w:gridCol w:w="5040"/>
      </w:tblGrid>
      <w:tr>
        <w:tc>
          <w:tcPr>
            <w:tcW w:type="dxa" w:w="5184"/>
            <w:shd w:fill="1D4ED8"/>
          </w:tcPr>
          <w:p>
            <w:r>
              <w:rPr>
                <w:b/>
                <w:color w:val="FFFFFF"/>
              </w:rPr>
              <w:t>Measurement</w:t>
            </w:r>
          </w:p>
        </w:tc>
        <w:tc>
          <w:tcPr>
            <w:tcW w:type="dxa" w:w="4608"/>
            <w:shd w:fill="1D4ED8"/>
          </w:tcPr>
          <w:p>
            <w:r>
              <w:rPr>
                <w:b/>
                <w:color w:val="FFFFFF"/>
              </w:rPr>
              <w:t>Current result</w:t>
            </w:r>
          </w:p>
        </w:tc>
      </w:tr>
      <w:tr>
        <w:tc>
          <w:tcPr>
            <w:tcW w:type="dxa" w:w="5184"/>
            <w:vAlign w:val="center"/>
          </w:tcPr>
          <w:p>
            <w:r>
              <w:t>Tracked files changed</w:t>
            </w:r>
          </w:p>
        </w:tc>
        <w:tc>
          <w:tcPr>
            <w:tcW w:type="dxa" w:w="4608"/>
            <w:vAlign w:val="center"/>
          </w:tcPr>
          <w:p>
            <w:r>
              <w:t>53</w:t>
            </w:r>
          </w:p>
        </w:tc>
      </w:tr>
      <w:tr>
        <w:tc>
          <w:tcPr>
            <w:tcW w:type="dxa" w:w="5184"/>
            <w:vAlign w:val="center"/>
            <w:shd w:fill="F1F5F9"/>
          </w:tcPr>
          <w:p>
            <w:r>
              <w:t>Tracked lines added</w:t>
            </w:r>
          </w:p>
        </w:tc>
        <w:tc>
          <w:tcPr>
            <w:tcW w:type="dxa" w:w="4608"/>
            <w:vAlign w:val="center"/>
            <w:shd w:fill="F1F5F9"/>
          </w:tcPr>
          <w:p>
            <w:r>
              <w:t>Approximately 1,553</w:t>
            </w:r>
          </w:p>
        </w:tc>
      </w:tr>
      <w:tr>
        <w:tc>
          <w:tcPr>
            <w:tcW w:type="dxa" w:w="5184"/>
            <w:vAlign w:val="center"/>
          </w:tcPr>
          <w:p>
            <w:r>
              <w:t>Tracked lines removed</w:t>
            </w:r>
          </w:p>
        </w:tc>
        <w:tc>
          <w:tcPr>
            <w:tcW w:type="dxa" w:w="4608"/>
            <w:vAlign w:val="center"/>
          </w:tcPr>
          <w:p>
            <w:r>
              <w:t>Approximately 641</w:t>
            </w:r>
          </w:p>
        </w:tc>
      </w:tr>
      <w:tr>
        <w:tc>
          <w:tcPr>
            <w:tcW w:type="dxa" w:w="5184"/>
            <w:vAlign w:val="center"/>
            <w:shd w:fill="F1F5F9"/>
          </w:tcPr>
          <w:p>
            <w:r>
              <w:t>New source/test/migration files</w:t>
            </w:r>
          </w:p>
        </w:tc>
        <w:tc>
          <w:tcPr>
            <w:tcW w:type="dxa" w:w="4608"/>
            <w:vAlign w:val="center"/>
            <w:shd w:fill="F1F5F9"/>
          </w:tcPr>
          <w:p>
            <w:r>
              <w:t>19</w:t>
            </w:r>
          </w:p>
        </w:tc>
      </w:tr>
      <w:tr>
        <w:tc>
          <w:tcPr>
            <w:tcW w:type="dxa" w:w="5184"/>
            <w:vAlign w:val="center"/>
          </w:tcPr>
          <w:p>
            <w:r>
              <w:t>New migrations</w:t>
            </w:r>
          </w:p>
        </w:tc>
        <w:tc>
          <w:tcPr>
            <w:tcW w:type="dxa" w:w="4608"/>
            <w:vAlign w:val="center"/>
          </w:tcPr>
          <w:p>
            <w:r>
              <w:t>5</w:t>
            </w:r>
          </w:p>
        </w:tc>
      </w:tr>
      <w:tr>
        <w:tc>
          <w:tcPr>
            <w:tcW w:type="dxa" w:w="5184"/>
            <w:vAlign w:val="center"/>
            <w:shd w:fill="F1F5F9"/>
          </w:tcPr>
          <w:p>
            <w:r>
              <w:t>Frontend production routes</w:t>
            </w:r>
          </w:p>
        </w:tc>
        <w:tc>
          <w:tcPr>
            <w:tcW w:type="dxa" w:w="4608"/>
            <w:vAlign w:val="center"/>
            <w:shd w:fill="F1F5F9"/>
          </w:tcPr>
          <w:p>
            <w:r>
              <w:t>33</w:t>
            </w:r>
          </w:p>
        </w:tc>
      </w:tr>
      <w:tr>
        <w:tc>
          <w:tcPr>
            <w:tcW w:type="dxa" w:w="5184"/>
            <w:vAlign w:val="center"/>
          </w:tcPr>
          <w:p>
            <w:r>
              <w:t>Browser tests</w:t>
            </w:r>
          </w:p>
        </w:tc>
        <w:tc>
          <w:tcPr>
            <w:tcW w:type="dxa" w:w="4608"/>
            <w:vAlign w:val="center"/>
          </w:tcPr>
          <w:p>
            <w:r>
              <w:t>9 passing</w:t>
            </w:r>
          </w:p>
        </w:tc>
      </w:tr>
      <w:tr>
        <w:tc>
          <w:tcPr>
            <w:tcW w:type="dxa" w:w="5184"/>
            <w:vAlign w:val="center"/>
            <w:shd w:fill="F1F5F9"/>
          </w:tcPr>
          <w:p>
            <w:r>
              <w:t>Backend tests</w:t>
            </w:r>
          </w:p>
        </w:tc>
        <w:tc>
          <w:tcPr>
            <w:tcW w:type="dxa" w:w="4608"/>
            <w:vAlign w:val="center"/>
            <w:shd w:fill="F1F5F9"/>
          </w:tcPr>
          <w:p>
            <w:r>
              <w:t>5 passing</w:t>
            </w:r>
          </w:p>
        </w:tc>
      </w:tr>
      <w:tr>
        <w:tc>
          <w:tcPr>
            <w:tcW w:type="dxa" w:w="5184"/>
            <w:vAlign w:val="center"/>
          </w:tcPr>
          <w:p>
            <w:r>
              <w:t>Production dependency vulnerabilities</w:t>
            </w:r>
          </w:p>
        </w:tc>
        <w:tc>
          <w:tcPr>
            <w:tcW w:type="dxa" w:w="4608"/>
            <w:vAlign w:val="center"/>
          </w:tcPr>
          <w:p>
            <w:r>
              <w:t>0</w:t>
            </w:r>
          </w:p>
        </w:tc>
      </w:tr>
    </w:tbl>
    <w:p/>
    <w:p>
      <w:pPr>
        <w:pStyle w:val="Heading2"/>
      </w:pPr>
      <w:r>
        <w:t>1.2 The three largest architectural changes</w:t>
      </w:r>
    </w:p>
    <w:p>
      <w:pPr>
        <w:pStyle w:val="ListNumber"/>
      </w:pPr>
      <w:r>
        <w:t>Fund accounting changed from mostly JSON dollar balances into units, NAV, valuations and an idempotent settlement ledger.</w:t>
      </w:r>
    </w:p>
    <w:p>
      <w:pPr>
        <w:pStyle w:val="ListNumber"/>
      </w:pPr>
      <w:r>
        <w:t>Authentication changed from a browser-readable localStorage JWT into HTTP-only, database-backed, revocable sessions with shared login throttling.</w:t>
      </w:r>
    </w:p>
    <w:p>
      <w:pPr>
        <w:pStyle w:val="ListNumber"/>
      </w:pPr>
      <w:r>
        <w:t>Verification changed from largely manual inspection into repeatable browser, backend, database, provider and scheduler acceptance tests.</w:t>
      </w:r>
    </w:p>
    <w:p>
      <w:pPr>
        <w:pStyle w:val="Heading1"/>
      </w:pPr>
      <w:r>
        <w:t>2. Extraction and repository state</w:t>
      </w:r>
    </w:p>
    <w:p>
      <w:pPr>
        <w:pStyle w:val="ListBullet"/>
      </w:pPr>
      <w:r>
        <w:t>The original fundinv-solo.tar.xz archive remains available and unchanged.</w:t>
      </w:r>
    </w:p>
    <w:p>
      <w:pPr>
        <w:pStyle w:val="ListBullet"/>
      </w:pPr>
      <w:r>
        <w:t>The active application is the extracted fundinv-solo directory.</w:t>
      </w:r>
    </w:p>
    <w:p>
      <w:pPr>
        <w:pStyle w:val="ListBullet"/>
      </w:pPr>
      <w:r>
        <w:t>A temporary extraction directory outside the repository remains but is not required by the application.</w:t>
      </w:r>
    </w:p>
    <w:p>
      <w:pPr>
        <w:pStyle w:val="ListBullet"/>
      </w:pPr>
      <w:r>
        <w:t>The challenge-statement PDF and worksheet remain outside the repository and were not modified.</w:t>
      </w:r>
    </w:p>
    <w:p>
      <w:pPr>
        <w:pStyle w:val="ListBullet"/>
      </w:pPr>
      <w:r>
        <w:t>A stray root package-lock.json was removed; the actual frontend package and lockfile are under Client/.</w:t>
      </w:r>
    </w:p>
    <w:p>
      <w:pPr>
        <w:pStyle w:val="ListBullet"/>
      </w:pPr>
      <w:r>
        <w:t>No commit or push has been performed. The current improvements exist only in the local working tree.</w:t>
      </w:r>
    </w:p>
    <w:tbl>
      <w:tblPr>
        <w:tblStyle w:val="TableGrid"/>
        <w:tblW w:type="auto" w:w="0"/>
        <w:tblLook w:firstColumn="1" w:firstRow="1" w:lastColumn="0" w:lastRow="0" w:noHBand="0" w:noVBand="1" w:val="04A0"/>
      </w:tblPr>
      <w:tblGrid>
        <w:gridCol w:w="10080"/>
      </w:tblGrid>
      <w:tr>
        <w:tc>
          <w:tcPr>
            <w:tcW w:type="dxa" w:w="10080"/>
            <w:shd w:fill="FEF3C7"/>
          </w:tcPr>
          <w:p>
            <w:r>
              <w:rPr>
                <w:b/>
                <w:color w:val="1D4ED8"/>
              </w:rPr>
              <w:t>Important backup warning</w:t>
              <w:br/>
            </w:r>
            <w:r>
              <w:t>Until these changes are committed and pushed, GitHub does not contain the completed work. The local folder is currently the only authoritative copy.</w:t>
            </w:r>
          </w:p>
        </w:tc>
      </w:tr>
    </w:tbl>
    <w:p/>
    <w:p>
      <w:pPr>
        <w:pStyle w:val="Heading1"/>
      </w:pPr>
      <w:r>
        <w:t>3. Before: main issues found</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D4ED8"/>
          </w:tcPr>
          <w:p>
            <w:r>
              <w:rPr>
                <w:b/>
                <w:color w:val="FFFFFF"/>
              </w:rPr>
              <w:t>Area</w:t>
            </w:r>
          </w:p>
        </w:tc>
        <w:tc>
          <w:tcPr>
            <w:tcW w:type="dxa" w:w="3888"/>
            <w:shd w:fill="1D4ED8"/>
          </w:tcPr>
          <w:p>
            <w:r>
              <w:rPr>
                <w:b/>
                <w:color w:val="FFFFFF"/>
              </w:rPr>
              <w:t>Original condition</w:t>
            </w:r>
          </w:p>
        </w:tc>
        <w:tc>
          <w:tcPr>
            <w:tcW w:type="dxa" w:w="4608"/>
            <w:shd w:fill="1D4ED8"/>
          </w:tcPr>
          <w:p>
            <w:r>
              <w:rPr>
                <w:b/>
                <w:color w:val="FFFFFF"/>
              </w:rPr>
              <w:t>Practical consequence</w:t>
            </w:r>
          </w:p>
        </w:tc>
      </w:tr>
      <w:tr>
        <w:tc>
          <w:tcPr>
            <w:tcW w:type="dxa" w:w="1728"/>
            <w:vAlign w:val="center"/>
          </w:tcPr>
          <w:p>
            <w:r>
              <w:t>Fund ownership</w:t>
            </w:r>
          </w:p>
        </w:tc>
        <w:tc>
          <w:tcPr>
            <w:tcW w:type="dxa" w:w="3888"/>
            <w:vAlign w:val="center"/>
          </w:tcPr>
          <w:p>
            <w:r>
              <w:t>Dollar values were heavily represented in manager_fund_balance JSON rather than normalized units.</w:t>
            </w:r>
          </w:p>
        </w:tc>
        <w:tc>
          <w:tcPr>
            <w:tcW w:type="dxa" w:w="4608"/>
            <w:vAlign w:val="center"/>
          </w:tcPr>
          <w:p>
            <w:r>
              <w:t>Ownership, cost basis, NAV and withdrawal calculations could disagree.</w:t>
            </w:r>
          </w:p>
        </w:tc>
      </w:tr>
      <w:tr>
        <w:tc>
          <w:tcPr>
            <w:tcW w:type="dxa" w:w="1728"/>
            <w:vAlign w:val="center"/>
            <w:shd w:fill="F1F5F9"/>
          </w:tcPr>
          <w:p>
            <w:r>
              <w:t>Fund-flow state</w:t>
            </w:r>
          </w:p>
        </w:tc>
        <w:tc>
          <w:tcPr>
            <w:tcW w:type="dxa" w:w="3888"/>
            <w:vAlign w:val="center"/>
            <w:shd w:fill="F1F5F9"/>
          </w:tcPr>
          <w:p>
            <w:r>
              <w:t>Operations approval, provider payment and final settlement were not clearly distinguished.</w:t>
            </w:r>
          </w:p>
        </w:tc>
        <w:tc>
          <w:tcPr>
            <w:tcW w:type="dxa" w:w="4608"/>
            <w:vAlign w:val="center"/>
            <w:shd w:fill="F1F5F9"/>
          </w:tcPr>
          <w:p>
            <w:r>
              <w:t>An approved $50,000 request could correctly remain absent from the investor balance but appear broken to the user.</w:t>
            </w:r>
          </w:p>
        </w:tc>
      </w:tr>
      <w:tr>
        <w:tc>
          <w:tcPr>
            <w:tcW w:type="dxa" w:w="1728"/>
            <w:vAlign w:val="center"/>
          </w:tcPr>
          <w:p>
            <w:r>
              <w:t>P&amp;L</w:t>
            </w:r>
          </w:p>
        </w:tc>
        <w:tc>
          <w:tcPr>
            <w:tcW w:type="dxa" w:w="3888"/>
            <w:vAlign w:val="center"/>
          </w:tcPr>
          <w:p>
            <w:r>
              <w:t>Cash flows, daily snapshots and historical processing were not cleanly separated.</w:t>
            </w:r>
          </w:p>
        </w:tc>
        <w:tc>
          <w:tcPr>
            <w:tcW w:type="dxa" w:w="4608"/>
            <w:vAlign w:val="center"/>
          </w:tcPr>
          <w:p>
            <w:r>
              <w:t>Deposits could distort performance and completed flows risked being replayed.</w:t>
            </w:r>
          </w:p>
        </w:tc>
      </w:tr>
      <w:tr>
        <w:tc>
          <w:tcPr>
            <w:tcW w:type="dxa" w:w="1728"/>
            <w:vAlign w:val="center"/>
            <w:shd w:fill="F1F5F9"/>
          </w:tcPr>
          <w:p>
            <w:r>
              <w:t>FIFO</w:t>
            </w:r>
          </w:p>
        </w:tc>
        <w:tc>
          <w:tcPr>
            <w:tcW w:type="dxa" w:w="3888"/>
            <w:vAlign w:val="center"/>
            <w:shd w:fill="F1F5F9"/>
          </w:tcPr>
          <w:p>
            <w:r>
              <w:t>Historical sales could be consumed incorrectly when reconstructing buy lots.</w:t>
            </w:r>
          </w:p>
        </w:tc>
        <w:tc>
          <w:tcPr>
            <w:tcW w:type="dxa" w:w="4608"/>
            <w:vAlign w:val="center"/>
            <w:shd w:fill="F1F5F9"/>
          </w:tcPr>
          <w:p>
            <w:r>
              <w:t>Realised profit could be wrong after multiple buys and sells.</w:t>
            </w:r>
          </w:p>
        </w:tc>
      </w:tr>
      <w:tr>
        <w:tc>
          <w:tcPr>
            <w:tcW w:type="dxa" w:w="1728"/>
            <w:vAlign w:val="center"/>
          </w:tcPr>
          <w:p>
            <w:r>
              <w:t>Authentication</w:t>
            </w:r>
          </w:p>
        </w:tc>
        <w:tc>
          <w:tcPr>
            <w:tcW w:type="dxa" w:w="3888"/>
            <w:vAlign w:val="center"/>
          </w:tcPr>
          <w:p>
            <w:r>
              <w:t>JWT stored in localStorage and no persistent revocation record.</w:t>
            </w:r>
          </w:p>
        </w:tc>
        <w:tc>
          <w:tcPr>
            <w:tcW w:type="dxa" w:w="4608"/>
            <w:vAlign w:val="center"/>
          </w:tcPr>
          <w:p>
            <w:r>
              <w:t>Browser JavaScript could access tokens; logout could not reliably revoke server-side state.</w:t>
            </w:r>
          </w:p>
        </w:tc>
      </w:tr>
      <w:tr>
        <w:tc>
          <w:tcPr>
            <w:tcW w:type="dxa" w:w="1728"/>
            <w:vAlign w:val="center"/>
            <w:shd w:fill="F1F5F9"/>
          </w:tcPr>
          <w:p>
            <w:r>
              <w:t>Roles</w:t>
            </w:r>
          </w:p>
        </w:tc>
        <w:tc>
          <w:tcPr>
            <w:tcW w:type="dxa" w:w="3888"/>
            <w:vAlign w:val="center"/>
            <w:shd w:fill="F1F5F9"/>
          </w:tcPr>
          <w:p>
            <w:r>
              <w:t>Investor UI exposed trading while the backend investor role lacked executeTrades.</w:t>
            </w:r>
          </w:p>
        </w:tc>
        <w:tc>
          <w:tcPr>
            <w:tcW w:type="dxa" w:w="4608"/>
            <w:vAlign w:val="center"/>
            <w:shd w:fill="F1F5F9"/>
          </w:tcPr>
          <w:p>
            <w:r>
              <w:t>Buy/Sell could return 403.</w:t>
            </w:r>
          </w:p>
        </w:tc>
      </w:tr>
      <w:tr>
        <w:tc>
          <w:tcPr>
            <w:tcW w:type="dxa" w:w="1728"/>
            <w:vAlign w:val="center"/>
          </w:tcPr>
          <w:p>
            <w:r>
              <w:t>Stripe</w:t>
            </w:r>
          </w:p>
        </w:tc>
        <w:tc>
          <w:tcPr>
            <w:tcW w:type="dxa" w:w="3888"/>
            <w:vAlign w:val="center"/>
          </w:tcPr>
          <w:p>
            <w:r>
              <w:t>Webhook treated StripeObject as an ordinary dictionary.</w:t>
            </w:r>
          </w:p>
        </w:tc>
        <w:tc>
          <w:tcPr>
            <w:tcW w:type="dxa" w:w="4608"/>
            <w:vAlign w:val="center"/>
          </w:tcPr>
          <w:p>
            <w:r>
              <w:t>A valid provider callback could crash with 500 before issuing units.</w:t>
            </w:r>
          </w:p>
        </w:tc>
      </w:tr>
      <w:tr>
        <w:tc>
          <w:tcPr>
            <w:tcW w:type="dxa" w:w="1728"/>
            <w:vAlign w:val="center"/>
            <w:shd w:fill="F1F5F9"/>
          </w:tcPr>
          <w:p>
            <w:r>
              <w:t>Account closure</w:t>
            </w:r>
          </w:p>
        </w:tc>
        <w:tc>
          <w:tcPr>
            <w:tcW w:type="dxa" w:w="3888"/>
            <w:vAlign w:val="center"/>
            <w:shd w:fill="F1F5F9"/>
          </w:tcPr>
          <w:p>
            <w:r>
              <w:t>Closure used omnibus Alpaca positions and allowed funded account deletion.</w:t>
            </w:r>
          </w:p>
        </w:tc>
        <w:tc>
          <w:tcPr>
            <w:tcW w:type="dxa" w:w="4608"/>
            <w:vAlign w:val="center"/>
            <w:shd w:fill="F1F5F9"/>
          </w:tcPr>
          <w:p>
            <w:r>
              <w:t>Investor assets could disappear from the UI and shared provider positions could be endangered.</w:t>
            </w:r>
          </w:p>
        </w:tc>
      </w:tr>
      <w:tr>
        <w:tc>
          <w:tcPr>
            <w:tcW w:type="dxa" w:w="1728"/>
            <w:vAlign w:val="center"/>
          </w:tcPr>
          <w:p>
            <w:r>
              <w:t>Scheduler</w:t>
            </w:r>
          </w:p>
        </w:tc>
        <w:tc>
          <w:tcPr>
            <w:tcW w:type="dxa" w:w="3888"/>
            <w:vAlign w:val="center"/>
          </w:tcPr>
          <w:p>
            <w:r>
              <w:t>Maintenance and automatic trading were too closely coupled.</w:t>
            </w:r>
          </w:p>
        </w:tc>
        <w:tc>
          <w:tcPr>
            <w:tcW w:type="dxa" w:w="4608"/>
            <w:vAlign w:val="center"/>
          </w:tcPr>
          <w:p>
            <w:r>
              <w:t>A scheduler deployment could register trading without a separate explicit switch.</w:t>
            </w:r>
          </w:p>
        </w:tc>
      </w:tr>
      <w:tr>
        <w:tc>
          <w:tcPr>
            <w:tcW w:type="dxa" w:w="1728"/>
            <w:vAlign w:val="center"/>
            <w:shd w:fill="F1F5F9"/>
          </w:tcPr>
          <w:p>
            <w:r>
              <w:t>Testing</w:t>
            </w:r>
          </w:p>
        </w:tc>
        <w:tc>
          <w:tcPr>
            <w:tcW w:type="dxa" w:w="3888"/>
            <w:vAlign w:val="center"/>
            <w:shd w:fill="F1F5F9"/>
          </w:tcPr>
          <w:p>
            <w:r>
              <w:t>Little cross-role browser or accounting regression coverage.</w:t>
            </w:r>
          </w:p>
        </w:tc>
        <w:tc>
          <w:tcPr>
            <w:tcW w:type="dxa" w:w="4608"/>
            <w:vAlign w:val="center"/>
            <w:shd w:fill="F1F5F9"/>
          </w:tcPr>
          <w:p>
            <w:r>
              <w:t>Broken integrations could remain hidden behind working-looking pages.</w:t>
            </w:r>
          </w:p>
        </w:tc>
      </w:tr>
    </w:tbl>
    <w:p/>
    <w:p>
      <w:r>
        <w:br w:type="page"/>
      </w:r>
    </w:p>
    <w:p>
      <w:pPr>
        <w:pStyle w:val="Heading1"/>
      </w:pPr>
      <w:r>
        <w:t>4. Database and accounting implementation</w:t>
      </w:r>
    </w:p>
    <w:p>
      <w:pPr>
        <w:pStyle w:val="Heading2"/>
      </w:pPr>
      <w:r>
        <w:t>4.1 Normalized fund positions</w:t>
      </w:r>
    </w:p>
    <w:p>
      <w:r>
        <w:t>A new fund_positions table is now the authoritative ownership record for an investor, investment account and fund. It stores units and cost basis with one position per account/fund combination.</w:t>
      </w:r>
    </w:p>
    <w:p>
      <w:pPr>
        <w:pStyle w:val="Heading2"/>
      </w:pPr>
      <w:r>
        <w:t>4.2 Daily fund valuations</w:t>
      </w:r>
    </w:p>
    <w:p>
      <w:r>
        <w:t>A new fund_valuations table records opening assets, daily P&amp;L, closing assets before flows, net flow, closing assets, units outstanding and NAV per unit. This makes market performance and capital movement distinct data points.</w:t>
      </w:r>
    </w:p>
    <w:p>
      <w:pPr>
        <w:pStyle w:val="Heading2"/>
      </w:pPr>
      <w:r>
        <w:t>4.3 Idempotent settlement ledger</w:t>
      </w:r>
    </w:p>
    <w:p>
      <w:r>
        <w:t>Fund balance entries now store units, NAV and provider reference. A unique constraint on fund_flow_id means one provider-confirmed flow can settle only once, even if Stripe replays the webhook.</w:t>
      </w:r>
    </w:p>
    <w:p>
      <w:pPr>
        <w:pStyle w:val="Heading2"/>
      </w:pPr>
      <w:r>
        <w:t>4.4 Portfolio snapshots</w:t>
      </w:r>
    </w:p>
    <w:p>
      <w:r>
        <w:t>Portfolio holdings now store snapshot date, opening value, opening ownership percentage, units, NAV, daily P&amp;L, closing value before flows and net flow. Duplicate investor/fund/date snapshots are prevented.</w:t>
      </w:r>
    </w:p>
    <w:p>
      <w:pPr>
        <w:pStyle w:val="Heading2"/>
      </w:pPr>
      <w:r>
        <w:t>4.5 Other schema additions</w:t>
      </w:r>
    </w:p>
    <w:p>
      <w:pPr>
        <w:pStyle w:val="ListBullet"/>
      </w:pPr>
      <w:r>
        <w:t>Currency on each fund flow.</w:t>
      </w:r>
    </w:p>
    <w:p>
      <w:pPr>
        <w:pStyle w:val="ListBullet"/>
      </w:pPr>
      <w:r>
        <w:t>Investor-specific fund risk tolerance.</w:t>
      </w:r>
    </w:p>
    <w:p>
      <w:pPr>
        <w:pStyle w:val="ListBullet"/>
      </w:pPr>
      <w:r>
        <w:t>Revocable authentication sessions.</w:t>
      </w:r>
    </w:p>
    <w:p>
      <w:pPr>
        <w:pStyle w:val="ListBullet"/>
      </w:pPr>
      <w:r>
        <w:t>Database-shared login attempts and blocks.</w:t>
      </w:r>
    </w:p>
    <w:p>
      <w:pPr>
        <w:pStyle w:val="Heading2"/>
      </w:pPr>
      <w:r>
        <w:t>4.6 Migration chain</w:t>
      </w:r>
    </w:p>
    <w:tbl>
      <w:tblPr>
        <w:tblStyle w:val="TableGrid"/>
        <w:tblW w:type="auto" w:w="0"/>
        <w:jc w:val="center"/>
        <w:tblLook w:firstColumn="1" w:firstRow="1" w:lastColumn="0" w:lastRow="0" w:noHBand="0" w:noVBand="1" w:val="04A0"/>
      </w:tblPr>
      <w:tblGrid>
        <w:gridCol w:w="5040"/>
        <w:gridCol w:w="5040"/>
      </w:tblGrid>
      <w:tr>
        <w:tc>
          <w:tcPr>
            <w:tcW w:type="dxa" w:w="3168"/>
            <w:shd w:fill="1D4ED8"/>
          </w:tcPr>
          <w:p>
            <w:r>
              <w:rPr>
                <w:b/>
                <w:color w:val="FFFFFF"/>
              </w:rPr>
              <w:t>Migration</w:t>
            </w:r>
          </w:p>
        </w:tc>
        <w:tc>
          <w:tcPr>
            <w:tcW w:type="dxa" w:w="6912"/>
            <w:shd w:fill="1D4ED8"/>
          </w:tcPr>
          <w:p>
            <w:r>
              <w:rPr>
                <w:b/>
                <w:color w:val="FFFFFF"/>
              </w:rPr>
              <w:t>Purpose</w:t>
            </w:r>
          </w:p>
        </w:tc>
      </w:tr>
      <w:tr>
        <w:tc>
          <w:tcPr>
            <w:tcW w:type="dxa" w:w="3168"/>
            <w:vAlign w:val="center"/>
          </w:tcPr>
          <w:p>
            <w:r>
              <w:t>v0.4.0_unit_accounting</w:t>
            </w:r>
          </w:p>
        </w:tc>
        <w:tc>
          <w:tcPr>
            <w:tcW w:type="dxa" w:w="6912"/>
            <w:vAlign w:val="center"/>
          </w:tcPr>
          <w:p>
            <w:r>
              <w:t>Normalized positions, valuations, unit ledger and snapshot fields.</w:t>
            </w:r>
          </w:p>
        </w:tc>
      </w:tr>
      <w:tr>
        <w:tc>
          <w:tcPr>
            <w:tcW w:type="dxa" w:w="3168"/>
            <w:vAlign w:val="center"/>
            <w:shd w:fill="F1F5F9"/>
          </w:tcPr>
          <w:p>
            <w:r>
              <w:t>v0.4.1_backfill_positions</w:t>
            </w:r>
          </w:p>
        </w:tc>
        <w:tc>
          <w:tcPr>
            <w:tcW w:type="dxa" w:w="6912"/>
            <w:vAlign w:val="center"/>
            <w:shd w:fill="F1F5F9"/>
          </w:tcPr>
          <w:p>
            <w:r>
              <w:t>Converted legacy JSON fund balances into normalized positions.</w:t>
            </w:r>
          </w:p>
        </w:tc>
      </w:tr>
      <w:tr>
        <w:tc>
          <w:tcPr>
            <w:tcW w:type="dxa" w:w="3168"/>
            <w:vAlign w:val="center"/>
          </w:tcPr>
          <w:p>
            <w:r>
              <w:t>v0.4.2_share_pct</w:t>
            </w:r>
          </w:p>
        </w:tc>
        <w:tc>
          <w:tcPr>
            <w:tcW w:type="dxa" w:w="6912"/>
            <w:vAlign w:val="center"/>
          </w:tcPr>
          <w:p>
            <w:r>
              <w:t>Expanded ownership-percentage precision to safely represent 100%.</w:t>
            </w:r>
          </w:p>
        </w:tc>
      </w:tr>
      <w:tr>
        <w:tc>
          <w:tcPr>
            <w:tcW w:type="dxa" w:w="3168"/>
            <w:vAlign w:val="center"/>
            <w:shd w:fill="F1F5F9"/>
          </w:tcPr>
          <w:p>
            <w:r>
              <w:t>v0.4.3_snapshot_positions</w:t>
            </w:r>
          </w:p>
        </w:tc>
        <w:tc>
          <w:tcPr>
            <w:tcW w:type="dxa" w:w="6912"/>
            <w:vAlign w:val="center"/>
            <w:shd w:fill="F1F5F9"/>
          </w:tcPr>
          <w:p>
            <w:r>
              <w:t>Backfilled positions and opening state from legacy snapshots.</w:t>
            </w:r>
          </w:p>
        </w:tc>
      </w:tr>
      <w:tr>
        <w:tc>
          <w:tcPr>
            <w:tcW w:type="dxa" w:w="3168"/>
            <w:vAlign w:val="center"/>
          </w:tcPr>
          <w:p>
            <w:r>
              <w:t>v0.4.4_security_reporting</w:t>
            </w:r>
          </w:p>
        </w:tc>
        <w:tc>
          <w:tcPr>
            <w:tcW w:type="dxa" w:w="6912"/>
            <w:vAlign w:val="center"/>
          </w:tcPr>
          <w:p>
            <w:r>
              <w:t>Added sessions, login throttling, currency and risk tolerance.</w:t>
            </w:r>
          </w:p>
        </w:tc>
      </w:tr>
    </w:tbl>
    <w:p/>
    <w:p>
      <w:r>
        <w:t>The existing database was migrated. It did not require a destructive reset. Canonical schema and seed SQL were also updated so a fresh installation produces the same current structure.</w:t>
      </w:r>
    </w:p>
    <w:p>
      <w:pPr>
        <w:pStyle w:val="Heading1"/>
      </w:pPr>
      <w:r>
        <w:t>5. Deposit lifecycle: before and now</w:t>
      </w:r>
    </w:p>
    <w:tbl>
      <w:tblPr>
        <w:tblStyle w:val="TableGrid"/>
        <w:tblW w:type="auto" w:w="0"/>
        <w:jc w:val="center"/>
        <w:tblLook w:firstColumn="1" w:firstRow="1" w:lastColumn="0" w:lastRow="0" w:noHBand="0" w:noVBand="1" w:val="04A0"/>
      </w:tblPr>
      <w:tblGrid>
        <w:gridCol w:w="5040"/>
        <w:gridCol w:w="5040"/>
      </w:tblGrid>
      <w:tr>
        <w:tc>
          <w:tcPr>
            <w:tcW w:type="dxa" w:w="4752"/>
            <w:shd w:fill="1D4ED8"/>
          </w:tcPr>
          <w:p>
            <w:r>
              <w:rPr>
                <w:b/>
                <w:color w:val="FFFFFF"/>
              </w:rPr>
              <w:t>Before</w:t>
            </w:r>
          </w:p>
        </w:tc>
        <w:tc>
          <w:tcPr>
            <w:tcW w:type="dxa" w:w="5328"/>
            <w:shd w:fill="1D4ED8"/>
          </w:tcPr>
          <w:p>
            <w:r>
              <w:rPr>
                <w:b/>
                <w:color w:val="FFFFFF"/>
              </w:rPr>
              <w:t>Now</w:t>
            </w:r>
          </w:p>
        </w:tc>
      </w:tr>
      <w:tr>
        <w:tc>
          <w:tcPr>
            <w:tcW w:type="dxa" w:w="4752"/>
            <w:vAlign w:val="center"/>
          </w:tcPr>
          <w:p>
            <w:r>
              <w:t>Approval and balance updates were easy to interpret as the same event.</w:t>
            </w:r>
          </w:p>
        </w:tc>
        <w:tc>
          <w:tcPr>
            <w:tcW w:type="dxa" w:w="5328"/>
            <w:vAlign w:val="center"/>
          </w:tcPr>
          <w:p>
            <w:r>
              <w:t>Operations approval is authorization; Stripe confirmation is settlement.</w:t>
            </w:r>
          </w:p>
        </w:tc>
      </w:tr>
      <w:tr>
        <w:tc>
          <w:tcPr>
            <w:tcW w:type="dxa" w:w="4752"/>
            <w:vAlign w:val="center"/>
            <w:shd w:fill="F1F5F9"/>
          </w:tcPr>
          <w:p>
            <w:r>
              <w:t>The primary visible result was a dollar balance.</w:t>
            </w:r>
          </w:p>
        </w:tc>
        <w:tc>
          <w:tcPr>
            <w:tcW w:type="dxa" w:w="5328"/>
            <w:vAlign w:val="center"/>
            <w:shd w:fill="F1F5F9"/>
          </w:tcPr>
          <w:p>
            <w:r>
              <w:t>Confirmed cash purchases units at NAV and updates cost basis.</w:t>
            </w:r>
          </w:p>
        </w:tc>
      </w:tr>
      <w:tr>
        <w:tc>
          <w:tcPr>
            <w:tcW w:type="dxa" w:w="4752"/>
            <w:vAlign w:val="center"/>
          </w:tcPr>
          <w:p>
            <w:r>
              <w:t>Replayed processing could threaten duplicate changes.</w:t>
            </w:r>
          </w:p>
        </w:tc>
        <w:tc>
          <w:tcPr>
            <w:tcW w:type="dxa" w:w="5328"/>
            <w:vAlign w:val="center"/>
          </w:tcPr>
          <w:p>
            <w:r>
              <w:t>A unique ledger entry and row locks provide idempotency.</w:t>
            </w:r>
          </w:p>
        </w:tc>
      </w:tr>
      <w:tr>
        <w:tc>
          <w:tcPr>
            <w:tcW w:type="dxa" w:w="4752"/>
            <w:vAlign w:val="center"/>
            <w:shd w:fill="F1F5F9"/>
          </w:tcPr>
          <w:p>
            <w:r>
              <w:t>Investor next action was unclear.</w:t>
            </w:r>
          </w:p>
        </w:tc>
        <w:tc>
          <w:tcPr>
            <w:tcW w:type="dxa" w:w="5328"/>
            <w:vAlign w:val="center"/>
            <w:shd w:fill="F1F5F9"/>
          </w:tcPr>
          <w:p>
            <w:r>
              <w:t>Investor sees Pay now and explicit lifecycle guidance.</w:t>
            </w:r>
          </w:p>
        </w:tc>
      </w:tr>
    </w:tbl>
    <w:p/>
    <w:p>
      <w:pPr>
        <w:pStyle w:val="ListNumber"/>
      </w:pPr>
      <w:r>
        <w:t>Investor selects an owned investment account, approved fund and amount.</w:t>
      </w:r>
    </w:p>
    <w:p>
      <w:pPr>
        <w:pStyle w:val="ListNumber"/>
      </w:pPr>
      <w:r>
        <w:t>Fund flow enters pending_ops_team.</w:t>
      </w:r>
    </w:p>
    <w:p>
      <w:pPr>
        <w:pStyle w:val="ListNumber"/>
      </w:pPr>
      <w:r>
        <w:t>Operations approves it; status becomes approved_pending_payment.</w:t>
      </w:r>
    </w:p>
    <w:p>
      <w:pPr>
        <w:pStyle w:val="ListNumber"/>
      </w:pPr>
      <w:r>
        <w:t>Investor opens the payment URL and pays through Stripe.</w:t>
      </w:r>
    </w:p>
    <w:p>
      <w:pPr>
        <w:pStyle w:val="ListNumber"/>
      </w:pPr>
      <w:r>
        <w:t>Stripe sends a signed checkout.session.completed event.</w:t>
      </w:r>
    </w:p>
    <w:p>
      <w:pPr>
        <w:pStyle w:val="ListNumber"/>
      </w:pPr>
      <w:r>
        <w:t>FundInv validates amount and currency, then settles exactly once.</w:t>
      </w:r>
    </w:p>
    <w:p>
      <w:pPr>
        <w:pStyle w:val="ListNumber"/>
      </w:pPr>
      <w:r>
        <w:t>Units, cost basis, compatibility balance, ledger and completed status update together.</w:t>
      </w:r>
    </w:p>
    <w:p>
      <w:pPr>
        <w:pStyle w:val="IntenseQuote"/>
        <w:jc w:val="center"/>
      </w:pPr>
      <w:r>
        <w:rPr>
          <w:rFonts w:ascii="Consolas" w:hAnsi="Consolas"/>
          <w:sz w:val="21"/>
        </w:rPr>
        <w:t>Units issued = Confirmed deposit amount ÷ Current NAV per unit</w:t>
      </w:r>
    </w:p>
    <w:p>
      <w:pPr>
        <w:pStyle w:val="IntenseQuote"/>
        <w:jc w:val="center"/>
      </w:pPr>
      <w:r>
        <w:rPr>
          <w:rFonts w:ascii="Consolas" w:hAnsi="Consolas"/>
          <w:sz w:val="21"/>
        </w:rPr>
        <w:t>New cost basis = Existing cost basis + Confirmed deposit amount</w:t>
      </w:r>
    </w:p>
    <w:p>
      <w:r>
        <w:t>Example: a $50,000 confirmed payment at NAV $100 issues 500 units. If NAV later becomes $105, those units are worth $52,500 and have produced $2,500 of market P&amp;L.</w:t>
      </w:r>
    </w:p>
    <w:p>
      <w:pPr>
        <w:pStyle w:val="Heading1"/>
      </w:pPr>
      <w:r>
        <w:t>6. Withdrawal lifecycle</w:t>
      </w:r>
    </w:p>
    <w:p>
      <w:pPr>
        <w:pStyle w:val="IntenseQuote"/>
        <w:jc w:val="center"/>
      </w:pPr>
      <w:r>
        <w:rPr>
          <w:rFonts w:ascii="Consolas" w:hAnsi="Consolas"/>
          <w:sz w:val="21"/>
        </w:rPr>
        <w:t>Available value = Position units × Current NAV − Reserved pending withdrawals</w:t>
      </w:r>
    </w:p>
    <w:p>
      <w:pPr>
        <w:pStyle w:val="IntenseQuote"/>
        <w:jc w:val="center"/>
      </w:pPr>
      <w:r>
        <w:rPr>
          <w:rFonts w:ascii="Consolas" w:hAnsi="Consolas"/>
          <w:sz w:val="21"/>
        </w:rPr>
        <w:t>Units redeemed = Confirmed withdrawal amount ÷ Current NAV</w:t>
      </w:r>
    </w:p>
    <w:p>
      <w:pPr>
        <w:pStyle w:val="IntenseQuote"/>
        <w:jc w:val="center"/>
      </w:pPr>
      <w:r>
        <w:rPr>
          <w:rFonts w:ascii="Consolas" w:hAnsi="Consolas"/>
          <w:sz w:val="21"/>
        </w:rPr>
        <w:t>Cost basis reduction = Existing cost basis × Units redeemed ÷ Existing units</w:t>
      </w:r>
    </w:p>
    <w:p>
      <w:pPr>
        <w:pStyle w:val="ListBullet"/>
      </w:pPr>
      <w:r>
        <w:t>Requests above available value are rejected.</w:t>
      </w:r>
    </w:p>
    <w:p>
      <w:pPr>
        <w:pStyle w:val="ListBullet"/>
      </w:pPr>
      <w:r>
        <w:t>Already-pending withdrawals reserve value so the same position cannot be over-requested.</w:t>
      </w:r>
    </w:p>
    <w:p>
      <w:pPr>
        <w:pStyle w:val="ListBullet"/>
      </w:pPr>
      <w:r>
        <w:t>Operations approval starts payout setup; it does not remove units.</w:t>
      </w:r>
    </w:p>
    <w:p>
      <w:pPr>
        <w:pStyle w:val="ListBullet"/>
      </w:pPr>
      <w:r>
        <w:t>Signed payout confirmation redeems units and writes one negative ledger entry.</w:t>
      </w:r>
    </w:p>
    <w:p>
      <w:pPr>
        <w:pStyle w:val="ListBullet"/>
      </w:pPr>
      <w:r>
        <w:t>Replay of the same payout callback does not redeem twice.</w:t>
      </w:r>
    </w:p>
    <w:p>
      <w:r>
        <w:br w:type="page"/>
      </w:r>
    </w:p>
    <w:p>
      <w:pPr>
        <w:pStyle w:val="Heading1"/>
      </w:pPr>
      <w:r>
        <w:t>7. P&amp;L implementation</w:t>
      </w:r>
    </w:p>
    <w:p>
      <w:pPr>
        <w:pStyle w:val="Heading2"/>
      </w:pPr>
      <w:r>
        <w:t>7.1 Daily fund P&amp;L</w:t>
      </w:r>
    </w:p>
    <w:p>
      <w:pPr>
        <w:pStyle w:val="IntenseQuote"/>
        <w:jc w:val="center"/>
      </w:pPr>
      <w:r>
        <w:rPr>
          <w:rFonts w:ascii="Consolas" w:hAnsi="Consolas"/>
          <w:sz w:val="21"/>
        </w:rPr>
        <w:t>Opening units = Closing units − Units created/redeemed during the day</w:t>
      </w:r>
    </w:p>
    <w:p>
      <w:pPr>
        <w:pStyle w:val="IntenseQuote"/>
        <w:jc w:val="center"/>
      </w:pPr>
      <w:r>
        <w:rPr>
          <w:rFonts w:ascii="Consolas" w:hAnsi="Consolas"/>
          <w:sz w:val="21"/>
        </w:rPr>
        <w:t>Opening assets = Opening units × Opening NAV</w:t>
      </w:r>
    </w:p>
    <w:p>
      <w:pPr>
        <w:pStyle w:val="IntenseQuote"/>
        <w:jc w:val="center"/>
      </w:pPr>
      <w:r>
        <w:rPr>
          <w:rFonts w:ascii="Consolas" w:hAnsi="Consolas"/>
          <w:sz w:val="21"/>
        </w:rPr>
        <w:t>Daily fund P&amp;L = Opening units × (Closing NAV − Opening NAV)</w:t>
      </w:r>
    </w:p>
    <w:p>
      <w:pPr>
        <w:pStyle w:val="IntenseQuote"/>
        <w:jc w:val="center"/>
      </w:pPr>
      <w:r>
        <w:rPr>
          <w:rFonts w:ascii="Consolas" w:hAnsi="Consolas"/>
          <w:sz w:val="21"/>
        </w:rPr>
        <w:t>Closing assets = Opening assets + Daily P&amp;L + Net cash flow</w:t>
      </w:r>
    </w:p>
    <w:p>
      <w:r>
        <w:t>Deposits and withdrawals are stored as net flow, not P&amp;L. This prevents capital contributions from being presented as investment gains.</w:t>
      </w:r>
    </w:p>
    <w:p>
      <w:pPr>
        <w:pStyle w:val="Heading2"/>
      </w:pPr>
      <w:r>
        <w:t>7.2 Investor attribution</w:t>
      </w:r>
    </w:p>
    <w:p>
      <w:pPr>
        <w:pStyle w:val="IntenseQuote"/>
        <w:jc w:val="center"/>
      </w:pPr>
      <w:r>
        <w:rPr>
          <w:rFonts w:ascii="Consolas" w:hAnsi="Consolas"/>
          <w:sz w:val="21"/>
        </w:rPr>
        <w:t>Investor daily P&amp;L = Investor opening units × (Closing NAV − Opening NAV)</w:t>
      </w:r>
    </w:p>
    <w:p>
      <w:pPr>
        <w:pStyle w:val="IntenseQuote"/>
        <w:jc w:val="center"/>
      </w:pPr>
      <w:r>
        <w:rPr>
          <w:rFonts w:ascii="Consolas" w:hAnsi="Consolas"/>
          <w:sz w:val="21"/>
        </w:rPr>
        <w:t>Investor opening share % = Investor opening units ÷ Total opening units × 100</w:t>
      </w:r>
    </w:p>
    <w:p>
      <w:r>
        <w:t>A same-day deposit does not receive profit retroactively. Its units affect the investor’s next opening position.</w:t>
      </w:r>
    </w:p>
    <w:p>
      <w:pPr>
        <w:pStyle w:val="Heading2"/>
      </w:pPr>
      <w:r>
        <w:t>7.3 Period reporting</w:t>
      </w:r>
    </w:p>
    <w:p>
      <w:pPr>
        <w:pStyle w:val="IntenseQuote"/>
        <w:jc w:val="center"/>
      </w:pPr>
      <w:r>
        <w:rPr>
          <w:rFonts w:ascii="Consolas" w:hAnsi="Consolas"/>
          <w:sz w:val="21"/>
        </w:rPr>
        <w:t>Total dollar P&amp;L = Sum of investor daily P&amp;L across the selected period</w:t>
      </w:r>
    </w:p>
    <w:p>
      <w:pPr>
        <w:pStyle w:val="IntenseQuote"/>
        <w:jc w:val="center"/>
      </w:pPr>
      <w:r>
        <w:rPr>
          <w:rFonts w:ascii="Consolas" w:hAnsi="Consolas"/>
          <w:sz w:val="21"/>
        </w:rPr>
        <w:t>Daily return = Daily P&amp;L ÷ Opening portfolio value</w:t>
      </w:r>
    </w:p>
    <w:p>
      <w:pPr>
        <w:pStyle w:val="IntenseQuote"/>
        <w:jc w:val="center"/>
      </w:pPr>
      <w:r>
        <w:rPr>
          <w:rFonts w:ascii="Consolas" w:hAnsi="Consolas"/>
          <w:sz w:val="21"/>
        </w:rPr>
        <w:t>Compounded return = [Product of (1 + each daily return) − 1] × 100%</w:t>
      </w:r>
    </w:p>
    <w:p>
      <w:pPr>
        <w:pStyle w:val="Heading2"/>
      </w:pPr>
      <w:r>
        <w:t>7.4 FIFO realised stock P&amp;L</w:t>
      </w:r>
    </w:p>
    <w:p>
      <w:pPr>
        <w:pStyle w:val="IntenseQuote"/>
        <w:jc w:val="center"/>
      </w:pPr>
      <w:r>
        <w:rPr>
          <w:rFonts w:ascii="Consolas" w:hAnsi="Consolas"/>
          <w:sz w:val="21"/>
        </w:rPr>
        <w:t>Realised P&amp;L = Sum[(Sell price − oldest unmatched buy price) × matched quantity] − charges</w:t>
      </w:r>
    </w:p>
    <w:p>
      <w:r>
        <w:t>Historical sales are now consumed once from the oldest buy lots. This fixes repeated consumption when multiple buys and sells exist.</w:t>
      </w:r>
    </w:p>
    <w:p>
      <w:pPr>
        <w:pStyle w:val="Heading2"/>
      </w:pPr>
      <w:r>
        <w:t>7.5 Live unrealised stock P&amp;L</w:t>
      </w:r>
    </w:p>
    <w:p>
      <w:pPr>
        <w:pStyle w:val="IntenseQuote"/>
        <w:jc w:val="center"/>
      </w:pPr>
      <w:r>
        <w:rPr>
          <w:rFonts w:ascii="Consolas" w:hAnsi="Consolas"/>
          <w:sz w:val="21"/>
        </w:rPr>
        <w:t>Unrealised P&amp;L = Locally attributable quantity × Current Alpaca price − Remaining local cost</w:t>
      </w:r>
    </w:p>
    <w:p>
      <w:r>
        <w:t>Alpaca is an omnibus paper account. FundInv therefore derives investor ownership from local transactions and uses Alpaca only for current pricing, preventing cross-investor position leakage.</w:t>
      </w:r>
    </w:p>
    <w:p>
      <w:pPr>
        <w:pStyle w:val="Heading1"/>
      </w:pPr>
      <w:r>
        <w:t>8. Role-by-role changes</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1D4ED8"/>
          </w:tcPr>
          <w:p>
            <w:r>
              <w:rPr>
                <w:b/>
                <w:color w:val="FFFFFF"/>
              </w:rPr>
              <w:t>Role</w:t>
            </w:r>
          </w:p>
        </w:tc>
        <w:tc>
          <w:tcPr>
            <w:tcW w:type="dxa" w:w="5184"/>
            <w:shd w:fill="1D4ED8"/>
          </w:tcPr>
          <w:p>
            <w:r>
              <w:rPr>
                <w:b/>
                <w:color w:val="FFFFFF"/>
              </w:rPr>
              <w:t>Implemented experience</w:t>
            </w:r>
          </w:p>
        </w:tc>
        <w:tc>
          <w:tcPr>
            <w:tcW w:type="dxa" w:w="3600"/>
            <w:shd w:fill="1D4ED8"/>
          </w:tcPr>
          <w:p>
            <w:r>
              <w:rPr>
                <w:b/>
                <w:color w:val="FFFFFF"/>
              </w:rPr>
              <w:t>Boundaries</w:t>
            </w:r>
          </w:p>
        </w:tc>
      </w:tr>
      <w:tr>
        <w:tc>
          <w:tcPr>
            <w:tcW w:type="dxa" w:w="1584"/>
            <w:vAlign w:val="center"/>
          </w:tcPr>
          <w:p>
            <w:r>
              <w:t>Investor</w:t>
            </w:r>
          </w:p>
        </w:tc>
        <w:tc>
          <w:tcPr>
            <w:tcW w:type="dxa" w:w="5184"/>
            <w:vAlign w:val="center"/>
          </w:tcPr>
          <w:p>
            <w:r>
              <w:t>Monthly/custom P&amp;L, units, NAV, cost basis, fund flows, Pay now, risk tolerance, PDF, MFA and trading permission aligned with UI.</w:t>
            </w:r>
          </w:p>
        </w:tc>
        <w:tc>
          <w:tcPr>
            <w:tcW w:type="dxa" w:w="3600"/>
            <w:vAlign w:val="center"/>
          </w:tcPr>
          <w:p>
            <w:r>
              <w:t>Own accounts and portfolio only; cannot approve own flow; cannot close a funded account.</w:t>
            </w:r>
          </w:p>
        </w:tc>
      </w:tr>
      <w:tr>
        <w:tc>
          <w:tcPr>
            <w:tcW w:type="dxa" w:w="1584"/>
            <w:vAlign w:val="center"/>
            <w:shd w:fill="F1F5F9"/>
          </w:tcPr>
          <w:p>
            <w:r>
              <w:t>Operations</w:t>
            </w:r>
          </w:p>
        </w:tc>
        <w:tc>
          <w:tcPr>
            <w:tcW w:type="dxa" w:w="5184"/>
            <w:vAlign w:val="center"/>
            <w:shd w:fill="F1F5F9"/>
          </w:tcPr>
          <w:p>
            <w:r>
              <w:t>Clear deposit/withdrawal states, next-action guidance, provider lifecycle, fund reviews, feedback, audit and invite requests.</w:t>
            </w:r>
          </w:p>
        </w:tc>
        <w:tc>
          <w:tcPr>
            <w:tcW w:type="dxa" w:w="3600"/>
            <w:vAlign w:val="center"/>
            <w:shd w:fill="F1F5F9"/>
          </w:tcPr>
          <w:p>
            <w:r>
              <w:t>Approval is not settlement; provider confirmation changes units.</w:t>
            </w:r>
          </w:p>
        </w:tc>
      </w:tr>
      <w:tr>
        <w:tc>
          <w:tcPr>
            <w:tcW w:type="dxa" w:w="1584"/>
            <w:vAlign w:val="center"/>
          </w:tcPr>
          <w:p>
            <w:r>
              <w:t>Manager</w:t>
            </w:r>
          </w:p>
        </w:tc>
        <w:tc>
          <w:tcPr>
            <w:tcW w:type="dxa" w:w="5184"/>
            <w:vAlign w:val="center"/>
          </w:tcPr>
          <w:p>
            <w:r>
              <w:t>Fund creation, weight validation, submission, investor assignment, attribution, contribution table and what-if allocation analysis.</w:t>
            </w:r>
          </w:p>
        </w:tc>
        <w:tc>
          <w:tcPr>
            <w:tcW w:type="dxa" w:w="3600"/>
            <w:vAlign w:val="center"/>
          </w:tcPr>
          <w:p>
            <w:r>
              <w:t>Only assigned investors and managed funds; scenario analysis does not trade.</w:t>
            </w:r>
          </w:p>
        </w:tc>
      </w:tr>
      <w:tr>
        <w:tc>
          <w:tcPr>
            <w:tcW w:type="dxa" w:w="1584"/>
            <w:vAlign w:val="center"/>
            <w:shd w:fill="F1F5F9"/>
          </w:tcPr>
          <w:p>
            <w:r>
              <w:t>Admin</w:t>
            </w:r>
          </w:p>
        </w:tc>
        <w:tc>
          <w:tcPr>
            <w:tcW w:type="dxa" w:w="5184"/>
            <w:vAlign w:val="center"/>
            <w:shd w:fill="F1F5F9"/>
          </w:tcPr>
          <w:p>
            <w:r>
              <w:t>User/investor management, targeting, invites, platform flows, orders, transactions, audits and provider reconciliation.</w:t>
            </w:r>
          </w:p>
        </w:tc>
        <w:tc>
          <w:tcPr>
            <w:tcW w:type="dxa" w:w="3600"/>
            <w:vAlign w:val="center"/>
            <w:shd w:fill="F1F5F9"/>
          </w:tcPr>
          <w:p>
            <w:r>
              <w:t>Oversight role; does not manufacture investor P&amp;L.</w:t>
            </w:r>
          </w:p>
        </w:tc>
      </w:tr>
      <w:tr>
        <w:tc>
          <w:tcPr>
            <w:tcW w:type="dxa" w:w="1584"/>
            <w:vAlign w:val="center"/>
          </w:tcPr>
          <w:p>
            <w:r>
              <w:t>System/Scheduler</w:t>
            </w:r>
          </w:p>
        </w:tc>
        <w:tc>
          <w:tcPr>
            <w:tcW w:type="dxa" w:w="5184"/>
            <w:vAlign w:val="center"/>
          </w:tcPr>
          <w:p>
            <w:r>
              <w:t>Daily snapshots, security cleanup, reconciliation and periodic reports in a dedicated worker.</w:t>
            </w:r>
          </w:p>
        </w:tc>
        <w:tc>
          <w:tcPr>
            <w:tcW w:type="dxa" w:w="3600"/>
            <w:vAlign w:val="center"/>
          </w:tcPr>
          <w:p>
            <w:r>
              <w:t>Automatic rebalancing requires a separate explicit switch.</w:t>
            </w:r>
          </w:p>
        </w:tc>
      </w:tr>
    </w:tbl>
    <w:p/>
    <w:p>
      <w:pPr>
        <w:pStyle w:val="Heading1"/>
      </w:pPr>
      <w:r>
        <w:t>9. Frontend changes</w:t>
      </w:r>
    </w:p>
    <w:p>
      <w:pPr>
        <w:pStyle w:val="ListBullet"/>
      </w:pPr>
      <w:r>
        <w:t>Investor dashboard now shows today, YTD, monthly and custom-period performance.</w:t>
      </w:r>
    </w:p>
    <w:p>
      <w:pPr>
        <w:pStyle w:val="ListBullet"/>
      </w:pPr>
      <w:r>
        <w:t>Custom reporting displays total dollar P&amp;L, compounded return, realised and period-unrealised fields.</w:t>
      </w:r>
    </w:p>
    <w:p>
      <w:pPr>
        <w:pStyle w:val="ListBullet"/>
      </w:pPr>
      <w:r>
        <w:t>Fund positions show units, NAV, market value and cost basis.</w:t>
      </w:r>
    </w:p>
    <w:p>
      <w:pPr>
        <w:pStyle w:val="ListBullet"/>
      </w:pPr>
      <w:r>
        <w:t>Fund-flow screens explain each state and show provider next actions.</w:t>
      </w:r>
    </w:p>
    <w:p>
      <w:pPr>
        <w:pStyle w:val="ListBullet"/>
      </w:pPr>
      <w:r>
        <w:t>Manager navigation includes a new performance attribution page.</w:t>
      </w:r>
    </w:p>
    <w:p>
      <w:pPr>
        <w:pStyle w:val="ListBullet"/>
      </w:pPr>
      <w:r>
        <w:t>A new account-security page supports QR/manual MFA setup and disable.</w:t>
      </w:r>
    </w:p>
    <w:p>
      <w:pPr>
        <w:pStyle w:val="ListBullet"/>
      </w:pPr>
      <w:r>
        <w:t>Login supports MFA challenge mode.</w:t>
      </w:r>
    </w:p>
    <w:p>
      <w:pPr>
        <w:pStyle w:val="ListBullet"/>
      </w:pPr>
      <w:r>
        <w:t>API requests use credentials: include rather than localStorage bearer tokens.</w:t>
      </w:r>
    </w:p>
    <w:p>
      <w:pPr>
        <w:pStyle w:val="ListBullet"/>
      </w:pPr>
      <w:r>
        <w:t>Only non-sensitive display metadata remains in localStorage.</w:t>
      </w:r>
    </w:p>
    <w:p>
      <w:pPr>
        <w:pStyle w:val="ListBullet"/>
      </w:pPr>
      <w:r>
        <w:t>Input label associations and several role/page type inconsistencies were corrected.</w:t>
      </w:r>
    </w:p>
    <w:p>
      <w:pPr>
        <w:pStyle w:val="Heading1"/>
      </w:pPr>
      <w:r>
        <w:t>10. Authentication and security changes</w:t>
      </w:r>
    </w:p>
    <w:tbl>
      <w:tblPr>
        <w:tblStyle w:val="TableGrid"/>
        <w:tblW w:type="auto" w:w="0"/>
        <w:jc w:val="center"/>
        <w:tblLook w:firstColumn="1" w:firstRow="1" w:lastColumn="0" w:lastRow="0" w:noHBand="0" w:noVBand="1" w:val="04A0"/>
      </w:tblPr>
      <w:tblGrid>
        <w:gridCol w:w="5040"/>
        <w:gridCol w:w="5040"/>
      </w:tblGrid>
      <w:tr>
        <w:tc>
          <w:tcPr>
            <w:tcW w:type="dxa" w:w="4320"/>
            <w:shd w:fill="1D4ED8"/>
          </w:tcPr>
          <w:p>
            <w:r>
              <w:rPr>
                <w:b/>
                <w:color w:val="FFFFFF"/>
              </w:rPr>
              <w:t>Before</w:t>
            </w:r>
          </w:p>
        </w:tc>
        <w:tc>
          <w:tcPr>
            <w:tcW w:type="dxa" w:w="5760"/>
            <w:shd w:fill="1D4ED8"/>
          </w:tcPr>
          <w:p>
            <w:r>
              <w:rPr>
                <w:b/>
                <w:color w:val="FFFFFF"/>
              </w:rPr>
              <w:t>Now</w:t>
            </w:r>
          </w:p>
        </w:tc>
      </w:tr>
      <w:tr>
        <w:tc>
          <w:tcPr>
            <w:tcW w:type="dxa" w:w="4320"/>
            <w:vAlign w:val="center"/>
          </w:tcPr>
          <w:p>
            <w:r>
              <w:t>JWT in localStorage</w:t>
            </w:r>
          </w:p>
        </w:tc>
        <w:tc>
          <w:tcPr>
            <w:tcW w:type="dxa" w:w="5760"/>
            <w:vAlign w:val="center"/>
          </w:tcPr>
          <w:p>
            <w:r>
              <w:t>HTTP-only session cookie inaccessible to browser JavaScript.</w:t>
            </w:r>
          </w:p>
        </w:tc>
      </w:tr>
      <w:tr>
        <w:tc>
          <w:tcPr>
            <w:tcW w:type="dxa" w:w="4320"/>
            <w:vAlign w:val="center"/>
            <w:shd w:fill="F1F5F9"/>
          </w:tcPr>
          <w:p>
            <w:r>
              <w:t>No authoritative server session</w:t>
            </w:r>
          </w:p>
        </w:tc>
        <w:tc>
          <w:tcPr>
            <w:tcW w:type="dxa" w:w="5760"/>
            <w:vAlign w:val="center"/>
            <w:shd w:fill="F1F5F9"/>
          </w:tcPr>
          <w:p>
            <w:r>
              <w:t>Database auth_sessions row with JWT ID, expiry, IP, user agent and revocation.</w:t>
            </w:r>
          </w:p>
        </w:tc>
      </w:tr>
      <w:tr>
        <w:tc>
          <w:tcPr>
            <w:tcW w:type="dxa" w:w="4320"/>
            <w:vAlign w:val="center"/>
          </w:tcPr>
          <w:p>
            <w:r>
              <w:t>Logout mainly removed client state</w:t>
            </w:r>
          </w:p>
        </w:tc>
        <w:tc>
          <w:tcPr>
            <w:tcW w:type="dxa" w:w="5760"/>
            <w:vAlign w:val="center"/>
          </w:tcPr>
          <w:p>
            <w:r>
              <w:t>Logout revokes server session and deletes cookie.</w:t>
            </w:r>
          </w:p>
        </w:tc>
      </w:tr>
      <w:tr>
        <w:tc>
          <w:tcPr>
            <w:tcW w:type="dxa" w:w="4320"/>
            <w:vAlign w:val="center"/>
            <w:shd w:fill="F1F5F9"/>
          </w:tcPr>
          <w:p>
            <w:r>
              <w:t>Instance-local or incomplete throttling</w:t>
            </w:r>
          </w:p>
        </w:tc>
        <w:tc>
          <w:tcPr>
            <w:tcW w:type="dxa" w:w="5760"/>
            <w:vAlign w:val="center"/>
            <w:shd w:fill="F1F5F9"/>
          </w:tcPr>
          <w:p>
            <w:r>
              <w:t>PostgreSQL-backed email/IP failure counters and timed block.</w:t>
            </w:r>
          </w:p>
        </w:tc>
      </w:tr>
      <w:tr>
        <w:tc>
          <w:tcPr>
            <w:tcW w:type="dxa" w:w="4320"/>
            <w:vAlign w:val="center"/>
          </w:tcPr>
          <w:p>
            <w:r>
              <w:t>Raw password-reset token storage</w:t>
            </w:r>
          </w:p>
        </w:tc>
        <w:tc>
          <w:tcPr>
            <w:tcW w:type="dxa" w:w="5760"/>
            <w:vAlign w:val="center"/>
          </w:tcPr>
          <w:p>
            <w:r>
              <w:t>SHA-256 token hash stored; raw token only sent to user.</w:t>
            </w:r>
          </w:p>
        </w:tc>
      </w:tr>
      <w:tr>
        <w:tc>
          <w:tcPr>
            <w:tcW w:type="dxa" w:w="4320"/>
            <w:vAlign w:val="center"/>
            <w:shd w:fill="F1F5F9"/>
          </w:tcPr>
          <w:p>
            <w:r>
              <w:t>MFA existed mainly as API logic</w:t>
            </w:r>
          </w:p>
        </w:tc>
        <w:tc>
          <w:tcPr>
            <w:tcW w:type="dxa" w:w="5760"/>
            <w:vAlign w:val="center"/>
            <w:shd w:fill="F1F5F9"/>
          </w:tcPr>
          <w:p>
            <w:r>
              <w:t>Complete setup, verify, challenge, login and disable UI workflow.</w:t>
            </w:r>
          </w:p>
        </w:tc>
      </w:tr>
    </w:tbl>
    <w:p/>
    <w:p>
      <w:r>
        <w:t>Production startup also rejects an insecure cookie configuration when the environment is marked as production.</w:t>
      </w:r>
    </w:p>
    <w:p>
      <w:r>
        <w:br w:type="page"/>
      </w:r>
    </w:p>
    <w:p>
      <w:pPr>
        <w:pStyle w:val="Heading1"/>
      </w:pPr>
      <w:r>
        <w:t>11. Defects discovered during deep acceptance testing</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D4ED8"/>
          </w:tcPr>
          <w:p>
            <w:r>
              <w:rPr>
                <w:b/>
                <w:color w:val="FFFFFF"/>
              </w:rPr>
              <w:t>Defect</w:t>
            </w:r>
          </w:p>
        </w:tc>
        <w:tc>
          <w:tcPr>
            <w:tcW w:type="dxa" w:w="3600"/>
            <w:shd w:fill="1D4ED8"/>
          </w:tcPr>
          <w:p>
            <w:r>
              <w:rPr>
                <w:b/>
                <w:color w:val="FFFFFF"/>
              </w:rPr>
              <w:t>Impact</w:t>
            </w:r>
          </w:p>
        </w:tc>
        <w:tc>
          <w:tcPr>
            <w:tcW w:type="dxa" w:w="4320"/>
            <w:shd w:fill="1D4ED8"/>
          </w:tcPr>
          <w:p>
            <w:r>
              <w:rPr>
                <w:b/>
                <w:color w:val="FFFFFF"/>
              </w:rPr>
              <w:t>Fix</w:t>
            </w:r>
          </w:p>
        </w:tc>
      </w:tr>
      <w:tr>
        <w:tc>
          <w:tcPr>
            <w:tcW w:type="dxa" w:w="2304"/>
            <w:vAlign w:val="center"/>
          </w:tcPr>
          <w:p>
            <w:r>
              <w:t>StripeObject webhook crash</w:t>
            </w:r>
          </w:p>
        </w:tc>
        <w:tc>
          <w:tcPr>
            <w:tcW w:type="dxa" w:w="3600"/>
            <w:vAlign w:val="center"/>
          </w:tcPr>
          <w:p>
            <w:r>
              <w:t>Valid Stripe confirmation returned 500 before units were issued.</w:t>
            </w:r>
          </w:p>
        </w:tc>
        <w:tc>
          <w:tcPr>
            <w:tcW w:type="dxa" w:w="4320"/>
            <w:vAlign w:val="center"/>
          </w:tcPr>
          <w:p>
            <w:r>
              <w:t>Normalize SDK objects with the supported to_dict method for checkout, account and payout events.</w:t>
            </w:r>
          </w:p>
        </w:tc>
      </w:tr>
      <w:tr>
        <w:tc>
          <w:tcPr>
            <w:tcW w:type="dxa" w:w="2304"/>
            <w:vAlign w:val="center"/>
            <w:shd w:fill="F1F5F9"/>
          </w:tcPr>
          <w:p>
            <w:r>
              <w:t>Funded account could close</w:t>
            </w:r>
          </w:p>
        </w:tc>
        <w:tc>
          <w:tcPr>
            <w:tcW w:type="dxa" w:w="3600"/>
            <w:vAlign w:val="center"/>
            <w:shd w:fill="F1F5F9"/>
          </w:tcPr>
          <w:p>
            <w:r>
              <w:t>Assets could remain attached to a deleted account and disappear from normal investor views.</w:t>
            </w:r>
          </w:p>
        </w:tc>
        <w:tc>
          <w:tcPr>
            <w:tcW w:type="dxa" w:w="4320"/>
            <w:vAlign w:val="center"/>
            <w:shd w:fill="F1F5F9"/>
          </w:tcPr>
          <w:p>
            <w:r>
              <w:t>Reject closure when units, balances or pending flows remain.</w:t>
            </w:r>
          </w:p>
        </w:tc>
      </w:tr>
      <w:tr>
        <w:tc>
          <w:tcPr>
            <w:tcW w:type="dxa" w:w="2304"/>
            <w:vAlign w:val="center"/>
          </w:tcPr>
          <w:p>
            <w:r>
              <w:t>Closure used omnibus Alpaca positions</w:t>
            </w:r>
          </w:p>
        </w:tc>
        <w:tc>
          <w:tcPr>
            <w:tcW w:type="dxa" w:w="3600"/>
            <w:vAlign w:val="center"/>
          </w:tcPr>
          <w:p>
            <w:r>
              <w:t>Closing one FundInv account could attempt to liquidate shared provider positions.</w:t>
            </w:r>
          </w:p>
        </w:tc>
        <w:tc>
          <w:tcPr>
            <w:tcW w:type="dxa" w:w="4320"/>
            <w:vAlign w:val="center"/>
          </w:tcPr>
          <w:p>
            <w:r>
              <w:t>Removed provider-wide liquidation from account closure.</w:t>
            </w:r>
          </w:p>
        </w:tc>
      </w:tr>
      <w:tr>
        <w:tc>
          <w:tcPr>
            <w:tcW w:type="dxa" w:w="2304"/>
            <w:vAlign w:val="center"/>
            <w:shd w:fill="F1F5F9"/>
          </w:tcPr>
          <w:p>
            <w:r>
              <w:t>Investor trading claim missing</w:t>
            </w:r>
          </w:p>
        </w:tc>
        <w:tc>
          <w:tcPr>
            <w:tcW w:type="dxa" w:w="3600"/>
            <w:vAlign w:val="center"/>
            <w:shd w:fill="F1F5F9"/>
          </w:tcPr>
          <w:p>
            <w:r>
              <w:t>UI Buy/Sell controls could return 403.</w:t>
            </w:r>
          </w:p>
        </w:tc>
        <w:tc>
          <w:tcPr>
            <w:tcW w:type="dxa" w:w="4320"/>
            <w:vAlign w:val="center"/>
            <w:shd w:fill="F1F5F9"/>
          </w:tcPr>
          <w:p>
            <w:r>
              <w:t>Added executeTrades consistently to backend, frontend and seed role claims.</w:t>
            </w:r>
          </w:p>
        </w:tc>
      </w:tr>
      <w:tr>
        <w:tc>
          <w:tcPr>
            <w:tcW w:type="dxa" w:w="2304"/>
            <w:vAlign w:val="center"/>
          </w:tcPr>
          <w:p>
            <w:r>
              <w:t>FIFO historical sale handling</w:t>
            </w:r>
          </w:p>
        </w:tc>
        <w:tc>
          <w:tcPr>
            <w:tcW w:type="dxa" w:w="3600"/>
            <w:vAlign w:val="center"/>
          </w:tcPr>
          <w:p>
            <w:r>
              <w:t>Historical sells could be subtracted incorrectly from lots.</w:t>
            </w:r>
          </w:p>
        </w:tc>
        <w:tc>
          <w:tcPr>
            <w:tcW w:type="dxa" w:w="4320"/>
            <w:vAlign w:val="center"/>
          </w:tcPr>
          <w:p>
            <w:r>
              <w:t>Reconstruct remaining lots by consuming historical sales once in chronological order.</w:t>
            </w:r>
          </w:p>
        </w:tc>
      </w:tr>
      <w:tr>
        <w:tc>
          <w:tcPr>
            <w:tcW w:type="dxa" w:w="2304"/>
            <w:vAlign w:val="center"/>
            <w:shd w:fill="F1F5F9"/>
          </w:tcPr>
          <w:p>
            <w:r>
              <w:t>Webhook replay risk</w:t>
            </w:r>
          </w:p>
        </w:tc>
        <w:tc>
          <w:tcPr>
            <w:tcW w:type="dxa" w:w="3600"/>
            <w:vAlign w:val="center"/>
            <w:shd w:fill="F1F5F9"/>
          </w:tcPr>
          <w:p>
            <w:r>
              <w:t>Duplicate provider events could duplicate accounting.</w:t>
            </w:r>
          </w:p>
        </w:tc>
        <w:tc>
          <w:tcPr>
            <w:tcW w:type="dxa" w:w="4320"/>
            <w:vAlign w:val="center"/>
            <w:shd w:fill="F1F5F9"/>
          </w:tcPr>
          <w:p>
            <w:r>
              <w:t>Unique settlement ledger boundary plus row locking.</w:t>
            </w:r>
          </w:p>
        </w:tc>
      </w:tr>
    </w:tbl>
    <w:p/>
    <w:p>
      <w:pPr>
        <w:pStyle w:val="Heading1"/>
      </w:pPr>
      <w:r>
        <w:t>12. Scheduler safety and implementation</w:t>
      </w:r>
    </w:p>
    <w:p>
      <w:pPr>
        <w:pStyle w:val="ListBullet"/>
      </w:pPr>
      <w:r>
        <w:t>Added ENABLE_SCHEDULER, ENABLE_AUTOMATED_TRADING and SCHEDULER_TIMEZONE settings.</w:t>
      </w:r>
    </w:p>
    <w:p>
      <w:pPr>
        <w:pStyle w:val="ListBullet"/>
      </w:pPr>
      <w:r>
        <w:t>Maintenance/accounting scheduling no longer automatically enables trading.</w:t>
      </w:r>
    </w:p>
    <w:p>
      <w:pPr>
        <w:pStyle w:val="ListBullet"/>
      </w:pPr>
      <w:r>
        <w:t>Added a dedicated scheduler_worker.py for single-instance scheduling.</w:t>
      </w:r>
    </w:p>
    <w:p>
      <w:pPr>
        <w:pStyle w:val="ListBullet"/>
      </w:pPr>
      <w:r>
        <w:t>Added expired-session and stale-login-attempt cleanup.</w:t>
      </w:r>
    </w:p>
    <w:p>
      <w:pPr>
        <w:pStyle w:val="ListBullet"/>
      </w:pPr>
      <w:r>
        <w:t>Retained weekly summaries, monthly reports, invite cleanup, reconciliation and daily P&amp;L snapshots.</w:t>
      </w:r>
    </w:p>
    <w:tbl>
      <w:tblPr>
        <w:tblStyle w:val="TableGrid"/>
        <w:tblW w:type="auto" w:w="0"/>
        <w:tblLook w:firstColumn="1" w:firstRow="1" w:lastColumn="0" w:lastRow="0" w:noHBand="0" w:noVBand="1" w:val="04A0"/>
      </w:tblPr>
      <w:tblGrid>
        <w:gridCol w:w="10080"/>
      </w:tblGrid>
      <w:tr>
        <w:tc>
          <w:tcPr>
            <w:tcW w:type="dxa" w:w="10080"/>
            <w:shd w:fill="DCFCE7"/>
          </w:tcPr>
          <w:p>
            <w:r>
              <w:rPr>
                <w:b/>
                <w:color w:val="1D4ED8"/>
              </w:rPr>
              <w:t>Scheduler test result</w:t>
              <w:br/>
            </w:r>
            <w:r>
              <w:t>All jobs ran against a disposable database. Six notification renders were captured, four snapshots were created and two flows were processed. Email sends and Alpaca orders were replaced with test doubles. The production schedule omitted automatic rebalancing.</w:t>
            </w:r>
          </w:p>
        </w:tc>
      </w:tr>
    </w:tbl>
    <w:p/>
    <w:p>
      <w:pPr>
        <w:pStyle w:val="Heading1"/>
      </w:pPr>
      <w:r>
        <w:t>13. Testing and verification performed</w:t>
      </w:r>
    </w:p>
    <w:tbl>
      <w:tblPr>
        <w:tblStyle w:val="TableGrid"/>
        <w:tblW w:type="auto" w:w="0"/>
        <w:jc w:val="center"/>
        <w:tblLook w:firstColumn="1" w:firstRow="1" w:lastColumn="0" w:lastRow="0" w:noHBand="0" w:noVBand="1" w:val="04A0"/>
      </w:tblPr>
      <w:tblGrid>
        <w:gridCol w:w="5040"/>
        <w:gridCol w:w="5040"/>
      </w:tblGrid>
      <w:tr>
        <w:tc>
          <w:tcPr>
            <w:tcW w:type="dxa" w:w="3744"/>
            <w:shd w:fill="1D4ED8"/>
          </w:tcPr>
          <w:p>
            <w:r>
              <w:rPr>
                <w:b/>
                <w:color w:val="FFFFFF"/>
              </w:rPr>
              <w:t>Test area</w:t>
            </w:r>
          </w:p>
        </w:tc>
        <w:tc>
          <w:tcPr>
            <w:tcW w:type="dxa" w:w="6336"/>
            <w:shd w:fill="1D4ED8"/>
          </w:tcPr>
          <w:p>
            <w:r>
              <w:rPr>
                <w:b/>
                <w:color w:val="FFFFFF"/>
              </w:rPr>
              <w:t>Result</w:t>
            </w:r>
          </w:p>
        </w:tc>
      </w:tr>
      <w:tr>
        <w:tc>
          <w:tcPr>
            <w:tcW w:type="dxa" w:w="3744"/>
            <w:vAlign w:val="center"/>
          </w:tcPr>
          <w:p>
            <w:r>
              <w:t>Production frontend build</w:t>
            </w:r>
          </w:p>
        </w:tc>
        <w:tc>
          <w:tcPr>
            <w:tcW w:type="dxa" w:w="6336"/>
            <w:vAlign w:val="center"/>
          </w:tcPr>
          <w:p>
            <w:r>
              <w:t>33 routes compiled and generated successfully.</w:t>
            </w:r>
          </w:p>
        </w:tc>
      </w:tr>
      <w:tr>
        <w:tc>
          <w:tcPr>
            <w:tcW w:type="dxa" w:w="3744"/>
            <w:vAlign w:val="center"/>
            <w:shd w:fill="F1F5F9"/>
          </w:tcPr>
          <w:p>
            <w:r>
              <w:t>ESLint and TypeScript</w:t>
            </w:r>
          </w:p>
        </w:tc>
        <w:tc>
          <w:tcPr>
            <w:tcW w:type="dxa" w:w="6336"/>
            <w:vAlign w:val="center"/>
            <w:shd w:fill="F1F5F9"/>
          </w:tcPr>
          <w:p>
            <w:r>
              <w:t>Passed.</w:t>
            </w:r>
          </w:p>
        </w:tc>
      </w:tr>
      <w:tr>
        <w:tc>
          <w:tcPr>
            <w:tcW w:type="dxa" w:w="3744"/>
            <w:vAlign w:val="center"/>
          </w:tcPr>
          <w:p>
            <w:r>
              <w:t>Browser suite</w:t>
            </w:r>
          </w:p>
        </w:tc>
        <w:tc>
          <w:tcPr>
            <w:tcW w:type="dxa" w:w="6336"/>
            <w:vAlign w:val="center"/>
          </w:tcPr>
          <w:p>
            <w:r>
              <w:t>9/9 passed in Chromium.</w:t>
            </w:r>
          </w:p>
        </w:tc>
      </w:tr>
      <w:tr>
        <w:tc>
          <w:tcPr>
            <w:tcW w:type="dxa" w:w="3744"/>
            <w:vAlign w:val="center"/>
            <w:shd w:fill="F1F5F9"/>
          </w:tcPr>
          <w:p>
            <w:r>
              <w:t>Backend unit/integration suite</w:t>
            </w:r>
          </w:p>
        </w:tc>
        <w:tc>
          <w:tcPr>
            <w:tcW w:type="dxa" w:w="6336"/>
            <w:vAlign w:val="center"/>
            <w:shd w:fill="F1F5F9"/>
          </w:tcPr>
          <w:p>
            <w:r>
              <w:t>5/5 passed.</w:t>
            </w:r>
          </w:p>
        </w:tc>
      </w:tr>
      <w:tr>
        <w:tc>
          <w:tcPr>
            <w:tcW w:type="dxa" w:w="3744"/>
            <w:vAlign w:val="center"/>
          </w:tcPr>
          <w:p>
            <w:r>
              <w:t>Clean database bootstrap</w:t>
            </w:r>
          </w:p>
        </w:tc>
        <w:tc>
          <w:tcPr>
            <w:tcW w:type="dxa" w:w="6336"/>
            <w:vAlign w:val="center"/>
          </w:tcPr>
          <w:p>
            <w:r>
              <w:t>Schema and seed SQL passed in a disposable database.</w:t>
            </w:r>
          </w:p>
        </w:tc>
      </w:tr>
      <w:tr>
        <w:tc>
          <w:tcPr>
            <w:tcW w:type="dxa" w:w="3744"/>
            <w:vAlign w:val="center"/>
            <w:shd w:fill="F1F5F9"/>
          </w:tcPr>
          <w:p>
            <w:r>
              <w:t>Migration state</w:t>
            </w:r>
          </w:p>
        </w:tc>
        <w:tc>
          <w:tcPr>
            <w:tcW w:type="dxa" w:w="6336"/>
            <w:vAlign w:val="center"/>
            <w:shd w:fill="F1F5F9"/>
          </w:tcPr>
          <w:p>
            <w:r>
              <w:t>v0.4.4_security_reporting.</w:t>
            </w:r>
          </w:p>
        </w:tc>
      </w:tr>
      <w:tr>
        <w:tc>
          <w:tcPr>
            <w:tcW w:type="dxa" w:w="3744"/>
            <w:vAlign w:val="center"/>
          </w:tcPr>
          <w:p>
            <w:r>
              <w:t>Stripe</w:t>
            </w:r>
          </w:p>
        </w:tc>
        <w:tc>
          <w:tcPr>
            <w:tcW w:type="dxa" w:w="6336"/>
            <w:vAlign w:val="center"/>
          </w:tcPr>
          <w:p>
            <w:r>
              <w:t>Test-mode authentication, signed deposit/payout callbacks, invalid signatures and replay idempotency passed.</w:t>
            </w:r>
          </w:p>
        </w:tc>
      </w:tr>
      <w:tr>
        <w:tc>
          <w:tcPr>
            <w:tcW w:type="dxa" w:w="3744"/>
            <w:vAlign w:val="center"/>
            <w:shd w:fill="F1F5F9"/>
          </w:tcPr>
          <w:p>
            <w:r>
              <w:t>Alpaca</w:t>
            </w:r>
          </w:p>
        </w:tc>
        <w:tc>
          <w:tcPr>
            <w:tcW w:type="dxa" w:w="6336"/>
            <w:vAlign w:val="center"/>
            <w:shd w:fill="F1F5F9"/>
          </w:tcPr>
          <w:p>
            <w:r>
              <w:t>Paper account ACTIVE; asset search, stock detail, positions and orders reads passed.</w:t>
            </w:r>
          </w:p>
        </w:tc>
      </w:tr>
      <w:tr>
        <w:tc>
          <w:tcPr>
            <w:tcW w:type="dxa" w:w="3744"/>
            <w:vAlign w:val="center"/>
          </w:tcPr>
          <w:p>
            <w:r>
              <w:t>SMTP</w:t>
            </w:r>
          </w:p>
        </w:tc>
        <w:tc>
          <w:tcPr>
            <w:tcW w:type="dxa" w:w="6336"/>
            <w:vAlign w:val="center"/>
          </w:tcPr>
          <w:p>
            <w:r>
              <w:t>Authentication and delivery to the configured mailbox passed.</w:t>
            </w:r>
          </w:p>
        </w:tc>
      </w:tr>
      <w:tr>
        <w:tc>
          <w:tcPr>
            <w:tcW w:type="dxa" w:w="3744"/>
            <w:vAlign w:val="center"/>
            <w:shd w:fill="F1F5F9"/>
          </w:tcPr>
          <w:p>
            <w:r>
              <w:t>PDF export</w:t>
            </w:r>
          </w:p>
        </w:tc>
        <w:tc>
          <w:tcPr>
            <w:tcW w:type="dxa" w:w="6336"/>
            <w:vAlign w:val="center"/>
            <w:shd w:fill="F1F5F9"/>
          </w:tcPr>
          <w:p>
            <w:r>
              <w:t>Generated valid PDF response.</w:t>
            </w:r>
          </w:p>
        </w:tc>
      </w:tr>
      <w:tr>
        <w:tc>
          <w:tcPr>
            <w:tcW w:type="dxa" w:w="3744"/>
            <w:vAlign w:val="center"/>
          </w:tcPr>
          <w:p>
            <w:r>
              <w:t>Dependency audit</w:t>
            </w:r>
          </w:p>
        </w:tc>
        <w:tc>
          <w:tcPr>
            <w:tcW w:type="dxa" w:w="6336"/>
            <w:vAlign w:val="center"/>
          </w:tcPr>
          <w:p>
            <w:r>
              <w:t>0 production vulnerabilities.</w:t>
            </w:r>
          </w:p>
        </w:tc>
      </w:tr>
      <w:tr>
        <w:tc>
          <w:tcPr>
            <w:tcW w:type="dxa" w:w="3744"/>
            <w:vAlign w:val="center"/>
            <w:shd w:fill="F1F5F9"/>
          </w:tcPr>
          <w:p>
            <w:r>
              <w:t>Patch hygiene</w:t>
            </w:r>
          </w:p>
        </w:tc>
        <w:tc>
          <w:tcPr>
            <w:tcW w:type="dxa" w:w="6336"/>
            <w:vAlign w:val="center"/>
            <w:shd w:fill="F1F5F9"/>
          </w:tcPr>
          <w:p>
            <w:r>
              <w:t>git diff --check passed.</w:t>
            </w:r>
          </w:p>
        </w:tc>
      </w:tr>
    </w:tbl>
    <w:p/>
    <w:p>
      <w:pPr>
        <w:pStyle w:val="Heading2"/>
      </w:pPr>
      <w:r>
        <w:t>13.1 Browser coverage</w:t>
      </w:r>
    </w:p>
    <w:p>
      <w:pPr>
        <w:pStyle w:val="ListBullet"/>
      </w:pPr>
      <w:r>
        <w:t>All owned investor routes.</w:t>
      </w:r>
    </w:p>
    <w:p>
      <w:pPr>
        <w:pStyle w:val="ListBullet"/>
      </w:pPr>
      <w:r>
        <w:t>All owned manager routes.</w:t>
      </w:r>
    </w:p>
    <w:p>
      <w:pPr>
        <w:pStyle w:val="ListBullet"/>
      </w:pPr>
      <w:r>
        <w:t>All owned operations routes.</w:t>
      </w:r>
    </w:p>
    <w:p>
      <w:pPr>
        <w:pStyle w:val="ListBullet"/>
      </w:pPr>
      <w:r>
        <w:t>All owned admin routes.</w:t>
      </w:r>
    </w:p>
    <w:p>
      <w:pPr>
        <w:pStyle w:val="ListBullet"/>
      </w:pPr>
      <w:r>
        <w:t>Public authentication routes.</w:t>
      </w:r>
    </w:p>
    <w:p>
      <w:pPr>
        <w:pStyle w:val="ListBullet"/>
      </w:pPr>
      <w:r>
        <w:t>Anonymous redirect.</w:t>
      </w:r>
    </w:p>
    <w:p>
      <w:pPr>
        <w:pStyle w:val="ListBullet"/>
      </w:pPr>
      <w:r>
        <w:t>Cross-role denial.</w:t>
      </w:r>
    </w:p>
    <w:p>
      <w:pPr>
        <w:pStyle w:val="ListBullet"/>
      </w:pPr>
      <w:r>
        <w:t>HTTP-only authentication.</w:t>
      </w:r>
    </w:p>
    <w:p>
      <w:pPr>
        <w:pStyle w:val="ListBullet"/>
      </w:pPr>
      <w:r>
        <w:t>Reporting, security and performance pages.</w:t>
      </w:r>
    </w:p>
    <w:p>
      <w:pPr>
        <w:pStyle w:val="ListBullet"/>
      </w:pPr>
      <w:r>
        <w:t>Detection of browser exceptions and backend 500 responses.</w:t>
      </w:r>
    </w:p>
    <w:p>
      <w:pPr>
        <w:pStyle w:val="Heading2"/>
      </w:pPr>
      <w:r>
        <w:t>13.2 Isolated lifecycle coverage</w:t>
      </w:r>
    </w:p>
    <w:p>
      <w:pPr>
        <w:pStyle w:val="ListBullet"/>
      </w:pPr>
      <w:r>
        <w:t>Account creation/update/closure rules.</w:t>
      </w:r>
    </w:p>
    <w:p>
      <w:pPr>
        <w:pStyle w:val="ListBullet"/>
      </w:pPr>
      <w:r>
        <w:t>Feedback creation and resolution.</w:t>
      </w:r>
    </w:p>
    <w:p>
      <w:pPr>
        <w:pStyle w:val="ListBullet"/>
      </w:pPr>
      <w:r>
        <w:t>Fund creation, weights, submission and approval.</w:t>
      </w:r>
    </w:p>
    <w:p>
      <w:pPr>
        <w:pStyle w:val="ListBullet"/>
      </w:pPr>
      <w:r>
        <w:t>Deposit request, approval, signed settlement and replay.</w:t>
      </w:r>
    </w:p>
    <w:p>
      <w:pPr>
        <w:pStyle w:val="ListBullet"/>
      </w:pPr>
      <w:r>
        <w:t>Withdrawal limits, rejection, signed payout and replay.</w:t>
      </w:r>
    </w:p>
    <w:p>
      <w:pPr>
        <w:pStyle w:val="ListBullet"/>
      </w:pPr>
      <w:r>
        <w:t>Risk tolerance and invalid input.</w:t>
      </w:r>
    </w:p>
    <w:p>
      <w:pPr>
        <w:pStyle w:val="ListBullet"/>
      </w:pPr>
      <w:r>
        <w:t>MFA complete lifecycle.</w:t>
      </w:r>
    </w:p>
    <w:p>
      <w:pPr>
        <w:pStyle w:val="ListBullet"/>
      </w:pPr>
      <w:r>
        <w:t>Invitation, registration and admin editing.</w:t>
      </w:r>
    </w:p>
    <w:p>
      <w:pPr>
        <w:pStyle w:val="ListBullet"/>
      </w:pPr>
      <w:r>
        <w:t>One-time password reset and enumeration protection.</w:t>
      </w:r>
    </w:p>
    <w:p>
      <w:pPr>
        <w:pStyle w:val="ListBullet"/>
      </w:pPr>
      <w:r>
        <w:t>Login throttling.</w:t>
      </w:r>
    </w:p>
    <w:p>
      <w:pPr>
        <w:pStyle w:val="Heading1"/>
      </w:pPr>
      <w:r>
        <w:t>14. Files and modules added</w:t>
      </w:r>
    </w:p>
    <w:tbl>
      <w:tblPr>
        <w:tblStyle w:val="TableGrid"/>
        <w:tblW w:type="auto" w:w="0"/>
        <w:jc w:val="center"/>
        <w:tblLook w:firstColumn="1" w:firstRow="1" w:lastColumn="0" w:lastRow="0" w:noHBand="0" w:noVBand="1" w:val="04A0"/>
      </w:tblPr>
      <w:tblGrid>
        <w:gridCol w:w="5040"/>
        <w:gridCol w:w="5040"/>
      </w:tblGrid>
      <w:tr>
        <w:tc>
          <w:tcPr>
            <w:tcW w:type="dxa" w:w="2304"/>
            <w:shd w:fill="1D4ED8"/>
          </w:tcPr>
          <w:p>
            <w:r>
              <w:rPr>
                <w:b/>
                <w:color w:val="FFFFFF"/>
              </w:rPr>
              <w:t>Category</w:t>
            </w:r>
          </w:p>
        </w:tc>
        <w:tc>
          <w:tcPr>
            <w:tcW w:type="dxa" w:w="7776"/>
            <w:shd w:fill="1D4ED8"/>
          </w:tcPr>
          <w:p>
            <w:r>
              <w:rPr>
                <w:b/>
                <w:color w:val="FFFFFF"/>
              </w:rPr>
              <w:t>Major additions</w:t>
            </w:r>
          </w:p>
        </w:tc>
      </w:tr>
      <w:tr>
        <w:tc>
          <w:tcPr>
            <w:tcW w:type="dxa" w:w="2304"/>
            <w:vAlign w:val="center"/>
          </w:tcPr>
          <w:p>
            <w:r>
              <w:t>Models</w:t>
            </w:r>
          </w:p>
        </w:tc>
        <w:tc>
          <w:tcPr>
            <w:tcW w:type="dxa" w:w="7776"/>
            <w:vAlign w:val="center"/>
          </w:tcPr>
          <w:p>
            <w:r>
              <w:t>fund_position.py, fund_valuation.py, auth_session.py, login_attempt.py</w:t>
            </w:r>
          </w:p>
        </w:tc>
      </w:tr>
      <w:tr>
        <w:tc>
          <w:tcPr>
            <w:tcW w:type="dxa" w:w="2304"/>
            <w:vAlign w:val="center"/>
            <w:shd w:fill="F1F5F9"/>
          </w:tcPr>
          <w:p>
            <w:r>
              <w:t>Services</w:t>
            </w:r>
          </w:p>
        </w:tc>
        <w:tc>
          <w:tcPr>
            <w:tcW w:type="dxa" w:w="7776"/>
            <w:vAlign w:val="center"/>
            <w:shd w:fill="F1F5F9"/>
          </w:tcPr>
          <w:p>
            <w:r>
              <w:t>fund_accounting_service.py</w:t>
            </w:r>
          </w:p>
        </w:tc>
      </w:tr>
      <w:tr>
        <w:tc>
          <w:tcPr>
            <w:tcW w:type="dxa" w:w="2304"/>
            <w:vAlign w:val="center"/>
          </w:tcPr>
          <w:p>
            <w:r>
              <w:t>Migrations</w:t>
            </w:r>
          </w:p>
        </w:tc>
        <w:tc>
          <w:tcPr>
            <w:tcW w:type="dxa" w:w="7776"/>
            <w:vAlign w:val="center"/>
          </w:tcPr>
          <w:p>
            <w:r>
              <w:t>v0.4.0 through v0.4.4</w:t>
            </w:r>
          </w:p>
        </w:tc>
      </w:tr>
      <w:tr>
        <w:tc>
          <w:tcPr>
            <w:tcW w:type="dxa" w:w="2304"/>
            <w:vAlign w:val="center"/>
            <w:shd w:fill="F1F5F9"/>
          </w:tcPr>
          <w:p>
            <w:r>
              <w:t>Worker</w:t>
            </w:r>
          </w:p>
        </w:tc>
        <w:tc>
          <w:tcPr>
            <w:tcW w:type="dxa" w:w="7776"/>
            <w:vAlign w:val="center"/>
            <w:shd w:fill="F1F5F9"/>
          </w:tcPr>
          <w:p>
            <w:r>
              <w:t>scheduler_worker.py</w:t>
            </w:r>
          </w:p>
        </w:tc>
      </w:tr>
      <w:tr>
        <w:tc>
          <w:tcPr>
            <w:tcW w:type="dxa" w:w="2304"/>
            <w:vAlign w:val="center"/>
          </w:tcPr>
          <w:p>
            <w:r>
              <w:t>Frontend</w:t>
            </w:r>
          </w:p>
        </w:tc>
        <w:tc>
          <w:tcPr>
            <w:tcW w:type="dxa" w:w="7776"/>
            <w:vAlign w:val="center"/>
          </w:tcPr>
          <w:p>
            <w:r>
              <w:t>Manager performance page and account security page</w:t>
            </w:r>
          </w:p>
        </w:tc>
      </w:tr>
      <w:tr>
        <w:tc>
          <w:tcPr>
            <w:tcW w:type="dxa" w:w="2304"/>
            <w:vAlign w:val="center"/>
            <w:shd w:fill="F1F5F9"/>
          </w:tcPr>
          <w:p>
            <w:r>
              <w:t>Browser tests</w:t>
            </w:r>
          </w:p>
        </w:tc>
        <w:tc>
          <w:tcPr>
            <w:tcW w:type="dxa" w:w="7776"/>
            <w:vAlign w:val="center"/>
            <w:shd w:fill="F1F5F9"/>
          </w:tcPr>
          <w:p>
            <w:r>
              <w:t>Playwright config, all-routes and cross-role specs</w:t>
            </w:r>
          </w:p>
        </w:tc>
      </w:tr>
      <w:tr>
        <w:tc>
          <w:tcPr>
            <w:tcW w:type="dxa" w:w="2304"/>
            <w:vAlign w:val="center"/>
          </w:tcPr>
          <w:p>
            <w:r>
              <w:t>Backend tests</w:t>
            </w:r>
          </w:p>
        </w:tc>
        <w:tc>
          <w:tcPr>
            <w:tcW w:type="dxa" w:w="7776"/>
            <w:vAlign w:val="center"/>
          </w:tcPr>
          <w:p>
            <w:r>
              <w:t>Accounting integration and Stripe payload regression tests</w:t>
            </w:r>
          </w:p>
        </w:tc>
      </w:tr>
      <w:tr>
        <w:tc>
          <w:tcPr>
            <w:tcW w:type="dxa" w:w="2304"/>
            <w:vAlign w:val="center"/>
            <w:shd w:fill="F1F5F9"/>
          </w:tcPr>
          <w:p>
            <w:r>
              <w:t>Documentation</w:t>
            </w:r>
          </w:p>
        </w:tc>
        <w:tc>
          <w:tcPr>
            <w:tcW w:type="dxa" w:w="7776"/>
            <w:vAlign w:val="center"/>
            <w:shd w:fill="F1F5F9"/>
          </w:tcPr>
          <w:p>
            <w:r>
              <w:t>P&amp;L calculation Word document and this full change report</w:t>
            </w:r>
          </w:p>
        </w:tc>
      </w:tr>
    </w:tbl>
    <w:p/>
    <w:p>
      <w:pPr>
        <w:pStyle w:val="Heading1"/>
      </w:pPr>
      <w:r>
        <w:t>15. What was intentionally not done</w:t>
      </w:r>
    </w:p>
    <w:p>
      <w:pPr>
        <w:pStyle w:val="ListBullet"/>
      </w:pPr>
      <w:r>
        <w:t>No commit was created and no code was pushed to GitHub.</w:t>
      </w:r>
    </w:p>
    <w:p>
      <w:pPr>
        <w:pStyle w:val="ListBullet"/>
      </w:pPr>
      <w:r>
        <w:t>The original archive, challenge PDF and worksheet were not deleted or modified.</w:t>
      </w:r>
    </w:p>
    <w:p>
      <w:pPr>
        <w:pStyle w:val="ListBullet"/>
      </w:pPr>
      <w:r>
        <w:t>The main database was not reset.</w:t>
      </w:r>
    </w:p>
    <w:p>
      <w:pPr>
        <w:pStyle w:val="ListBullet"/>
      </w:pPr>
      <w:r>
        <w:t>Automatic trading was not enabled.</w:t>
      </w:r>
    </w:p>
    <w:p>
      <w:pPr>
        <w:pStyle w:val="ListBullet"/>
      </w:pPr>
      <w:r>
        <w:t>No scheduled Alpaca order was placed.</w:t>
      </w:r>
    </w:p>
    <w:p>
      <w:pPr>
        <w:pStyle w:val="ListBullet"/>
      </w:pPr>
      <w:r>
        <w:t>Stripe remains in test mode; no real money was used.</w:t>
      </w:r>
    </w:p>
    <w:p>
      <w:pPr>
        <w:pStyle w:val="ListBullet"/>
      </w:pPr>
      <w:r>
        <w:t>No production deployment, CI/CD pipeline or production domain was configured.</w:t>
      </w:r>
    </w:p>
    <w:p>
      <w:pPr>
        <w:pStyle w:val="ListBullet"/>
      </w:pPr>
      <w:r>
        <w:t>Credentials in .env were not copied into tracked files.</w:t>
      </w:r>
    </w:p>
    <w:p>
      <w:pPr>
        <w:pStyle w:val="Heading1"/>
      </w:pPr>
      <w:r>
        <w:t>16. Remaining limitations and production considerations</w:t>
      </w:r>
    </w:p>
    <w:tbl>
      <w:tblPr>
        <w:tblStyle w:val="TableGrid"/>
        <w:tblW w:type="auto" w:w="0"/>
        <w:jc w:val="center"/>
        <w:tblLook w:firstColumn="1" w:firstRow="1" w:lastColumn="0" w:lastRow="0" w:noHBand="0" w:noVBand="1" w:val="04A0"/>
      </w:tblPr>
      <w:tblGrid>
        <w:gridCol w:w="5040"/>
        <w:gridCol w:w="5040"/>
      </w:tblGrid>
      <w:tr>
        <w:tc>
          <w:tcPr>
            <w:tcW w:type="dxa" w:w="4464"/>
            <w:shd w:fill="1D4ED8"/>
          </w:tcPr>
          <w:p>
            <w:r>
              <w:rPr>
                <w:b/>
                <w:color w:val="FFFFFF"/>
              </w:rPr>
              <w:t>Still requires production/human validation</w:t>
            </w:r>
          </w:p>
        </w:tc>
        <w:tc>
          <w:tcPr>
            <w:tcW w:type="dxa" w:w="5616"/>
            <w:shd w:fill="1D4ED8"/>
          </w:tcPr>
          <w:p>
            <w:r>
              <w:rPr>
                <w:b/>
                <w:color w:val="FFFFFF"/>
              </w:rPr>
              <w:t>Reason</w:t>
            </w:r>
          </w:p>
        </w:tc>
      </w:tr>
      <w:tr>
        <w:tc>
          <w:tcPr>
            <w:tcW w:type="dxa" w:w="4464"/>
            <w:vAlign w:val="center"/>
          </w:tcPr>
          <w:p>
            <w:r>
              <w:t>Hosted Stripe Checkout</w:t>
            </w:r>
          </w:p>
        </w:tc>
        <w:tc>
          <w:tcPr>
            <w:tcW w:type="dxa" w:w="5616"/>
            <w:vAlign w:val="center"/>
          </w:tcPr>
          <w:p>
            <w:r>
              <w:t>Requires a human browser interaction with Stripe-hosted payment UI.</w:t>
            </w:r>
          </w:p>
        </w:tc>
      </w:tr>
      <w:tr>
        <w:tc>
          <w:tcPr>
            <w:tcW w:type="dxa" w:w="4464"/>
            <w:vAlign w:val="center"/>
            <w:shd w:fill="F1F5F9"/>
          </w:tcPr>
          <w:p>
            <w:r>
              <w:t>Stripe Connect onboarding</w:t>
            </w:r>
          </w:p>
        </w:tc>
        <w:tc>
          <w:tcPr>
            <w:tcW w:type="dxa" w:w="5616"/>
            <w:vAlign w:val="center"/>
            <w:shd w:fill="F1F5F9"/>
          </w:tcPr>
          <w:p>
            <w:r>
              <w:t>Requires provider-hosted identity and payout-account steps.</w:t>
            </w:r>
          </w:p>
        </w:tc>
      </w:tr>
      <w:tr>
        <w:tc>
          <w:tcPr>
            <w:tcW w:type="dxa" w:w="4464"/>
            <w:vAlign w:val="center"/>
          </w:tcPr>
          <w:p>
            <w:r>
              <w:t>Real-money payment/trading</w:t>
            </w:r>
          </w:p>
        </w:tc>
        <w:tc>
          <w:tcPr>
            <w:tcW w:type="dxa" w:w="5616"/>
            <w:vAlign w:val="center"/>
          </w:tcPr>
          <w:p>
            <w:r>
              <w:t>Current provider validation uses Stripe test mode and Alpaca paper mode.</w:t>
            </w:r>
          </w:p>
        </w:tc>
      </w:tr>
      <w:tr>
        <w:tc>
          <w:tcPr>
            <w:tcW w:type="dxa" w:w="4464"/>
            <w:vAlign w:val="center"/>
            <w:shd w:fill="F1F5F9"/>
          </w:tcPr>
          <w:p>
            <w:r>
              <w:t>Load and penetration testing</w:t>
            </w:r>
          </w:p>
        </w:tc>
        <w:tc>
          <w:tcPr>
            <w:tcW w:type="dxa" w:w="5616"/>
            <w:vAlign w:val="center"/>
            <w:shd w:fill="F1F5F9"/>
          </w:tcPr>
          <w:p>
            <w:r>
              <w:t>Functional acceptance is not a substitute for formal performance/security assessment.</w:t>
            </w:r>
          </w:p>
        </w:tc>
      </w:tr>
      <w:tr>
        <w:tc>
          <w:tcPr>
            <w:tcW w:type="dxa" w:w="4464"/>
            <w:vAlign w:val="center"/>
          </w:tcPr>
          <w:p>
            <w:r>
              <w:t>Real-device/browser matrix</w:t>
            </w:r>
          </w:p>
        </w:tc>
        <w:tc>
          <w:tcPr>
            <w:tcW w:type="dxa" w:w="5616"/>
            <w:vAlign w:val="center"/>
          </w:tcPr>
          <w:p>
            <w:r>
              <w:t>Automated browser coverage currently uses Chromium.</w:t>
            </w:r>
          </w:p>
        </w:tc>
      </w:tr>
      <w:tr>
        <w:tc>
          <w:tcPr>
            <w:tcW w:type="dxa" w:w="4464"/>
            <w:vAlign w:val="center"/>
            <w:shd w:fill="F1F5F9"/>
          </w:tcPr>
          <w:p>
            <w:r>
              <w:t>Production HTTPS cookies</w:t>
            </w:r>
          </w:p>
        </w:tc>
        <w:tc>
          <w:tcPr>
            <w:tcW w:type="dxa" w:w="5616"/>
            <w:vAlign w:val="center"/>
            <w:shd w:fill="F1F5F9"/>
          </w:tcPr>
          <w:p>
            <w:r>
              <w:t>COOKIE_SECURE must be true and HTTPS must be configured.</w:t>
            </w:r>
          </w:p>
        </w:tc>
      </w:tr>
      <w:tr>
        <w:tc>
          <w:tcPr>
            <w:tcW w:type="dxa" w:w="4464"/>
            <w:vAlign w:val="center"/>
          </w:tcPr>
          <w:p>
            <w:r>
              <w:t>Email reputation</w:t>
            </w:r>
          </w:p>
        </w:tc>
        <w:tc>
          <w:tcPr>
            <w:tcW w:type="dxa" w:w="5616"/>
            <w:vAlign w:val="center"/>
          </w:tcPr>
          <w:p>
            <w:r>
              <w:t>SMTP delivery passed, but production deliverability depends on domain/SPF/DKIM reputation.</w:t>
            </w:r>
          </w:p>
        </w:tc>
      </w:tr>
      <w:tr>
        <w:tc>
          <w:tcPr>
            <w:tcW w:type="dxa" w:w="4464"/>
            <w:vAlign w:val="center"/>
            <w:shd w:fill="F1F5F9"/>
          </w:tcPr>
          <w:p>
            <w:r>
              <w:t>Monitoring/backups/disaster recovery</w:t>
            </w:r>
          </w:p>
        </w:tc>
        <w:tc>
          <w:tcPr>
            <w:tcW w:type="dxa" w:w="5616"/>
            <w:vAlign w:val="center"/>
            <w:shd w:fill="F1F5F9"/>
          </w:tcPr>
          <w:p>
            <w:r>
              <w:t>Infrastructure has not yet been deployed or operationally exercised.</w:t>
            </w:r>
          </w:p>
        </w:tc>
      </w:tr>
      <w:tr>
        <w:tc>
          <w:tcPr>
            <w:tcW w:type="dxa" w:w="4464"/>
            <w:vAlign w:val="center"/>
          </w:tcPr>
          <w:p>
            <w:r>
              <w:t>Legal/compliance review</w:t>
            </w:r>
          </w:p>
        </w:tc>
        <w:tc>
          <w:tcPr>
            <w:tcW w:type="dxa" w:w="5616"/>
            <w:vAlign w:val="center"/>
          </w:tcPr>
          <w:p>
            <w:r>
              <w:t>A real investment platform requires jurisdiction-specific review.</w:t>
            </w:r>
          </w:p>
        </w:tc>
      </w:tr>
    </w:tbl>
    <w:p/>
    <w:p>
      <w:pPr>
        <w:pStyle w:val="Heading1"/>
      </w:pPr>
      <w:r>
        <w:t>17. Why the project now feels very different</w:t>
      </w:r>
    </w:p>
    <w:p>
      <w:r>
        <w:t>The largest difference is the application’s source of truth. The old workflow could be summarized as a request followed by a dollar adjustment and later attempts to infer performance. The current workflow is event-driven and accounting-led:</w:t>
      </w:r>
    </w:p>
    <w:tbl>
      <w:tblPr>
        <w:tblStyle w:val="TableGrid"/>
        <w:tblW w:type="auto" w:w="0"/>
        <w:tblLook w:firstColumn="1" w:firstRow="1" w:lastColumn="0" w:lastRow="0" w:noHBand="0" w:noVBand="1" w:val="04A0"/>
      </w:tblPr>
      <w:tblGrid>
        <w:gridCol w:w="10080"/>
      </w:tblGrid>
      <w:tr>
        <w:tc>
          <w:tcPr>
            <w:tcW w:type="dxa" w:w="10080"/>
            <w:shd w:fill="FEE2E2"/>
          </w:tcPr>
          <w:p>
            <w:r>
              <w:rPr>
                <w:b/>
                <w:color w:val="1D4ED8"/>
              </w:rPr>
              <w:t>Original conceptual flow</w:t>
              <w:br/>
            </w:r>
            <w:r>
              <w:t>Deposit request → approval → dollar value stored → portfolio calculation attempted later</w:t>
            </w:r>
          </w:p>
        </w:tc>
      </w:tr>
    </w:tbl>
    <w:p/>
    <w:tbl>
      <w:tblPr>
        <w:tblStyle w:val="TableGrid"/>
        <w:tblW w:type="auto" w:w="0"/>
        <w:tblLook w:firstColumn="1" w:firstRow="1" w:lastColumn="0" w:lastRow="0" w:noHBand="0" w:noVBand="1" w:val="04A0"/>
      </w:tblPr>
      <w:tblGrid>
        <w:gridCol w:w="10080"/>
      </w:tblGrid>
      <w:tr>
        <w:tc>
          <w:tcPr>
            <w:tcW w:type="dxa" w:w="10080"/>
            <w:shd w:fill="DCFCE7"/>
          </w:tcPr>
          <w:p>
            <w:r>
              <w:rPr>
                <w:b/>
                <w:color w:val="1D4ED8"/>
              </w:rPr>
              <w:t>Current conceptual flow</w:t>
              <w:br/>
            </w:r>
            <w:r>
              <w:t>Deposit request → operations authorization → investor payment → signed provider confirmation → units issued at NAV → unique ledger → normalized position → daily valuation → flow-neutral P&amp;L → compounded reporting</w:t>
            </w:r>
          </w:p>
        </w:tc>
      </w:tr>
    </w:tbl>
    <w:p/>
    <w:p>
      <w:r>
        <w:t>That one architectural shift necessarily changed the database, APIs, operations wording, investor views, withdrawals, P&amp;L, manager analytics, Stripe callbacks, scheduler and tests. The security and automated-testing changes are similarly cross-cutting, which is why the working tree is large.</w:t>
      </w:r>
    </w:p>
    <w:p>
      <w:pPr>
        <w:pStyle w:val="Heading1"/>
      </w:pPr>
      <w:r>
        <w:t>18. Recommended handover sequence</w:t>
      </w:r>
    </w:p>
    <w:p>
      <w:pPr>
        <w:pStyle w:val="ListNumber"/>
      </w:pPr>
      <w:r>
        <w:t>Read this report and the separate P&amp;L calculation document.</w:t>
      </w:r>
    </w:p>
    <w:p>
      <w:pPr>
        <w:pStyle w:val="ListNumber"/>
      </w:pPr>
      <w:r>
        <w:t>Create a backup copy of the current fundinv-solo directory.</w:t>
      </w:r>
    </w:p>
    <w:p>
      <w:pPr>
        <w:pStyle w:val="ListNumber"/>
      </w:pPr>
      <w:r>
        <w:t>Review git status and ensure no secrets or unwanted local files will be committed.</w:t>
      </w:r>
    </w:p>
    <w:p>
      <w:pPr>
        <w:pStyle w:val="ListNumber"/>
      </w:pPr>
      <w:r>
        <w:t>Create a meaningful Git commit for the integrated changes.</w:t>
      </w:r>
    </w:p>
    <w:p>
      <w:pPr>
        <w:pStyle w:val="ListNumber"/>
      </w:pPr>
      <w:r>
        <w:t>Push the commit to the private GitHub repository.</w:t>
      </w:r>
    </w:p>
    <w:p>
      <w:pPr>
        <w:pStyle w:val="ListNumber"/>
      </w:pPr>
      <w:r>
        <w:t>Explicitly add Word documents if they should be versioned because the existing .gitignore excludes *.docx.</w:t>
      </w:r>
    </w:p>
    <w:p>
      <w:pPr>
        <w:pStyle w:val="ListNumber"/>
      </w:pPr>
      <w:r>
        <w:t>Create a staging deployment with HTTPS and secure cookies.</w:t>
      </w:r>
    </w:p>
    <w:p>
      <w:pPr>
        <w:pStyle w:val="ListNumber"/>
      </w:pPr>
      <w:r>
        <w:t>Manually complete Stripe Checkout and Stripe Connect hosted flows in staging.</w:t>
      </w:r>
    </w:p>
    <w:p>
      <w:pPr>
        <w:pStyle w:val="ListNumber"/>
      </w:pPr>
      <w:r>
        <w:t>Add deployment monitoring, database backups and alerting.</w:t>
      </w:r>
    </w:p>
    <w:p>
      <w:pPr>
        <w:pStyle w:val="ListNumber"/>
      </w:pPr>
      <w:r>
        <w:t>Only after staging acceptance, plan a production release.</w:t>
      </w:r>
    </w:p>
    <w:p>
      <w:pPr>
        <w:pStyle w:val="Heading1"/>
      </w:pPr>
      <w:r>
        <w:t>19. Current operational summary</w:t>
      </w:r>
    </w:p>
    <w:tbl>
      <w:tblPr>
        <w:tblStyle w:val="TableGrid"/>
        <w:tblW w:type="auto" w:w="0"/>
        <w:jc w:val="center"/>
        <w:tblLook w:firstColumn="1" w:firstRow="1" w:lastColumn="0" w:lastRow="0" w:noHBand="0" w:noVBand="1" w:val="04A0"/>
      </w:tblPr>
      <w:tblGrid>
        <w:gridCol w:w="5040"/>
        <w:gridCol w:w="5040"/>
      </w:tblGrid>
      <w:tr>
        <w:tc>
          <w:tcPr>
            <w:tcW w:type="dxa" w:w="3456"/>
            <w:shd w:fill="1D4ED8"/>
          </w:tcPr>
          <w:p>
            <w:r>
              <w:rPr>
                <w:b/>
                <w:color w:val="FFFFFF"/>
              </w:rPr>
              <w:t>Item</w:t>
            </w:r>
          </w:p>
        </w:tc>
        <w:tc>
          <w:tcPr>
            <w:tcW w:type="dxa" w:w="6624"/>
            <w:shd w:fill="1D4ED8"/>
          </w:tcPr>
          <w:p>
            <w:r>
              <w:rPr>
                <w:b/>
                <w:color w:val="FFFFFF"/>
              </w:rPr>
              <w:t>State</w:t>
            </w:r>
          </w:p>
        </w:tc>
      </w:tr>
      <w:tr>
        <w:tc>
          <w:tcPr>
            <w:tcW w:type="dxa" w:w="3456"/>
            <w:vAlign w:val="center"/>
          </w:tcPr>
          <w:p>
            <w:r>
              <w:t>Frontend</w:t>
            </w:r>
          </w:p>
        </w:tc>
        <w:tc>
          <w:tcPr>
            <w:tcW w:type="dxa" w:w="6624"/>
            <w:vAlign w:val="center"/>
          </w:tcPr>
          <w:p>
            <w:r>
              <w:t>Runs locally on port 3000.</w:t>
            </w:r>
          </w:p>
        </w:tc>
      </w:tr>
      <w:tr>
        <w:tc>
          <w:tcPr>
            <w:tcW w:type="dxa" w:w="3456"/>
            <w:vAlign w:val="center"/>
            <w:shd w:fill="F1F5F9"/>
          </w:tcPr>
          <w:p>
            <w:r>
              <w:t>Backend</w:t>
            </w:r>
          </w:p>
        </w:tc>
        <w:tc>
          <w:tcPr>
            <w:tcW w:type="dxa" w:w="6624"/>
            <w:vAlign w:val="center"/>
            <w:shd w:fill="F1F5F9"/>
          </w:tcPr>
          <w:p>
            <w:r>
              <w:t>Runs locally on port 8000.</w:t>
            </w:r>
          </w:p>
        </w:tc>
      </w:tr>
      <w:tr>
        <w:tc>
          <w:tcPr>
            <w:tcW w:type="dxa" w:w="3456"/>
            <w:vAlign w:val="center"/>
          </w:tcPr>
          <w:p>
            <w:r>
              <w:t>Database</w:t>
            </w:r>
          </w:p>
        </w:tc>
        <w:tc>
          <w:tcPr>
            <w:tcW w:type="dxa" w:w="6624"/>
            <w:vAlign w:val="center"/>
          </w:tcPr>
          <w:p>
            <w:r>
              <w:t>Migrated; no reset required.</w:t>
            </w:r>
          </w:p>
        </w:tc>
      </w:tr>
      <w:tr>
        <w:tc>
          <w:tcPr>
            <w:tcW w:type="dxa" w:w="3456"/>
            <w:vAlign w:val="center"/>
            <w:shd w:fill="F1F5F9"/>
          </w:tcPr>
          <w:p>
            <w:r>
              <w:t>Automated trading</w:t>
            </w:r>
          </w:p>
        </w:tc>
        <w:tc>
          <w:tcPr>
            <w:tcW w:type="dxa" w:w="6624"/>
            <w:vAlign w:val="center"/>
            <w:shd w:fill="F1F5F9"/>
          </w:tcPr>
          <w:p>
            <w:r>
              <w:t>Disabled by default.</w:t>
            </w:r>
          </w:p>
        </w:tc>
      </w:tr>
      <w:tr>
        <w:tc>
          <w:tcPr>
            <w:tcW w:type="dxa" w:w="3456"/>
            <w:vAlign w:val="center"/>
          </w:tcPr>
          <w:p>
            <w:r>
              <w:t>Stripe</w:t>
            </w:r>
          </w:p>
        </w:tc>
        <w:tc>
          <w:tcPr>
            <w:tcW w:type="dxa" w:w="6624"/>
            <w:vAlign w:val="center"/>
          </w:tcPr>
          <w:p>
            <w:r>
              <w:t>Configured in test mode.</w:t>
            </w:r>
          </w:p>
        </w:tc>
      </w:tr>
      <w:tr>
        <w:tc>
          <w:tcPr>
            <w:tcW w:type="dxa" w:w="3456"/>
            <w:vAlign w:val="center"/>
            <w:shd w:fill="F1F5F9"/>
          </w:tcPr>
          <w:p>
            <w:r>
              <w:t>Alpaca</w:t>
            </w:r>
          </w:p>
        </w:tc>
        <w:tc>
          <w:tcPr>
            <w:tcW w:type="dxa" w:w="6624"/>
            <w:vAlign w:val="center"/>
            <w:shd w:fill="F1F5F9"/>
          </w:tcPr>
          <w:p>
            <w:r>
              <w:t>Configured as active paper account.</w:t>
            </w:r>
          </w:p>
        </w:tc>
      </w:tr>
      <w:tr>
        <w:tc>
          <w:tcPr>
            <w:tcW w:type="dxa" w:w="3456"/>
            <w:vAlign w:val="center"/>
          </w:tcPr>
          <w:p>
            <w:r>
              <w:t>Source control</w:t>
            </w:r>
          </w:p>
        </w:tc>
        <w:tc>
          <w:tcPr>
            <w:tcW w:type="dxa" w:w="6624"/>
            <w:vAlign w:val="center"/>
          </w:tcPr>
          <w:p>
            <w:r>
              <w:t>All improvements remain local and uncommitted.</w:t>
            </w:r>
          </w:p>
        </w:tc>
      </w:tr>
      <w:tr>
        <w:tc>
          <w:tcPr>
            <w:tcW w:type="dxa" w:w="3456"/>
            <w:vAlign w:val="center"/>
            <w:shd w:fill="F1F5F9"/>
          </w:tcPr>
          <w:p>
            <w:r>
              <w:t>GitHub</w:t>
            </w:r>
          </w:p>
        </w:tc>
        <w:tc>
          <w:tcPr>
            <w:tcW w:type="dxa" w:w="6624"/>
            <w:vAlign w:val="center"/>
            <w:shd w:fill="F1F5F9"/>
          </w:tcPr>
          <w:p>
            <w:r>
              <w:t>Private repository exists, but these changes have not been pushed.</w:t>
            </w:r>
          </w:p>
        </w:tc>
      </w:tr>
    </w:tbl>
    <w:p/>
    <w:tbl>
      <w:tblPr>
        <w:tblStyle w:val="TableGrid"/>
        <w:tblW w:type="auto" w:w="0"/>
        <w:tblLook w:firstColumn="1" w:firstRow="1" w:lastColumn="0" w:lastRow="0" w:noHBand="0" w:noVBand="1" w:val="04A0"/>
      </w:tblPr>
      <w:tblGrid>
        <w:gridCol w:w="10080"/>
      </w:tblGrid>
      <w:tr>
        <w:tc>
          <w:tcPr>
            <w:tcW w:type="dxa" w:w="10080"/>
            <w:shd w:fill="FEF3C7"/>
          </w:tcPr>
          <w:p>
            <w:r>
              <w:rPr>
                <w:b/>
                <w:color w:val="1D4ED8"/>
              </w:rPr>
              <w:t>Final assessment</w:t>
              <w:br/>
            </w:r>
            <w:r>
              <w:t>The current application is substantially more integrated, explainable and testable than the extracted baseline. It is strong for local demonstration and challenge assessment. It should not be labelled formally production-flawless until hosted provider journeys, staging deployment, operational monitoring and formal security/load validation are completed.</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FundInv Full Project Change Report  •  Baseline versus current local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ED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4ED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FundInv Full Project Change Report</dc:title>
  <dc:subject>Original extracted project versus current implementation</dc:subject>
  <dc:creator>FundInv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