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D4ED8"/>
          <w:sz w:val="56"/>
        </w:rPr>
        <w:t>FundInv P&amp;L Calculation Flow</w:t>
      </w:r>
    </w:p>
    <w:p>
      <w:pPr>
        <w:jc w:val="center"/>
      </w:pPr>
      <w:r>
        <w:rPr>
          <w:i/>
        </w:rPr>
        <w:t>How unit accounting, daily performance, FIFO profit and role workflows fit together</w:t>
      </w:r>
    </w:p>
    <w:p/>
    <w:tbl>
      <w:tblPr>
        <w:tblStyle w:val="TableGrid"/>
        <w:tblW w:type="auto" w:w="0"/>
        <w:jc w:val="center"/>
        <w:tblLook w:firstColumn="1" w:firstRow="1" w:lastColumn="0" w:lastRow="0" w:noHBand="0" w:noVBand="1" w:val="04A0"/>
      </w:tblPr>
      <w:tblGrid>
        <w:gridCol w:w="4968"/>
        <w:gridCol w:w="4968"/>
      </w:tblGrid>
      <w:tr>
        <w:tc>
          <w:tcPr>
            <w:tcW w:type="dxa" w:w="4968"/>
            <w:shd w:fill="DBEAFE"/>
          </w:tcPr>
          <w:p>
            <w:r>
              <w:rPr>
                <w:b/>
              </w:rPr>
              <w:t>Document scope</w:t>
            </w:r>
          </w:p>
        </w:tc>
        <w:tc>
          <w:tcPr>
            <w:tcW w:type="dxa" w:w="4968"/>
            <w:shd w:fill="DBEAFE"/>
          </w:tcPr>
          <w:p>
            <w:r>
              <w:t>Implemented FundInv calculation logic</w:t>
            </w:r>
          </w:p>
        </w:tc>
      </w:tr>
      <w:tr>
        <w:tc>
          <w:tcPr>
            <w:tcW w:type="dxa" w:w="4968"/>
          </w:tcPr>
          <w:p>
            <w:r>
              <w:rPr>
                <w:b/>
              </w:rPr>
              <w:t>Implementation reviewed</w:t>
            </w:r>
          </w:p>
        </w:tc>
        <w:tc>
          <w:tcPr>
            <w:tcW w:type="dxa" w:w="4968"/>
          </w:tcPr>
          <w:p>
            <w:r>
              <w:t>Backend services, APIs, scheduler and role-facing screens</w:t>
            </w:r>
          </w:p>
        </w:tc>
      </w:tr>
      <w:tr>
        <w:tc>
          <w:tcPr>
            <w:tcW w:type="dxa" w:w="4968"/>
          </w:tcPr>
          <w:p>
            <w:r>
              <w:rPr>
                <w:b/>
              </w:rPr>
              <w:t>Accounting basis</w:t>
            </w:r>
          </w:p>
        </w:tc>
        <w:tc>
          <w:tcPr>
            <w:tcW w:type="dxa" w:w="4968"/>
          </w:tcPr>
          <w:p>
            <w:r>
              <w:t>Fund units/NAV plus FIFO stock transaction lots</w:t>
            </w:r>
          </w:p>
        </w:tc>
      </w:tr>
    </w:tbl>
    <w:p>
      <w:r>
        <w:br w:type="page"/>
      </w:r>
    </w:p>
    <w:p>
      <w:pPr>
        <w:pStyle w:val="Heading1"/>
      </w:pPr>
      <w:r>
        <w:t>1. Executive summary</w:t>
      </w:r>
    </w:p>
    <w:p>
      <w:r>
        <w:t>FundInv does not treat a deposit as profit. A confirmed deposit buys fund units at the current net asset value (NAV) per unit. Daily P&amp;L is then earned only on the units held at the start of the day. Deposits and withdrawals are applied after that day's market movement for performance attribution, preventing cash flows from inflating or depressing return percentages.</w:t>
      </w:r>
    </w:p>
    <w:p>
      <w:pPr>
        <w:pStyle w:val="ListBullet"/>
      </w:pPr>
      <w:r>
        <w:t>Fund subscription accounting: amount ÷ NAV per unit = units issued.</w:t>
      </w:r>
    </w:p>
    <w:p>
      <w:pPr>
        <w:pStyle w:val="ListBullet"/>
      </w:pPr>
      <w:r>
        <w:t>Fund redemption accounting: amount ÷ NAV per unit = units redeemed.</w:t>
      </w:r>
    </w:p>
    <w:p>
      <w:pPr>
        <w:pStyle w:val="ListBullet"/>
      </w:pPr>
      <w:r>
        <w:t>Daily investor P&amp;L: opening investor units × change in NAV per unit.</w:t>
      </w:r>
    </w:p>
    <w:p>
      <w:pPr>
        <w:pStyle w:val="ListBullet"/>
      </w:pPr>
      <w:r>
        <w:t>Total dollar P&amp;L: sum of daily investor P&amp;L over the chosen period.</w:t>
      </w:r>
    </w:p>
    <w:p>
      <w:pPr>
        <w:pStyle w:val="ListBullet"/>
      </w:pPr>
      <w:r>
        <w:t>Time-weighted return: compound each day's P&amp;L ÷ opening value.</w:t>
      </w:r>
    </w:p>
    <w:p>
      <w:pPr>
        <w:pStyle w:val="ListBullet"/>
      </w:pPr>
      <w:r>
        <w:t>Realized stock P&amp;L: FIFO matching of sell quantity against the oldest unconsumed buy lots.</w:t>
      </w:r>
    </w:p>
    <w:p>
      <w:pPr>
        <w:pStyle w:val="ListBullet"/>
      </w:pPr>
      <w:r>
        <w:t>Live unrealized stock P&amp;L: locally attributable open quantity × (current Alpaca price − average local entry price).</w:t>
      </w:r>
    </w:p>
    <w:p>
      <w:pPr>
        <w:pStyle w:val="Heading1"/>
      </w:pPr>
      <w:r>
        <w:t>2. The end-to-end calculation flow</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720"/>
            <w:shd w:fill="1D4ED8"/>
          </w:tcPr>
          <w:p>
            <w:r>
              <w:rPr>
                <w:b/>
                <w:color w:val="FFFFFF"/>
              </w:rPr>
              <w:t>Stage</w:t>
            </w:r>
          </w:p>
        </w:tc>
        <w:tc>
          <w:tcPr>
            <w:tcW w:type="dxa" w:w="2304"/>
            <w:shd w:fill="1D4ED8"/>
          </w:tcPr>
          <w:p>
            <w:r>
              <w:rPr>
                <w:b/>
                <w:color w:val="FFFFFF"/>
              </w:rPr>
              <w:t>Business event</w:t>
            </w:r>
          </w:p>
        </w:tc>
        <w:tc>
          <w:tcPr>
            <w:tcW w:type="dxa" w:w="4464"/>
            <w:shd w:fill="1D4ED8"/>
          </w:tcPr>
          <w:p>
            <w:r>
              <w:rPr>
                <w:b/>
                <w:color w:val="FFFFFF"/>
              </w:rPr>
              <w:t>Calculation/state change</w:t>
            </w:r>
          </w:p>
        </w:tc>
        <w:tc>
          <w:tcPr>
            <w:tcW w:type="dxa" w:w="2160"/>
            <w:shd w:fill="1D4ED8"/>
          </w:tcPr>
          <w:p>
            <w:r>
              <w:rPr>
                <w:b/>
                <w:color w:val="FFFFFF"/>
              </w:rPr>
              <w:t>Authoritative record</w:t>
            </w:r>
          </w:p>
        </w:tc>
      </w:tr>
      <w:tr>
        <w:tc>
          <w:tcPr>
            <w:tcW w:type="dxa" w:w="720"/>
            <w:vAlign w:val="center"/>
          </w:tcPr>
          <w:p>
            <w:r>
              <w:t>1</w:t>
            </w:r>
          </w:p>
        </w:tc>
        <w:tc>
          <w:tcPr>
            <w:tcW w:type="dxa" w:w="2304"/>
            <w:vAlign w:val="center"/>
          </w:tcPr>
          <w:p>
            <w:r>
              <w:t>Investor requests a deposit or withdrawal</w:t>
            </w:r>
          </w:p>
        </w:tc>
        <w:tc>
          <w:tcPr>
            <w:tcW w:type="dxa" w:w="4464"/>
            <w:vAlign w:val="center"/>
          </w:tcPr>
          <w:p>
            <w:r>
              <w:t>No units or P&amp;L change yet; the flow is pending operations review.</w:t>
            </w:r>
          </w:p>
        </w:tc>
        <w:tc>
          <w:tcPr>
            <w:tcW w:type="dxa" w:w="2160"/>
            <w:vAlign w:val="center"/>
          </w:tcPr>
          <w:p>
            <w:r>
              <w:t>fund_flows</w:t>
            </w:r>
          </w:p>
        </w:tc>
      </w:tr>
      <w:tr>
        <w:tc>
          <w:tcPr>
            <w:tcW w:type="dxa" w:w="720"/>
            <w:vAlign w:val="center"/>
            <w:shd w:fill="F1F5F9"/>
          </w:tcPr>
          <w:p>
            <w:r>
              <w:t>2</w:t>
            </w:r>
          </w:p>
        </w:tc>
        <w:tc>
          <w:tcPr>
            <w:tcW w:type="dxa" w:w="2304"/>
            <w:vAlign w:val="center"/>
            <w:shd w:fill="F1F5F9"/>
          </w:tcPr>
          <w:p>
            <w:r>
              <w:t>Operations approves</w:t>
            </w:r>
          </w:p>
        </w:tc>
        <w:tc>
          <w:tcPr>
            <w:tcW w:type="dxa" w:w="4464"/>
            <w:vAlign w:val="center"/>
            <w:shd w:fill="F1F5F9"/>
          </w:tcPr>
          <w:p>
            <w:r>
              <w:t>Deposit waits for Stripe payment; withdrawal waits for Stripe Connect payout setup. Approval alone is not settlement.</w:t>
            </w:r>
          </w:p>
        </w:tc>
        <w:tc>
          <w:tcPr>
            <w:tcW w:type="dxa" w:w="2160"/>
            <w:vAlign w:val="center"/>
            <w:shd w:fill="F1F5F9"/>
          </w:tcPr>
          <w:p>
            <w:r>
              <w:t>fund_flows status</w:t>
            </w:r>
          </w:p>
        </w:tc>
      </w:tr>
      <w:tr>
        <w:tc>
          <w:tcPr>
            <w:tcW w:type="dxa" w:w="720"/>
            <w:vAlign w:val="center"/>
          </w:tcPr>
          <w:p>
            <w:r>
              <w:t>3</w:t>
            </w:r>
          </w:p>
        </w:tc>
        <w:tc>
          <w:tcPr>
            <w:tcW w:type="dxa" w:w="2304"/>
            <w:vAlign w:val="center"/>
          </w:tcPr>
          <w:p>
            <w:r>
              <w:t>Provider confirms cash movement</w:t>
            </w:r>
          </w:p>
        </w:tc>
        <w:tc>
          <w:tcPr>
            <w:tcW w:type="dxa" w:w="4464"/>
            <w:vAlign w:val="center"/>
          </w:tcPr>
          <w:p>
            <w:r>
              <w:t>The signed Stripe webhook calls the settlement service exactly once.</w:t>
            </w:r>
          </w:p>
        </w:tc>
        <w:tc>
          <w:tcPr>
            <w:tcW w:type="dxa" w:w="2160"/>
            <w:vAlign w:val="center"/>
          </w:tcPr>
          <w:p>
            <w:r>
              <w:t>fund_balance_entries</w:t>
            </w:r>
          </w:p>
        </w:tc>
      </w:tr>
      <w:tr>
        <w:tc>
          <w:tcPr>
            <w:tcW w:type="dxa" w:w="720"/>
            <w:vAlign w:val="center"/>
            <w:shd w:fill="F1F5F9"/>
          </w:tcPr>
          <w:p>
            <w:r>
              <w:t>4</w:t>
            </w:r>
          </w:p>
        </w:tc>
        <w:tc>
          <w:tcPr>
            <w:tcW w:type="dxa" w:w="2304"/>
            <w:vAlign w:val="center"/>
            <w:shd w:fill="F1F5F9"/>
          </w:tcPr>
          <w:p>
            <w:r>
              <w:t>Unit settlement</w:t>
            </w:r>
          </w:p>
        </w:tc>
        <w:tc>
          <w:tcPr>
            <w:tcW w:type="dxa" w:w="4464"/>
            <w:vAlign w:val="center"/>
            <w:shd w:fill="F1F5F9"/>
          </w:tcPr>
          <w:p>
            <w:r>
              <w:t>Deposit issues units; withdrawal redeems units. Position units and cost basis change.</w:t>
            </w:r>
          </w:p>
        </w:tc>
        <w:tc>
          <w:tcPr>
            <w:tcW w:type="dxa" w:w="2160"/>
            <w:vAlign w:val="center"/>
            <w:shd w:fill="F1F5F9"/>
          </w:tcPr>
          <w:p>
            <w:r>
              <w:t>fund_positions</w:t>
            </w:r>
          </w:p>
        </w:tc>
      </w:tr>
      <w:tr>
        <w:tc>
          <w:tcPr>
            <w:tcW w:type="dxa" w:w="720"/>
            <w:vAlign w:val="center"/>
          </w:tcPr>
          <w:p>
            <w:r>
              <w:t>5</w:t>
            </w:r>
          </w:p>
        </w:tc>
        <w:tc>
          <w:tcPr>
            <w:tcW w:type="dxa" w:w="2304"/>
            <w:vAlign w:val="center"/>
          </w:tcPr>
          <w:p>
            <w:r>
              <w:t>Daily market close</w:t>
            </w:r>
          </w:p>
        </w:tc>
        <w:tc>
          <w:tcPr>
            <w:tcW w:type="dxa" w:w="4464"/>
            <w:vAlign w:val="center"/>
          </w:tcPr>
          <w:p>
            <w:r>
              <w:t>The snapshot job records fund valuation, investor opening/closing units, daily P&amp;L and net flows.</w:t>
            </w:r>
          </w:p>
        </w:tc>
        <w:tc>
          <w:tcPr>
            <w:tcW w:type="dxa" w:w="2160"/>
            <w:vAlign w:val="center"/>
          </w:tcPr>
          <w:p>
            <w:r>
              <w:t>fund_valuations / portfolio_holdings</w:t>
            </w:r>
          </w:p>
        </w:tc>
      </w:tr>
      <w:tr>
        <w:tc>
          <w:tcPr>
            <w:tcW w:type="dxa" w:w="720"/>
            <w:vAlign w:val="center"/>
            <w:shd w:fill="F1F5F9"/>
          </w:tcPr>
          <w:p>
            <w:r>
              <w:t>6</w:t>
            </w:r>
          </w:p>
        </w:tc>
        <w:tc>
          <w:tcPr>
            <w:tcW w:type="dxa" w:w="2304"/>
            <w:vAlign w:val="center"/>
            <w:shd w:fill="F1F5F9"/>
          </w:tcPr>
          <w:p>
            <w:r>
              <w:t>Investor opens reporting</w:t>
            </w:r>
          </w:p>
        </w:tc>
        <w:tc>
          <w:tcPr>
            <w:tcW w:type="dxa" w:w="4464"/>
            <w:vAlign w:val="center"/>
            <w:shd w:fill="F1F5F9"/>
          </w:tcPr>
          <w:p>
            <w:r>
              <w:t>The API sums daily P&amp;L and compounds daily returns for monthly or custom periods.</w:t>
            </w:r>
          </w:p>
        </w:tc>
        <w:tc>
          <w:tcPr>
            <w:tcW w:type="dxa" w:w="2160"/>
            <w:vAlign w:val="center"/>
            <w:shd w:fill="F1F5F9"/>
          </w:tcPr>
          <w:p>
            <w:r>
              <w:t>portfolio P&amp;L API</w:t>
            </w:r>
          </w:p>
        </w:tc>
      </w:tr>
      <w:tr>
        <w:tc>
          <w:tcPr>
            <w:tcW w:type="dxa" w:w="720"/>
            <w:vAlign w:val="center"/>
          </w:tcPr>
          <w:p>
            <w:r>
              <w:t>7</w:t>
            </w:r>
          </w:p>
        </w:tc>
        <w:tc>
          <w:tcPr>
            <w:tcW w:type="dxa" w:w="2304"/>
            <w:vAlign w:val="center"/>
          </w:tcPr>
          <w:p>
            <w:r>
              <w:t>Manager opens analysis</w:t>
            </w:r>
          </w:p>
        </w:tc>
        <w:tc>
          <w:tcPr>
            <w:tcW w:type="dxa" w:w="4464"/>
            <w:vAlign w:val="center"/>
          </w:tcPr>
          <w:p>
            <w:r>
              <w:t>Fund returns are weighted by actual or hypothetical allocations to show contribution.</w:t>
            </w:r>
          </w:p>
        </w:tc>
        <w:tc>
          <w:tcPr>
            <w:tcW w:type="dxa" w:w="2160"/>
            <w:vAlign w:val="center"/>
          </w:tcPr>
          <w:p>
            <w:r>
              <w:t>manager performance API</w:t>
            </w:r>
          </w:p>
        </w:tc>
      </w:tr>
    </w:tbl>
    <w:p/>
    <w:p>
      <w:pPr>
        <w:pStyle w:val="Heading1"/>
      </w:pPr>
      <w:r>
        <w:t>3. Unit accounting for deposits and withdrawals</w:t>
      </w:r>
    </w:p>
    <w:p>
      <w:pPr>
        <w:pStyle w:val="Heading2"/>
      </w:pPr>
      <w:r>
        <w:t>3.1 Choosing the NAV</w:t>
      </w:r>
    </w:p>
    <w:p>
      <w:r>
        <w:t>The settlement service selects the first positive value available in this order:</w:t>
      </w:r>
    </w:p>
    <w:p>
      <w:pPr>
        <w:pStyle w:val="ListBullet"/>
      </w:pPr>
      <w:r>
        <w:t>Latest persisted fund valuation NAV per unit.</w:t>
      </w:r>
    </w:p>
    <w:p>
      <w:pPr>
        <w:pStyle w:val="ListBullet"/>
      </w:pPr>
      <w:r>
        <w:t>The fund's current market price.</w:t>
      </w:r>
    </w:p>
    <w:p>
      <w:pPr>
        <w:pStyle w:val="ListBullet"/>
      </w:pPr>
      <w:r>
        <w:t>A safe fallback of 1.00000000 when neither is available.</w:t>
      </w:r>
    </w:p>
    <w:p>
      <w:pPr>
        <w:pStyle w:val="IntenseQuote"/>
        <w:jc w:val="center"/>
      </w:pPr>
      <w:r>
        <w:rPr>
          <w:rFonts w:ascii="Consolas" w:hAnsi="Consolas"/>
          <w:sz w:val="21"/>
        </w:rPr>
        <w:t>NAV per unit = Fund market value ÷ Units outstanding</w:t>
      </w:r>
    </w:p>
    <w:p>
      <w:pPr>
        <w:pStyle w:val="Heading2"/>
      </w:pPr>
      <w:r>
        <w:t>3.2 Deposit subscription</w:t>
      </w:r>
    </w:p>
    <w:p>
      <w:pPr>
        <w:pStyle w:val="IntenseQuote"/>
        <w:jc w:val="center"/>
      </w:pPr>
      <w:r>
        <w:rPr>
          <w:rFonts w:ascii="Consolas" w:hAnsi="Consolas"/>
          <w:sz w:val="21"/>
        </w:rPr>
        <w:t>Units issued = Confirmed deposit amount ÷ Current NAV per unit</w:t>
      </w:r>
    </w:p>
    <w:p>
      <w:pPr>
        <w:pStyle w:val="IntenseQuote"/>
        <w:jc w:val="center"/>
      </w:pPr>
      <w:r>
        <w:rPr>
          <w:rFonts w:ascii="Consolas" w:hAnsi="Consolas"/>
          <w:sz w:val="21"/>
        </w:rPr>
        <w:t>New units = Existing units + Units issued</w:t>
      </w:r>
    </w:p>
    <w:p>
      <w:pPr>
        <w:pStyle w:val="IntenseQuote"/>
        <w:jc w:val="center"/>
      </w:pPr>
      <w:r>
        <w:rPr>
          <w:rFonts w:ascii="Consolas" w:hAnsi="Consolas"/>
          <w:sz w:val="21"/>
        </w:rPr>
        <w:t>New cost basis = Existing cost basis + Deposit amount</w:t>
      </w:r>
    </w:p>
    <w:p>
      <w:r>
        <w:t>The investor's total invested amount is increased, a positive ledger entry is written, and the compatibility balance used by older screens is updated from units × NAV. No accounting occurs while the request is merely pending or approved; settlement happens only after a valid provider confirmation.</w:t>
      </w:r>
    </w:p>
    <w:p>
      <w:pPr>
        <w:pStyle w:val="Heading2"/>
      </w:pPr>
      <w:r>
        <w:t>3.3 Withdrawal redemption</w:t>
      </w:r>
    </w:p>
    <w:p>
      <w:pPr>
        <w:pStyle w:val="IntenseQuote"/>
        <w:jc w:val="center"/>
      </w:pPr>
      <w:r>
        <w:rPr>
          <w:rFonts w:ascii="Consolas" w:hAnsi="Consolas"/>
          <w:sz w:val="21"/>
        </w:rPr>
        <w:t>Units redeemed = Confirmed withdrawal amount ÷ Current NAV per unit</w:t>
      </w:r>
    </w:p>
    <w:p>
      <w:pPr>
        <w:pStyle w:val="IntenseQuote"/>
        <w:jc w:val="center"/>
      </w:pPr>
      <w:r>
        <w:rPr>
          <w:rFonts w:ascii="Consolas" w:hAnsi="Consolas"/>
          <w:sz w:val="21"/>
        </w:rPr>
        <w:t>Cost basis reduction = Existing cost basis × (Units redeemed ÷ Existing units)</w:t>
      </w:r>
    </w:p>
    <w:p>
      <w:pPr>
        <w:pStyle w:val="IntenseQuote"/>
        <w:jc w:val="center"/>
      </w:pPr>
      <w:r>
        <w:rPr>
          <w:rFonts w:ascii="Consolas" w:hAnsi="Consolas"/>
          <w:sz w:val="21"/>
        </w:rPr>
        <w:t>Remaining units = Existing units − Units redeemed</w:t>
      </w:r>
    </w:p>
    <w:p>
      <w:r>
        <w:t>A withdrawal is rejected if available position value, less already pending withdrawals, is below the requested amount. At settlement, the service also refuses to redeem more units than the position owns.</w:t>
      </w:r>
    </w:p>
    <w:p>
      <w:pPr>
        <w:pStyle w:val="Heading2"/>
      </w:pPr>
      <w:r>
        <w:t>3.4 Worked subscription/redemption example</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1872"/>
            <w:shd w:fill="1D4ED8"/>
          </w:tcPr>
          <w:p>
            <w:r>
              <w:rPr>
                <w:b/>
                <w:color w:val="FFFFFF"/>
              </w:rPr>
              <w:t>Step</w:t>
            </w:r>
          </w:p>
        </w:tc>
        <w:tc>
          <w:tcPr>
            <w:tcW w:type="dxa" w:w="4032"/>
            <w:shd w:fill="1D4ED8"/>
          </w:tcPr>
          <w:p>
            <w:r>
              <w:rPr>
                <w:b/>
                <w:color w:val="FFFFFF"/>
              </w:rPr>
              <w:t>Calculation</w:t>
            </w:r>
          </w:p>
        </w:tc>
        <w:tc>
          <w:tcPr>
            <w:tcW w:type="dxa" w:w="4032"/>
            <w:shd w:fill="1D4ED8"/>
          </w:tcPr>
          <w:p>
            <w:r>
              <w:rPr>
                <w:b/>
                <w:color w:val="FFFFFF"/>
              </w:rPr>
              <w:t>Result</w:t>
            </w:r>
          </w:p>
        </w:tc>
      </w:tr>
      <w:tr>
        <w:tc>
          <w:tcPr>
            <w:tcW w:type="dxa" w:w="1872"/>
            <w:vAlign w:val="center"/>
          </w:tcPr>
          <w:p>
            <w:r>
              <w:t>Deposit</w:t>
            </w:r>
          </w:p>
        </w:tc>
        <w:tc>
          <w:tcPr>
            <w:tcW w:type="dxa" w:w="4032"/>
            <w:vAlign w:val="center"/>
          </w:tcPr>
          <w:p>
            <w:r>
              <w:t>$50,000 ÷ $100 NAV</w:t>
            </w:r>
          </w:p>
        </w:tc>
        <w:tc>
          <w:tcPr>
            <w:tcW w:type="dxa" w:w="4032"/>
            <w:vAlign w:val="center"/>
          </w:tcPr>
          <w:p>
            <w:r>
              <w:t>500 units issued</w:t>
            </w:r>
          </w:p>
        </w:tc>
      </w:tr>
      <w:tr>
        <w:tc>
          <w:tcPr>
            <w:tcW w:type="dxa" w:w="1872"/>
            <w:vAlign w:val="center"/>
            <w:shd w:fill="F1F5F9"/>
          </w:tcPr>
          <w:p>
            <w:r>
              <w:t>Market rises</w:t>
            </w:r>
          </w:p>
        </w:tc>
        <w:tc>
          <w:tcPr>
            <w:tcW w:type="dxa" w:w="4032"/>
            <w:vAlign w:val="center"/>
            <w:shd w:fill="F1F5F9"/>
          </w:tcPr>
          <w:p>
            <w:r>
              <w:t>500 × $105</w:t>
            </w:r>
          </w:p>
        </w:tc>
        <w:tc>
          <w:tcPr>
            <w:tcW w:type="dxa" w:w="4032"/>
            <w:vAlign w:val="center"/>
            <w:shd w:fill="F1F5F9"/>
          </w:tcPr>
          <w:p>
            <w:r>
              <w:t>$52,500 market value</w:t>
            </w:r>
          </w:p>
        </w:tc>
      </w:tr>
      <w:tr>
        <w:tc>
          <w:tcPr>
            <w:tcW w:type="dxa" w:w="1872"/>
            <w:vAlign w:val="center"/>
          </w:tcPr>
          <w:p>
            <w:r>
              <w:t>Daily P&amp;L</w:t>
            </w:r>
          </w:p>
        </w:tc>
        <w:tc>
          <w:tcPr>
            <w:tcW w:type="dxa" w:w="4032"/>
            <w:vAlign w:val="center"/>
          </w:tcPr>
          <w:p>
            <w:r>
              <w:t>500 × ($105 − $100)</w:t>
            </w:r>
          </w:p>
        </w:tc>
        <w:tc>
          <w:tcPr>
            <w:tcW w:type="dxa" w:w="4032"/>
            <w:vAlign w:val="center"/>
          </w:tcPr>
          <w:p>
            <w:r>
              <w:t>+$2,500</w:t>
            </w:r>
          </w:p>
        </w:tc>
      </w:tr>
      <w:tr>
        <w:tc>
          <w:tcPr>
            <w:tcW w:type="dxa" w:w="1872"/>
            <w:vAlign w:val="center"/>
            <w:shd w:fill="F1F5F9"/>
          </w:tcPr>
          <w:p>
            <w:r>
              <w:t>Withdraw $10,500</w:t>
            </w:r>
          </w:p>
        </w:tc>
        <w:tc>
          <w:tcPr>
            <w:tcW w:type="dxa" w:w="4032"/>
            <w:vAlign w:val="center"/>
            <w:shd w:fill="F1F5F9"/>
          </w:tcPr>
          <w:p>
            <w:r>
              <w:t>$10,500 ÷ $105</w:t>
            </w:r>
          </w:p>
        </w:tc>
        <w:tc>
          <w:tcPr>
            <w:tcW w:type="dxa" w:w="4032"/>
            <w:vAlign w:val="center"/>
            <w:shd w:fill="F1F5F9"/>
          </w:tcPr>
          <w:p>
            <w:r>
              <w:t>100 units redeemed</w:t>
            </w:r>
          </w:p>
        </w:tc>
      </w:tr>
      <w:tr>
        <w:tc>
          <w:tcPr>
            <w:tcW w:type="dxa" w:w="1872"/>
            <w:vAlign w:val="center"/>
          </w:tcPr>
          <w:p>
            <w:r>
              <w:t>Cost basis removed</w:t>
            </w:r>
          </w:p>
        </w:tc>
        <w:tc>
          <w:tcPr>
            <w:tcW w:type="dxa" w:w="4032"/>
            <w:vAlign w:val="center"/>
          </w:tcPr>
          <w:p>
            <w:r>
              <w:t>$50,000 × (100 ÷ 500)</w:t>
            </w:r>
          </w:p>
        </w:tc>
        <w:tc>
          <w:tcPr>
            <w:tcW w:type="dxa" w:w="4032"/>
            <w:vAlign w:val="center"/>
          </w:tcPr>
          <w:p>
            <w:r>
              <w:t>$10,000</w:t>
            </w:r>
          </w:p>
        </w:tc>
      </w:tr>
      <w:tr>
        <w:tc>
          <w:tcPr>
            <w:tcW w:type="dxa" w:w="1872"/>
            <w:vAlign w:val="center"/>
            <w:shd w:fill="F1F5F9"/>
          </w:tcPr>
          <w:p>
            <w:r>
              <w:t>Remaining position</w:t>
            </w:r>
          </w:p>
        </w:tc>
        <w:tc>
          <w:tcPr>
            <w:tcW w:type="dxa" w:w="4032"/>
            <w:vAlign w:val="center"/>
            <w:shd w:fill="F1F5F9"/>
          </w:tcPr>
          <w:p>
            <w:r>
              <w:t>400 units × $105</w:t>
            </w:r>
          </w:p>
        </w:tc>
        <w:tc>
          <w:tcPr>
            <w:tcW w:type="dxa" w:w="4032"/>
            <w:vAlign w:val="center"/>
            <w:shd w:fill="F1F5F9"/>
          </w:tcPr>
          <w:p>
            <w:r>
              <w:t>$42,000 market value; $40,000 cost basis</w:t>
            </w:r>
          </w:p>
        </w:tc>
      </w:tr>
    </w:tbl>
    <w:p/>
    <w:p>
      <w:pPr>
        <w:pStyle w:val="Heading2"/>
      </w:pPr>
      <w:r>
        <w:t>3.5 Idempotency and concurrency safety</w:t>
      </w:r>
    </w:p>
    <w:p>
      <w:r>
        <w:t>The flow row and affected account/fund/position rows are locked during settlement. A unique ledger entry per fund flow is the idempotency boundary. If Stripe sends the same webhook twice, the second call sees the existing ledger entry and applies zero additional units. This prevents double-crediting or double-redemption.</w:t>
      </w:r>
    </w:p>
    <w:p>
      <w:r>
        <w:br w:type="page"/>
      </w:r>
    </w:p>
    <w:p>
      <w:pPr>
        <w:pStyle w:val="Heading1"/>
      </w:pPr>
      <w:r>
        <w:t>4. Daily fund and investor P&amp;L</w:t>
      </w:r>
    </w:p>
    <w:p>
      <w:pPr>
        <w:pStyle w:val="Heading2"/>
      </w:pPr>
      <w:r>
        <w:t>4.1 Fund-level daily valuation</w:t>
      </w:r>
    </w:p>
    <w:p>
      <w:pPr>
        <w:pStyle w:val="IntenseQuote"/>
        <w:jc w:val="center"/>
      </w:pPr>
      <w:r>
        <w:rPr>
          <w:rFonts w:ascii="Consolas" w:hAnsi="Consolas"/>
          <w:sz w:val="21"/>
        </w:rPr>
        <w:t>Opening units = Closing units − Net units created/redeemed during the day</w:t>
      </w:r>
    </w:p>
    <w:p>
      <w:pPr>
        <w:pStyle w:val="IntenseQuote"/>
        <w:jc w:val="center"/>
      </w:pPr>
      <w:r>
        <w:rPr>
          <w:rFonts w:ascii="Consolas" w:hAnsi="Consolas"/>
          <w:sz w:val="21"/>
        </w:rPr>
        <w:t>Opening assets = Opening units × Opening NAV</w:t>
      </w:r>
    </w:p>
    <w:p>
      <w:pPr>
        <w:pStyle w:val="IntenseQuote"/>
        <w:jc w:val="center"/>
      </w:pPr>
      <w:r>
        <w:rPr>
          <w:rFonts w:ascii="Consolas" w:hAnsi="Consolas"/>
          <w:sz w:val="21"/>
        </w:rPr>
        <w:t>Daily fund P&amp;L = Opening units × (Closing NAV − Opening NAV)</w:t>
      </w:r>
    </w:p>
    <w:p>
      <w:pPr>
        <w:pStyle w:val="IntenseQuote"/>
        <w:jc w:val="center"/>
      </w:pPr>
      <w:r>
        <w:rPr>
          <w:rFonts w:ascii="Consolas" w:hAnsi="Consolas"/>
          <w:sz w:val="21"/>
        </w:rPr>
        <w:t>Closing assets before flows = Opening assets + Daily fund P&amp;L</w:t>
      </w:r>
    </w:p>
    <w:p>
      <w:pPr>
        <w:pStyle w:val="IntenseQuote"/>
        <w:jc w:val="center"/>
      </w:pPr>
      <w:r>
        <w:rPr>
          <w:rFonts w:ascii="Consolas" w:hAnsi="Consolas"/>
          <w:sz w:val="21"/>
        </w:rPr>
        <w:t>Closing assets = Closing assets before flows + Net cash flow</w:t>
      </w:r>
    </w:p>
    <w:p>
      <w:r>
        <w:t>Separating closing assets before flows from final closing assets is essential. Market movement is performance; deposits and withdrawals are capital movement. The system stores both separately.</w:t>
      </w:r>
    </w:p>
    <w:p>
      <w:pPr>
        <w:pStyle w:val="Heading2"/>
      </w:pPr>
      <w:r>
        <w:t>4.2 Investor allocation</w:t>
      </w:r>
    </w:p>
    <w:p>
      <w:pPr>
        <w:pStyle w:val="IntenseQuote"/>
        <w:jc w:val="center"/>
      </w:pPr>
      <w:r>
        <w:rPr>
          <w:rFonts w:ascii="Consolas" w:hAnsi="Consolas"/>
          <w:sz w:val="21"/>
        </w:rPr>
        <w:t>Investor opening share % = Investor opening units ÷ Total opening units × 100</w:t>
      </w:r>
    </w:p>
    <w:p>
      <w:pPr>
        <w:pStyle w:val="IntenseQuote"/>
        <w:jc w:val="center"/>
      </w:pPr>
      <w:r>
        <w:rPr>
          <w:rFonts w:ascii="Consolas" w:hAnsi="Consolas"/>
          <w:sz w:val="21"/>
        </w:rPr>
        <w:t>Investor daily P&amp;L = Investor opening units × (Closing NAV − Opening NAV)</w:t>
      </w:r>
    </w:p>
    <w:p>
      <w:pPr>
        <w:pStyle w:val="IntenseQuote"/>
        <w:jc w:val="center"/>
      </w:pPr>
      <w:r>
        <w:rPr>
          <w:rFonts w:ascii="Consolas" w:hAnsi="Consolas"/>
          <w:sz w:val="21"/>
        </w:rPr>
        <w:t>Investor closing value = Investor closing units × Closing NAV</w:t>
      </w:r>
    </w:p>
    <w:p>
      <w:r>
        <w:t>Because daily P&amp;L uses opening units, a deposit completed during the day does not earn profit retroactively. Its units participate from the next opening balance. A withdrawal similarly receives the day's attribution based on opening units before its redeemed units alter the next period.</w:t>
      </w:r>
    </w:p>
    <w:p>
      <w:pPr>
        <w:pStyle w:val="Heading2"/>
      </w:pPr>
      <w:r>
        <w:t>4.3 Multi-investor example</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3024"/>
            <w:shd w:fill="1D4ED8"/>
          </w:tcPr>
          <w:p>
            <w:r>
              <w:rPr>
                <w:b/>
                <w:color w:val="FFFFFF"/>
              </w:rPr>
              <w:t>Item</w:t>
            </w:r>
          </w:p>
        </w:tc>
        <w:tc>
          <w:tcPr>
            <w:tcW w:type="dxa" w:w="2016"/>
            <w:shd w:fill="1D4ED8"/>
          </w:tcPr>
          <w:p>
            <w:r>
              <w:rPr>
                <w:b/>
                <w:color w:val="FFFFFF"/>
              </w:rPr>
              <w:t>Investor A</w:t>
            </w:r>
          </w:p>
        </w:tc>
        <w:tc>
          <w:tcPr>
            <w:tcW w:type="dxa" w:w="2448"/>
            <w:shd w:fill="1D4ED8"/>
          </w:tcPr>
          <w:p>
            <w:r>
              <w:rPr>
                <w:b/>
                <w:color w:val="FFFFFF"/>
              </w:rPr>
              <w:t>Investor B</w:t>
            </w:r>
          </w:p>
        </w:tc>
        <w:tc>
          <w:tcPr>
            <w:tcW w:type="dxa" w:w="2160"/>
            <w:shd w:fill="1D4ED8"/>
          </w:tcPr>
          <w:p>
            <w:r>
              <w:rPr>
                <w:b/>
                <w:color w:val="FFFFFF"/>
              </w:rPr>
              <w:t>Fund total</w:t>
            </w:r>
          </w:p>
        </w:tc>
      </w:tr>
      <w:tr>
        <w:tc>
          <w:tcPr>
            <w:tcW w:type="dxa" w:w="3024"/>
            <w:vAlign w:val="center"/>
          </w:tcPr>
          <w:p>
            <w:r>
              <w:t>Opening units</w:t>
            </w:r>
          </w:p>
        </w:tc>
        <w:tc>
          <w:tcPr>
            <w:tcW w:type="dxa" w:w="2016"/>
            <w:vAlign w:val="center"/>
          </w:tcPr>
          <w:p>
            <w:r>
              <w:t>600</w:t>
            </w:r>
          </w:p>
        </w:tc>
        <w:tc>
          <w:tcPr>
            <w:tcW w:type="dxa" w:w="2448"/>
            <w:vAlign w:val="center"/>
          </w:tcPr>
          <w:p>
            <w:r>
              <w:t>400</w:t>
            </w:r>
          </w:p>
        </w:tc>
        <w:tc>
          <w:tcPr>
            <w:tcW w:type="dxa" w:w="2160"/>
            <w:vAlign w:val="center"/>
          </w:tcPr>
          <w:p>
            <w:r>
              <w:t>1,000</w:t>
            </w:r>
          </w:p>
        </w:tc>
      </w:tr>
      <w:tr>
        <w:tc>
          <w:tcPr>
            <w:tcW w:type="dxa" w:w="3024"/>
            <w:vAlign w:val="center"/>
            <w:shd w:fill="F1F5F9"/>
          </w:tcPr>
          <w:p>
            <w:r>
              <w:t>Opening NAV</w:t>
            </w:r>
          </w:p>
        </w:tc>
        <w:tc>
          <w:tcPr>
            <w:tcW w:type="dxa" w:w="2016"/>
            <w:vAlign w:val="center"/>
            <w:shd w:fill="F1F5F9"/>
          </w:tcPr>
          <w:p>
            <w:r>
              <w:t>$10</w:t>
            </w:r>
          </w:p>
        </w:tc>
        <w:tc>
          <w:tcPr>
            <w:tcW w:type="dxa" w:w="2448"/>
            <w:vAlign w:val="center"/>
            <w:shd w:fill="F1F5F9"/>
          </w:tcPr>
          <w:p>
            <w:r>
              <w:t>$10</w:t>
            </w:r>
          </w:p>
        </w:tc>
        <w:tc>
          <w:tcPr>
            <w:tcW w:type="dxa" w:w="2160"/>
            <w:vAlign w:val="center"/>
            <w:shd w:fill="F1F5F9"/>
          </w:tcPr>
          <w:p>
            <w:r>
              <w:t>$10</w:t>
            </w:r>
          </w:p>
        </w:tc>
      </w:tr>
      <w:tr>
        <w:tc>
          <w:tcPr>
            <w:tcW w:type="dxa" w:w="3024"/>
            <w:vAlign w:val="center"/>
          </w:tcPr>
          <w:p>
            <w:r>
              <w:t>Opening value</w:t>
            </w:r>
          </w:p>
        </w:tc>
        <w:tc>
          <w:tcPr>
            <w:tcW w:type="dxa" w:w="2016"/>
            <w:vAlign w:val="center"/>
          </w:tcPr>
          <w:p>
            <w:r>
              <w:t>$6,000</w:t>
            </w:r>
          </w:p>
        </w:tc>
        <w:tc>
          <w:tcPr>
            <w:tcW w:type="dxa" w:w="2448"/>
            <w:vAlign w:val="center"/>
          </w:tcPr>
          <w:p>
            <w:r>
              <w:t>$4,000</w:t>
            </w:r>
          </w:p>
        </w:tc>
        <w:tc>
          <w:tcPr>
            <w:tcW w:type="dxa" w:w="2160"/>
            <w:vAlign w:val="center"/>
          </w:tcPr>
          <w:p>
            <w:r>
              <w:t>$10,000</w:t>
            </w:r>
          </w:p>
        </w:tc>
      </w:tr>
      <w:tr>
        <w:tc>
          <w:tcPr>
            <w:tcW w:type="dxa" w:w="3024"/>
            <w:vAlign w:val="center"/>
            <w:shd w:fill="F1F5F9"/>
          </w:tcPr>
          <w:p>
            <w:r>
              <w:t>Opening ownership</w:t>
            </w:r>
          </w:p>
        </w:tc>
        <w:tc>
          <w:tcPr>
            <w:tcW w:type="dxa" w:w="2016"/>
            <w:vAlign w:val="center"/>
            <w:shd w:fill="F1F5F9"/>
          </w:tcPr>
          <w:p>
            <w:r>
              <w:t>60%</w:t>
            </w:r>
          </w:p>
        </w:tc>
        <w:tc>
          <w:tcPr>
            <w:tcW w:type="dxa" w:w="2448"/>
            <w:vAlign w:val="center"/>
            <w:shd w:fill="F1F5F9"/>
          </w:tcPr>
          <w:p>
            <w:r>
              <w:t>40%</w:t>
            </w:r>
          </w:p>
        </w:tc>
        <w:tc>
          <w:tcPr>
            <w:tcW w:type="dxa" w:w="2160"/>
            <w:vAlign w:val="center"/>
            <w:shd w:fill="F1F5F9"/>
          </w:tcPr>
          <w:p>
            <w:r>
              <w:t>100%</w:t>
            </w:r>
          </w:p>
        </w:tc>
      </w:tr>
      <w:tr>
        <w:tc>
          <w:tcPr>
            <w:tcW w:type="dxa" w:w="3024"/>
            <w:vAlign w:val="center"/>
          </w:tcPr>
          <w:p>
            <w:r>
              <w:t>Closing NAV before flows</w:t>
            </w:r>
          </w:p>
        </w:tc>
        <w:tc>
          <w:tcPr>
            <w:tcW w:type="dxa" w:w="2016"/>
            <w:vAlign w:val="center"/>
          </w:tcPr>
          <w:p>
            <w:r>
              <w:t>$10.50</w:t>
            </w:r>
          </w:p>
        </w:tc>
        <w:tc>
          <w:tcPr>
            <w:tcW w:type="dxa" w:w="2448"/>
            <w:vAlign w:val="center"/>
          </w:tcPr>
          <w:p>
            <w:r>
              <w:t>$10.50</w:t>
            </w:r>
          </w:p>
        </w:tc>
        <w:tc>
          <w:tcPr>
            <w:tcW w:type="dxa" w:w="2160"/>
            <w:vAlign w:val="center"/>
          </w:tcPr>
          <w:p>
            <w:r>
              <w:t>$10.50</w:t>
            </w:r>
          </w:p>
        </w:tc>
      </w:tr>
      <w:tr>
        <w:tc>
          <w:tcPr>
            <w:tcW w:type="dxa" w:w="3024"/>
            <w:vAlign w:val="center"/>
            <w:shd w:fill="F1F5F9"/>
          </w:tcPr>
          <w:p>
            <w:r>
              <w:t>Daily P&amp;L</w:t>
            </w:r>
          </w:p>
        </w:tc>
        <w:tc>
          <w:tcPr>
            <w:tcW w:type="dxa" w:w="2016"/>
            <w:vAlign w:val="center"/>
            <w:shd w:fill="F1F5F9"/>
          </w:tcPr>
          <w:p>
            <w:r>
              <w:t>$300</w:t>
            </w:r>
          </w:p>
        </w:tc>
        <w:tc>
          <w:tcPr>
            <w:tcW w:type="dxa" w:w="2448"/>
            <w:vAlign w:val="center"/>
            <w:shd w:fill="F1F5F9"/>
          </w:tcPr>
          <w:p>
            <w:r>
              <w:t>$200</w:t>
            </w:r>
          </w:p>
        </w:tc>
        <w:tc>
          <w:tcPr>
            <w:tcW w:type="dxa" w:w="2160"/>
            <w:vAlign w:val="center"/>
            <w:shd w:fill="F1F5F9"/>
          </w:tcPr>
          <w:p>
            <w:r>
              <w:t>$500</w:t>
            </w:r>
          </w:p>
        </w:tc>
      </w:tr>
      <w:tr>
        <w:tc>
          <w:tcPr>
            <w:tcW w:type="dxa" w:w="3024"/>
            <w:vAlign w:val="center"/>
          </w:tcPr>
          <w:p>
            <w:r>
              <w:t>B deposits after performance</w:t>
            </w:r>
          </w:p>
        </w:tc>
        <w:tc>
          <w:tcPr>
            <w:tcW w:type="dxa" w:w="2016"/>
            <w:vAlign w:val="center"/>
          </w:tcPr>
          <w:p>
            <w:r>
              <w:t>$0</w:t>
            </w:r>
          </w:p>
        </w:tc>
        <w:tc>
          <w:tcPr>
            <w:tcW w:type="dxa" w:w="2448"/>
            <w:vAlign w:val="center"/>
          </w:tcPr>
          <w:p>
            <w:r>
              <w:t>$1,050 = 100 units</w:t>
            </w:r>
          </w:p>
        </w:tc>
        <w:tc>
          <w:tcPr>
            <w:tcW w:type="dxa" w:w="2160"/>
            <w:vAlign w:val="center"/>
          </w:tcPr>
          <w:p>
            <w:r>
              <w:t>$1,050 net flow</w:t>
            </w:r>
          </w:p>
        </w:tc>
      </w:tr>
      <w:tr>
        <w:tc>
          <w:tcPr>
            <w:tcW w:type="dxa" w:w="3024"/>
            <w:vAlign w:val="center"/>
            <w:shd w:fill="F1F5F9"/>
          </w:tcPr>
          <w:p>
            <w:r>
              <w:t>Closing units</w:t>
            </w:r>
          </w:p>
        </w:tc>
        <w:tc>
          <w:tcPr>
            <w:tcW w:type="dxa" w:w="2016"/>
            <w:vAlign w:val="center"/>
            <w:shd w:fill="F1F5F9"/>
          </w:tcPr>
          <w:p>
            <w:r>
              <w:t>600</w:t>
            </w:r>
          </w:p>
        </w:tc>
        <w:tc>
          <w:tcPr>
            <w:tcW w:type="dxa" w:w="2448"/>
            <w:vAlign w:val="center"/>
            <w:shd w:fill="F1F5F9"/>
          </w:tcPr>
          <w:p>
            <w:r>
              <w:t>500</w:t>
            </w:r>
          </w:p>
        </w:tc>
        <w:tc>
          <w:tcPr>
            <w:tcW w:type="dxa" w:w="2160"/>
            <w:vAlign w:val="center"/>
            <w:shd w:fill="F1F5F9"/>
          </w:tcPr>
          <w:p>
            <w:r>
              <w:t>1,100</w:t>
            </w:r>
          </w:p>
        </w:tc>
      </w:tr>
      <w:tr>
        <w:tc>
          <w:tcPr>
            <w:tcW w:type="dxa" w:w="3024"/>
            <w:vAlign w:val="center"/>
          </w:tcPr>
          <w:p>
            <w:r>
              <w:t>Next-day ownership</w:t>
            </w:r>
          </w:p>
        </w:tc>
        <w:tc>
          <w:tcPr>
            <w:tcW w:type="dxa" w:w="2016"/>
            <w:vAlign w:val="center"/>
          </w:tcPr>
          <w:p>
            <w:r>
              <w:t>54.545%</w:t>
            </w:r>
          </w:p>
        </w:tc>
        <w:tc>
          <w:tcPr>
            <w:tcW w:type="dxa" w:w="2448"/>
            <w:vAlign w:val="center"/>
          </w:tcPr>
          <w:p>
            <w:r>
              <w:t>45.455%</w:t>
            </w:r>
          </w:p>
        </w:tc>
        <w:tc>
          <w:tcPr>
            <w:tcW w:type="dxa" w:w="2160"/>
            <w:vAlign w:val="center"/>
          </w:tcPr>
          <w:p>
            <w:r>
              <w:t>100%</w:t>
            </w:r>
          </w:p>
        </w:tc>
      </w:tr>
    </w:tbl>
    <w:p/>
    <w:p>
      <w:r>
        <w:t>The $1,050 deposit is not part of the $500 daily P&amp;L. It changes B's units and the next day's ownership percentage only.</w:t>
      </w:r>
    </w:p>
    <w:p>
      <w:pPr>
        <w:pStyle w:val="Heading1"/>
      </w:pPr>
      <w:r>
        <w:t>5. Period performance</w:t>
      </w:r>
    </w:p>
    <w:p>
      <w:pPr>
        <w:pStyle w:val="Heading2"/>
      </w:pPr>
      <w:r>
        <w:t>5.1 Total dollar P&amp;L</w:t>
      </w:r>
    </w:p>
    <w:p>
      <w:pPr>
        <w:pStyle w:val="IntenseQuote"/>
        <w:jc w:val="center"/>
      </w:pPr>
      <w:r>
        <w:rPr>
          <w:rFonts w:ascii="Consolas" w:hAnsi="Consolas"/>
          <w:sz w:val="21"/>
        </w:rPr>
        <w:t>Total dollar P&amp;L = Σ Investor daily P&amp;L for every snapshot day in the period</w:t>
      </w:r>
    </w:p>
    <w:p>
      <w:r>
        <w:t>This answers: “How many dollars of investment performance were attributed to this investor during the selected dates?”</w:t>
      </w:r>
    </w:p>
    <w:p>
      <w:pPr>
        <w:pStyle w:val="Heading2"/>
      </w:pPr>
      <w:r>
        <w:t>5.2 Daily and compounded returns</w:t>
      </w:r>
    </w:p>
    <w:p>
      <w:pPr>
        <w:pStyle w:val="IntenseQuote"/>
        <w:jc w:val="center"/>
      </w:pPr>
      <w:r>
        <w:rPr>
          <w:rFonts w:ascii="Consolas" w:hAnsi="Consolas"/>
          <w:sz w:val="21"/>
        </w:rPr>
        <w:t>Daily portfolio return = Daily P&amp;L ÷ Opening portfolio value</w:t>
      </w:r>
    </w:p>
    <w:p>
      <w:pPr>
        <w:pStyle w:val="IntenseQuote"/>
        <w:jc w:val="center"/>
      </w:pPr>
      <w:r>
        <w:rPr>
          <w:rFonts w:ascii="Consolas" w:hAnsi="Consolas"/>
          <w:sz w:val="21"/>
        </w:rPr>
        <w:t>Compounded period return = [Π (1 + Daily return) − 1] × 100%</w:t>
      </w:r>
    </w:p>
    <w:p>
      <w:r>
        <w:t>This is a flow-neutral, time-weighted style return. It is preferable to simply dividing final profit by deposits because it does not treat investor cash contributions as investment gains.</w:t>
      </w:r>
    </w:p>
    <w:p>
      <w:pPr>
        <w:pStyle w:val="Heading2"/>
      </w:pPr>
      <w:r>
        <w:t>5.3 Compounding example</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1440"/>
            <w:shd w:fill="1D4ED8"/>
          </w:tcPr>
          <w:p>
            <w:r>
              <w:rPr>
                <w:b/>
                <w:color w:val="FFFFFF"/>
              </w:rPr>
              <w:t>Day</w:t>
            </w:r>
          </w:p>
        </w:tc>
        <w:tc>
          <w:tcPr>
            <w:tcW w:type="dxa" w:w="3168"/>
            <w:shd w:fill="1D4ED8"/>
          </w:tcPr>
          <w:p>
            <w:r>
              <w:rPr>
                <w:b/>
                <w:color w:val="FFFFFF"/>
              </w:rPr>
              <w:t>Opening value</w:t>
            </w:r>
          </w:p>
        </w:tc>
        <w:tc>
          <w:tcPr>
            <w:tcW w:type="dxa" w:w="2592"/>
            <w:shd w:fill="1D4ED8"/>
          </w:tcPr>
          <w:p>
            <w:r>
              <w:rPr>
                <w:b/>
                <w:color w:val="FFFFFF"/>
              </w:rPr>
              <w:t>Daily P&amp;L</w:t>
            </w:r>
          </w:p>
        </w:tc>
        <w:tc>
          <w:tcPr>
            <w:tcW w:type="dxa" w:w="2160"/>
            <w:shd w:fill="1D4ED8"/>
          </w:tcPr>
          <w:p>
            <w:r>
              <w:rPr>
                <w:b/>
                <w:color w:val="FFFFFF"/>
              </w:rPr>
              <w:t>Daily return</w:t>
            </w:r>
          </w:p>
        </w:tc>
      </w:tr>
      <w:tr>
        <w:tc>
          <w:tcPr>
            <w:tcW w:type="dxa" w:w="1440"/>
            <w:vAlign w:val="center"/>
          </w:tcPr>
          <w:p>
            <w:r>
              <w:t>1</w:t>
            </w:r>
          </w:p>
        </w:tc>
        <w:tc>
          <w:tcPr>
            <w:tcW w:type="dxa" w:w="3168"/>
            <w:vAlign w:val="center"/>
          </w:tcPr>
          <w:p>
            <w:r>
              <w:t>$10,000</w:t>
            </w:r>
          </w:p>
        </w:tc>
        <w:tc>
          <w:tcPr>
            <w:tcW w:type="dxa" w:w="2592"/>
            <w:vAlign w:val="center"/>
          </w:tcPr>
          <w:p>
            <w:r>
              <w:t>+$200</w:t>
            </w:r>
          </w:p>
        </w:tc>
        <w:tc>
          <w:tcPr>
            <w:tcW w:type="dxa" w:w="2160"/>
            <w:vAlign w:val="center"/>
          </w:tcPr>
          <w:p>
            <w:r>
              <w:t>+2.00%</w:t>
            </w:r>
          </w:p>
        </w:tc>
      </w:tr>
      <w:tr>
        <w:tc>
          <w:tcPr>
            <w:tcW w:type="dxa" w:w="1440"/>
            <w:vAlign w:val="center"/>
            <w:shd w:fill="F1F5F9"/>
          </w:tcPr>
          <w:p>
            <w:r>
              <w:t>2</w:t>
            </w:r>
          </w:p>
        </w:tc>
        <w:tc>
          <w:tcPr>
            <w:tcW w:type="dxa" w:w="3168"/>
            <w:vAlign w:val="center"/>
            <w:shd w:fill="F1F5F9"/>
          </w:tcPr>
          <w:p>
            <w:r>
              <w:t>$15,300 after a $5,100 flow</w:t>
            </w:r>
          </w:p>
        </w:tc>
        <w:tc>
          <w:tcPr>
            <w:tcW w:type="dxa" w:w="2592"/>
            <w:vAlign w:val="center"/>
            <w:shd w:fill="F1F5F9"/>
          </w:tcPr>
          <w:p>
            <w:r>
              <w:t>−$153</w:t>
            </w:r>
          </w:p>
        </w:tc>
        <w:tc>
          <w:tcPr>
            <w:tcW w:type="dxa" w:w="2160"/>
            <w:vAlign w:val="center"/>
            <w:shd w:fill="F1F5F9"/>
          </w:tcPr>
          <w:p>
            <w:r>
              <w:t>−1.00%</w:t>
            </w:r>
          </w:p>
        </w:tc>
      </w:tr>
    </w:tbl>
    <w:p/>
    <w:p>
      <w:pPr>
        <w:pStyle w:val="IntenseQuote"/>
        <w:jc w:val="center"/>
      </w:pPr>
      <w:r>
        <w:rPr>
          <w:rFonts w:ascii="Consolas" w:hAnsi="Consolas"/>
          <w:sz w:val="21"/>
        </w:rPr>
        <w:t>Period return = (1.02 × 0.99 − 1) × 100% = +0.98%</w:t>
      </w:r>
    </w:p>
    <w:p>
      <w:r>
        <w:t>The $5,100 deposit changes invested capital but is not counted as return.</w:t>
      </w:r>
    </w:p>
    <w:p>
      <w:pPr>
        <w:pStyle w:val="Heading2"/>
      </w:pPr>
      <w:r>
        <w:t>5.4 Fund-level return</w:t>
      </w:r>
    </w:p>
    <w:p>
      <w:pPr>
        <w:pStyle w:val="IntenseQuote"/>
        <w:jc w:val="center"/>
      </w:pPr>
      <w:r>
        <w:rPr>
          <w:rFonts w:ascii="Consolas" w:hAnsi="Consolas"/>
          <w:sz w:val="21"/>
        </w:rPr>
        <w:t>Fund daily return = Fund daily P&amp;L ÷ Fund opening assets</w:t>
      </w:r>
    </w:p>
    <w:p>
      <w:pPr>
        <w:pStyle w:val="IntenseQuote"/>
        <w:jc w:val="center"/>
      </w:pPr>
      <w:r>
        <w:rPr>
          <w:rFonts w:ascii="Consolas" w:hAnsi="Consolas"/>
          <w:sz w:val="21"/>
        </w:rPr>
        <w:t>Fund period return = [Π (1 + Fund daily return) − 1] × 100%</w:t>
      </w:r>
    </w:p>
    <w:p>
      <w:r>
        <w:br w:type="page"/>
      </w:r>
    </w:p>
    <w:p>
      <w:pPr>
        <w:pStyle w:val="Heading1"/>
      </w:pPr>
      <w:r>
        <w:t>6. Realized and unrealized stock-trading P&amp;L</w:t>
      </w:r>
    </w:p>
    <w:p>
      <w:pPr>
        <w:pStyle w:val="Heading2"/>
      </w:pPr>
      <w:r>
        <w:t>6.1 FIFO realized P&amp;L</w:t>
      </w:r>
    </w:p>
    <w:p>
      <w:r>
        <w:t>When shares are sold, FundInv reconstructs the unconsumed buy lots for the same investor, symbol and optional fund. Historical sells are consumed once from the oldest buys, then the new sale is matched oldest-first.</w:t>
      </w:r>
    </w:p>
    <w:p>
      <w:pPr>
        <w:pStyle w:val="IntenseQuote"/>
        <w:jc w:val="center"/>
      </w:pPr>
      <w:r>
        <w:rPr>
          <w:rFonts w:ascii="Consolas" w:hAnsi="Consolas"/>
          <w:sz w:val="21"/>
        </w:rPr>
        <w:t>Gross realized P&amp;L = Σ [(Sell price − Matched buy price) × Matched quantity]</w:t>
      </w:r>
    </w:p>
    <w:p>
      <w:pPr>
        <w:pStyle w:val="IntenseQuote"/>
        <w:jc w:val="center"/>
      </w:pPr>
      <w:r>
        <w:rPr>
          <w:rFonts w:ascii="Consolas" w:hAnsi="Consolas"/>
          <w:sz w:val="21"/>
        </w:rPr>
        <w:t>Net realized P&amp;L = Gross realized P&amp;L − Commission − Fee − Swap</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592"/>
            <w:shd w:fill="1D4ED8"/>
          </w:tcPr>
          <w:p>
            <w:r>
              <w:rPr>
                <w:b/>
                <w:color w:val="FFFFFF"/>
              </w:rPr>
              <w:t>Lot/action</w:t>
            </w:r>
          </w:p>
        </w:tc>
        <w:tc>
          <w:tcPr>
            <w:tcW w:type="dxa" w:w="1728"/>
            <w:shd w:fill="1D4ED8"/>
          </w:tcPr>
          <w:p>
            <w:r>
              <w:rPr>
                <w:b/>
                <w:color w:val="FFFFFF"/>
              </w:rPr>
              <w:t>Quantity</w:t>
            </w:r>
          </w:p>
        </w:tc>
        <w:tc>
          <w:tcPr>
            <w:tcW w:type="dxa" w:w="2016"/>
            <w:shd w:fill="1D4ED8"/>
          </w:tcPr>
          <w:p>
            <w:r>
              <w:rPr>
                <w:b/>
                <w:color w:val="FFFFFF"/>
              </w:rPr>
              <w:t>Price</w:t>
            </w:r>
          </w:p>
        </w:tc>
        <w:tc>
          <w:tcPr>
            <w:tcW w:type="dxa" w:w="3600"/>
            <w:shd w:fill="1D4ED8"/>
          </w:tcPr>
          <w:p>
            <w:r>
              <w:rPr>
                <w:b/>
                <w:color w:val="FFFFFF"/>
              </w:rPr>
              <w:t>FIFO effect</w:t>
            </w:r>
          </w:p>
        </w:tc>
      </w:tr>
      <w:tr>
        <w:tc>
          <w:tcPr>
            <w:tcW w:type="dxa" w:w="2592"/>
            <w:vAlign w:val="center"/>
          </w:tcPr>
          <w:p>
            <w:r>
              <w:t>Buy lot 1</w:t>
            </w:r>
          </w:p>
        </w:tc>
        <w:tc>
          <w:tcPr>
            <w:tcW w:type="dxa" w:w="1728"/>
            <w:vAlign w:val="center"/>
          </w:tcPr>
          <w:p>
            <w:r>
              <w:t>10</w:t>
            </w:r>
          </w:p>
        </w:tc>
        <w:tc>
          <w:tcPr>
            <w:tcW w:type="dxa" w:w="2016"/>
            <w:vAlign w:val="center"/>
          </w:tcPr>
          <w:p>
            <w:r>
              <w:t>$100</w:t>
            </w:r>
          </w:p>
        </w:tc>
        <w:tc>
          <w:tcPr>
            <w:tcW w:type="dxa" w:w="3600"/>
            <w:vAlign w:val="center"/>
          </w:tcPr>
          <w:p>
            <w:r>
              <w:t>Oldest lot</w:t>
            </w:r>
          </w:p>
        </w:tc>
      </w:tr>
      <w:tr>
        <w:tc>
          <w:tcPr>
            <w:tcW w:type="dxa" w:w="2592"/>
            <w:vAlign w:val="center"/>
            <w:shd w:fill="F1F5F9"/>
          </w:tcPr>
          <w:p>
            <w:r>
              <w:t>Buy lot 2</w:t>
            </w:r>
          </w:p>
        </w:tc>
        <w:tc>
          <w:tcPr>
            <w:tcW w:type="dxa" w:w="1728"/>
            <w:vAlign w:val="center"/>
            <w:shd w:fill="F1F5F9"/>
          </w:tcPr>
          <w:p>
            <w:r>
              <w:t>5</w:t>
            </w:r>
          </w:p>
        </w:tc>
        <w:tc>
          <w:tcPr>
            <w:tcW w:type="dxa" w:w="2016"/>
            <w:vAlign w:val="center"/>
            <w:shd w:fill="F1F5F9"/>
          </w:tcPr>
          <w:p>
            <w:r>
              <w:t>$120</w:t>
            </w:r>
          </w:p>
        </w:tc>
        <w:tc>
          <w:tcPr>
            <w:tcW w:type="dxa" w:w="3600"/>
            <w:vAlign w:val="center"/>
            <w:shd w:fill="F1F5F9"/>
          </w:tcPr>
          <w:p>
            <w:r>
              <w:t>Second lot</w:t>
            </w:r>
          </w:p>
        </w:tc>
      </w:tr>
      <w:tr>
        <w:tc>
          <w:tcPr>
            <w:tcW w:type="dxa" w:w="2592"/>
            <w:vAlign w:val="center"/>
          </w:tcPr>
          <w:p>
            <w:r>
              <w:t>Sell</w:t>
            </w:r>
          </w:p>
        </w:tc>
        <w:tc>
          <w:tcPr>
            <w:tcW w:type="dxa" w:w="1728"/>
            <w:vAlign w:val="center"/>
          </w:tcPr>
          <w:p>
            <w:r>
              <w:t>12</w:t>
            </w:r>
          </w:p>
        </w:tc>
        <w:tc>
          <w:tcPr>
            <w:tcW w:type="dxa" w:w="2016"/>
            <w:vAlign w:val="center"/>
          </w:tcPr>
          <w:p>
            <w:r>
              <w:t>$130</w:t>
            </w:r>
          </w:p>
        </w:tc>
        <w:tc>
          <w:tcPr>
            <w:tcW w:type="dxa" w:w="3600"/>
            <w:vAlign w:val="center"/>
          </w:tcPr>
          <w:p>
            <w:r>
              <w:t>Matches 10 from lot 1 and 2 from lot 2</w:t>
            </w:r>
          </w:p>
        </w:tc>
      </w:tr>
      <w:tr>
        <w:tc>
          <w:tcPr>
            <w:tcW w:type="dxa" w:w="2592"/>
            <w:vAlign w:val="center"/>
            <w:shd w:fill="F1F5F9"/>
          </w:tcPr>
          <w:p>
            <w:r>
              <w:t>Profit on lot 1</w:t>
            </w:r>
          </w:p>
        </w:tc>
        <w:tc>
          <w:tcPr>
            <w:tcW w:type="dxa" w:w="1728"/>
            <w:vAlign w:val="center"/>
            <w:shd w:fill="F1F5F9"/>
          </w:tcPr>
          <w:p>
            <w:r>
              <w:t>10</w:t>
            </w:r>
          </w:p>
        </w:tc>
        <w:tc>
          <w:tcPr>
            <w:tcW w:type="dxa" w:w="2016"/>
            <w:vAlign w:val="center"/>
            <w:shd w:fill="F1F5F9"/>
          </w:tcPr>
          <w:p>
            <w:r>
              <w:t>$30 spread</w:t>
            </w:r>
          </w:p>
        </w:tc>
        <w:tc>
          <w:tcPr>
            <w:tcW w:type="dxa" w:w="3600"/>
            <w:vAlign w:val="center"/>
            <w:shd w:fill="F1F5F9"/>
          </w:tcPr>
          <w:p>
            <w:r>
              <w:t>$300</w:t>
            </w:r>
          </w:p>
        </w:tc>
      </w:tr>
      <w:tr>
        <w:tc>
          <w:tcPr>
            <w:tcW w:type="dxa" w:w="2592"/>
            <w:vAlign w:val="center"/>
          </w:tcPr>
          <w:p>
            <w:r>
              <w:t>Profit on lot 2</w:t>
            </w:r>
          </w:p>
        </w:tc>
        <w:tc>
          <w:tcPr>
            <w:tcW w:type="dxa" w:w="1728"/>
            <w:vAlign w:val="center"/>
          </w:tcPr>
          <w:p>
            <w:r>
              <w:t>2</w:t>
            </w:r>
          </w:p>
        </w:tc>
        <w:tc>
          <w:tcPr>
            <w:tcW w:type="dxa" w:w="2016"/>
            <w:vAlign w:val="center"/>
          </w:tcPr>
          <w:p>
            <w:r>
              <w:t>$10 spread</w:t>
            </w:r>
          </w:p>
        </w:tc>
        <w:tc>
          <w:tcPr>
            <w:tcW w:type="dxa" w:w="3600"/>
            <w:vAlign w:val="center"/>
          </w:tcPr>
          <w:p>
            <w:r>
              <w:t>$20</w:t>
            </w:r>
          </w:p>
        </w:tc>
      </w:tr>
      <w:tr>
        <w:tc>
          <w:tcPr>
            <w:tcW w:type="dxa" w:w="2592"/>
            <w:vAlign w:val="center"/>
            <w:shd w:fill="F1F5F9"/>
          </w:tcPr>
          <w:p>
            <w:r>
              <w:t>Gross realized P&amp;L</w:t>
            </w:r>
          </w:p>
        </w:tc>
        <w:tc>
          <w:tcPr>
            <w:tcW w:type="dxa" w:w="1728"/>
            <w:vAlign w:val="center"/>
            <w:shd w:fill="F1F5F9"/>
          </w:tcPr>
          <w:p>
            <w:r>
              <w:t>12</w:t>
            </w:r>
          </w:p>
        </w:tc>
        <w:tc>
          <w:tcPr>
            <w:tcW w:type="dxa" w:w="2016"/>
            <w:vAlign w:val="center"/>
            <w:shd w:fill="F1F5F9"/>
          </w:tcPr>
          <w:p>
            <w:r>
              <w:t>—</w:t>
            </w:r>
          </w:p>
        </w:tc>
        <w:tc>
          <w:tcPr>
            <w:tcW w:type="dxa" w:w="3600"/>
            <w:vAlign w:val="center"/>
            <w:shd w:fill="F1F5F9"/>
          </w:tcPr>
          <w:p>
            <w:r>
              <w:t>$320 before charges</w:t>
            </w:r>
          </w:p>
        </w:tc>
      </w:tr>
      <w:tr>
        <w:tc>
          <w:tcPr>
            <w:tcW w:type="dxa" w:w="2592"/>
            <w:vAlign w:val="center"/>
          </w:tcPr>
          <w:p>
            <w:r>
              <w:t>Remaining open lot</w:t>
            </w:r>
          </w:p>
        </w:tc>
        <w:tc>
          <w:tcPr>
            <w:tcW w:type="dxa" w:w="1728"/>
            <w:vAlign w:val="center"/>
          </w:tcPr>
          <w:p>
            <w:r>
              <w:t>3</w:t>
            </w:r>
          </w:p>
        </w:tc>
        <w:tc>
          <w:tcPr>
            <w:tcW w:type="dxa" w:w="2016"/>
            <w:vAlign w:val="center"/>
          </w:tcPr>
          <w:p>
            <w:r>
              <w:t>$120</w:t>
            </w:r>
          </w:p>
        </w:tc>
        <w:tc>
          <w:tcPr>
            <w:tcW w:type="dxa" w:w="3600"/>
            <w:vAlign w:val="center"/>
          </w:tcPr>
          <w:p>
            <w:r>
              <w:t>$360 remaining cost</w:t>
            </w:r>
          </w:p>
        </w:tc>
      </w:tr>
    </w:tbl>
    <w:p/>
    <w:p>
      <w:pPr>
        <w:pStyle w:val="Heading2"/>
      </w:pPr>
      <w:r>
        <w:t>6.2 Live unrealized P&amp;L</w:t>
      </w:r>
    </w:p>
    <w:p>
      <w:r>
        <w:t>Alpaca is one omnibus paper account, so FundInv does not assign the entire Alpaca position to one investor. It reconstructs each investor's remaining quantity and cost from that investor's local transaction ledger, then uses only Alpaca's current market price.</w:t>
      </w:r>
    </w:p>
    <w:p>
      <w:pPr>
        <w:pStyle w:val="IntenseQuote"/>
        <w:jc w:val="center"/>
      </w:pPr>
      <w:r>
        <w:rPr>
          <w:rFonts w:ascii="Consolas" w:hAnsi="Consolas"/>
          <w:sz w:val="21"/>
        </w:rPr>
        <w:t>Local average entry price = Remaining local cost ÷ Remaining local quantity</w:t>
      </w:r>
    </w:p>
    <w:p>
      <w:pPr>
        <w:pStyle w:val="IntenseQuote"/>
        <w:jc w:val="center"/>
      </w:pPr>
      <w:r>
        <w:rPr>
          <w:rFonts w:ascii="Consolas" w:hAnsi="Consolas"/>
          <w:sz w:val="21"/>
        </w:rPr>
        <w:t>Unrealized P&amp;L = Local quantity × Current price − Remaining local cost</w:t>
      </w:r>
    </w:p>
    <w:p>
      <w:pPr>
        <w:pStyle w:val="IntenseQuote"/>
        <w:jc w:val="center"/>
      </w:pPr>
      <w:r>
        <w:rPr>
          <w:rFonts w:ascii="Consolas" w:hAnsi="Consolas"/>
          <w:sz w:val="21"/>
        </w:rPr>
        <w:t>Unrealized P&amp;L % = Unrealized P&amp;L ÷ Remaining local cost × 100%</w:t>
      </w:r>
    </w:p>
    <w:p>
      <w:pPr>
        <w:pStyle w:val="Heading2"/>
      </w:pPr>
      <w:r>
        <w:t>6.3 Reporting distinction</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160"/>
            <w:shd w:fill="1D4ED8"/>
          </w:tcPr>
          <w:p>
            <w:r>
              <w:rPr>
                <w:b/>
                <w:color w:val="FFFFFF"/>
              </w:rPr>
              <w:t>Metric</w:t>
            </w:r>
          </w:p>
        </w:tc>
        <w:tc>
          <w:tcPr>
            <w:tcW w:type="dxa" w:w="4752"/>
            <w:shd w:fill="1D4ED8"/>
          </w:tcPr>
          <w:p>
            <w:r>
              <w:rPr>
                <w:b/>
                <w:color w:val="FFFFFF"/>
              </w:rPr>
              <w:t>Meaning</w:t>
            </w:r>
          </w:p>
        </w:tc>
        <w:tc>
          <w:tcPr>
            <w:tcW w:type="dxa" w:w="2592"/>
            <w:shd w:fill="1D4ED8"/>
          </w:tcPr>
          <w:p>
            <w:r>
              <w:rPr>
                <w:b/>
                <w:color w:val="FFFFFF"/>
              </w:rPr>
              <w:t>Source</w:t>
            </w:r>
          </w:p>
        </w:tc>
      </w:tr>
      <w:tr>
        <w:tc>
          <w:tcPr>
            <w:tcW w:type="dxa" w:w="2160"/>
            <w:vAlign w:val="center"/>
          </w:tcPr>
          <w:p>
            <w:r>
              <w:t>Period realized P&amp;L</w:t>
            </w:r>
          </w:p>
        </w:tc>
        <w:tc>
          <w:tcPr>
            <w:tcW w:type="dxa" w:w="4752"/>
            <w:vAlign w:val="center"/>
          </w:tcPr>
          <w:p>
            <w:r>
              <w:t>Net P&amp;L on sell transactions within the requested dates.</w:t>
            </w:r>
          </w:p>
        </w:tc>
        <w:tc>
          <w:tcPr>
            <w:tcW w:type="dxa" w:w="2592"/>
            <w:vAlign w:val="center"/>
          </w:tcPr>
          <w:p>
            <w:r>
              <w:t>investment_transactions</w:t>
            </w:r>
          </w:p>
        </w:tc>
      </w:tr>
      <w:tr>
        <w:tc>
          <w:tcPr>
            <w:tcW w:type="dxa" w:w="2160"/>
            <w:vAlign w:val="center"/>
            <w:shd w:fill="F1F5F9"/>
          </w:tcPr>
          <w:p>
            <w:r>
              <w:t>Period total P&amp;L</w:t>
            </w:r>
          </w:p>
        </w:tc>
        <w:tc>
          <w:tcPr>
            <w:tcW w:type="dxa" w:w="4752"/>
            <w:vAlign w:val="center"/>
            <w:shd w:fill="F1F5F9"/>
          </w:tcPr>
          <w:p>
            <w:r>
              <w:t>Sum of daily fund-attributed P&amp;L snapshots.</w:t>
            </w:r>
          </w:p>
        </w:tc>
        <w:tc>
          <w:tcPr>
            <w:tcW w:type="dxa" w:w="2592"/>
            <w:vAlign w:val="center"/>
            <w:shd w:fill="F1F5F9"/>
          </w:tcPr>
          <w:p>
            <w:r>
              <w:t>portfolio_holdings</w:t>
            </w:r>
          </w:p>
        </w:tc>
      </w:tr>
      <w:tr>
        <w:tc>
          <w:tcPr>
            <w:tcW w:type="dxa" w:w="2160"/>
            <w:vAlign w:val="center"/>
          </w:tcPr>
          <w:p>
            <w:r>
              <w:t>Period unrealized field</w:t>
            </w:r>
          </w:p>
        </w:tc>
        <w:tc>
          <w:tcPr>
            <w:tcW w:type="dxa" w:w="4752"/>
            <w:vAlign w:val="center"/>
          </w:tcPr>
          <w:p>
            <w:r>
              <w:t>Period total P&amp;L minus period realized P&amp;L in the period report.</w:t>
            </w:r>
          </w:p>
        </w:tc>
        <w:tc>
          <w:tcPr>
            <w:tcW w:type="dxa" w:w="2592"/>
            <w:vAlign w:val="center"/>
          </w:tcPr>
          <w:p>
            <w:r>
              <w:t>Derived report field</w:t>
            </w:r>
          </w:p>
        </w:tc>
      </w:tr>
      <w:tr>
        <w:tc>
          <w:tcPr>
            <w:tcW w:type="dxa" w:w="2160"/>
            <w:vAlign w:val="center"/>
            <w:shd w:fill="F1F5F9"/>
          </w:tcPr>
          <w:p>
            <w:r>
              <w:t>Live unrealized P&amp;L</w:t>
            </w:r>
          </w:p>
        </w:tc>
        <w:tc>
          <w:tcPr>
            <w:tcW w:type="dxa" w:w="4752"/>
            <w:vAlign w:val="center"/>
            <w:shd w:fill="F1F5F9"/>
          </w:tcPr>
          <w:p>
            <w:r>
              <w:t>Current market value minus remaining local stock cost.</w:t>
            </w:r>
          </w:p>
        </w:tc>
        <w:tc>
          <w:tcPr>
            <w:tcW w:type="dxa" w:w="2592"/>
            <w:vAlign w:val="center"/>
            <w:shd w:fill="F1F5F9"/>
          </w:tcPr>
          <w:p>
            <w:r>
              <w:t>Local lots + Alpaca prices</w:t>
            </w:r>
          </w:p>
        </w:tc>
      </w:tr>
    </w:tbl>
    <w:p/>
    <w:p>
      <w:r>
        <w:t>These two unrealized concepts should not be confused: the dashboard period card is a period decomposition, while the positions table presents current open-position unrealized P&amp;L.</w:t>
      </w:r>
    </w:p>
    <w:p>
      <w:pPr>
        <w:pStyle w:val="Heading1"/>
      </w:pPr>
      <w:r>
        <w:t>7. Manager performance attribution and what-if analysis</w:t>
      </w:r>
    </w:p>
    <w:p>
      <w:pPr>
        <w:pStyle w:val="IntenseQuote"/>
        <w:jc w:val="center"/>
      </w:pPr>
      <w:r>
        <w:rPr>
          <w:rFonts w:ascii="Consolas" w:hAnsi="Consolas"/>
          <w:sz w:val="21"/>
        </w:rPr>
        <w:t>Actual fund weight = Fund market value ÷ Total managed-fund market value × 100%</w:t>
      </w:r>
    </w:p>
    <w:p>
      <w:pPr>
        <w:pStyle w:val="IntenseQuote"/>
        <w:jc w:val="center"/>
      </w:pPr>
      <w:r>
        <w:rPr>
          <w:rFonts w:ascii="Consolas" w:hAnsi="Consolas"/>
          <w:sz w:val="21"/>
        </w:rPr>
        <w:t>Fund contribution = Actual weight × Fund period return ÷ 100</w:t>
      </w:r>
    </w:p>
    <w:p>
      <w:pPr>
        <w:pStyle w:val="IntenseQuote"/>
        <w:jc w:val="center"/>
      </w:pPr>
      <w:r>
        <w:rPr>
          <w:rFonts w:ascii="Consolas" w:hAnsi="Consolas"/>
          <w:sz w:val="21"/>
        </w:rPr>
        <w:t>Manager portfolio return = Σ Fund contributions</w:t>
      </w:r>
    </w:p>
    <w:p>
      <w:r>
        <w:t>The what-if tool applies the same contribution equation to manager-entered weights. The weights must total 100%, each fund may appear once, and only that manager's funds are accepted. It is scenario analysis; it does not place trades or alter positions.</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880"/>
            <w:shd w:fill="1D4ED8"/>
          </w:tcPr>
          <w:p>
            <w:r>
              <w:rPr>
                <w:b/>
                <w:color w:val="FFFFFF"/>
              </w:rPr>
              <w:t>Fund</w:t>
            </w:r>
          </w:p>
        </w:tc>
        <w:tc>
          <w:tcPr>
            <w:tcW w:type="dxa" w:w="1872"/>
            <w:shd w:fill="1D4ED8"/>
          </w:tcPr>
          <w:p>
            <w:r>
              <w:rPr>
                <w:b/>
                <w:color w:val="FFFFFF"/>
              </w:rPr>
              <w:t>Weight</w:t>
            </w:r>
          </w:p>
        </w:tc>
        <w:tc>
          <w:tcPr>
            <w:tcW w:type="dxa" w:w="2448"/>
            <w:shd w:fill="1D4ED8"/>
          </w:tcPr>
          <w:p>
            <w:r>
              <w:rPr>
                <w:b/>
                <w:color w:val="FFFFFF"/>
              </w:rPr>
              <w:t>Period return</w:t>
            </w:r>
          </w:p>
        </w:tc>
        <w:tc>
          <w:tcPr>
            <w:tcW w:type="dxa" w:w="2448"/>
            <w:shd w:fill="1D4ED8"/>
          </w:tcPr>
          <w:p>
            <w:r>
              <w:rPr>
                <w:b/>
                <w:color w:val="FFFFFF"/>
              </w:rPr>
              <w:t>Contribution</w:t>
            </w:r>
          </w:p>
        </w:tc>
      </w:tr>
      <w:tr>
        <w:tc>
          <w:tcPr>
            <w:tcW w:type="dxa" w:w="2880"/>
            <w:vAlign w:val="center"/>
          </w:tcPr>
          <w:p>
            <w:r>
              <w:t>Growth Fund</w:t>
            </w:r>
          </w:p>
        </w:tc>
        <w:tc>
          <w:tcPr>
            <w:tcW w:type="dxa" w:w="1872"/>
            <w:vAlign w:val="center"/>
          </w:tcPr>
          <w:p>
            <w:r>
              <w:t>60%</w:t>
            </w:r>
          </w:p>
        </w:tc>
        <w:tc>
          <w:tcPr>
            <w:tcW w:type="dxa" w:w="2448"/>
            <w:vAlign w:val="center"/>
          </w:tcPr>
          <w:p>
            <w:r>
              <w:t>+8%</w:t>
            </w:r>
          </w:p>
        </w:tc>
        <w:tc>
          <w:tcPr>
            <w:tcW w:type="dxa" w:w="2448"/>
            <w:vAlign w:val="center"/>
          </w:tcPr>
          <w:p>
            <w:r>
              <w:t>+4.8%</w:t>
            </w:r>
          </w:p>
        </w:tc>
      </w:tr>
      <w:tr>
        <w:tc>
          <w:tcPr>
            <w:tcW w:type="dxa" w:w="2880"/>
            <w:vAlign w:val="center"/>
            <w:shd w:fill="F1F5F9"/>
          </w:tcPr>
          <w:p>
            <w:r>
              <w:t>Income Fund</w:t>
            </w:r>
          </w:p>
        </w:tc>
        <w:tc>
          <w:tcPr>
            <w:tcW w:type="dxa" w:w="1872"/>
            <w:vAlign w:val="center"/>
            <w:shd w:fill="F1F5F9"/>
          </w:tcPr>
          <w:p>
            <w:r>
              <w:t>40%</w:t>
            </w:r>
          </w:p>
        </w:tc>
        <w:tc>
          <w:tcPr>
            <w:tcW w:type="dxa" w:w="2448"/>
            <w:vAlign w:val="center"/>
            <w:shd w:fill="F1F5F9"/>
          </w:tcPr>
          <w:p>
            <w:r>
              <w:t>+3%</w:t>
            </w:r>
          </w:p>
        </w:tc>
        <w:tc>
          <w:tcPr>
            <w:tcW w:type="dxa" w:w="2448"/>
            <w:vAlign w:val="center"/>
            <w:shd w:fill="F1F5F9"/>
          </w:tcPr>
          <w:p>
            <w:r>
              <w:t>+1.2%</w:t>
            </w:r>
          </w:p>
        </w:tc>
      </w:tr>
      <w:tr>
        <w:tc>
          <w:tcPr>
            <w:tcW w:type="dxa" w:w="2880"/>
            <w:vAlign w:val="center"/>
          </w:tcPr>
          <w:p>
            <w:r>
              <w:t>Total</w:t>
            </w:r>
          </w:p>
        </w:tc>
        <w:tc>
          <w:tcPr>
            <w:tcW w:type="dxa" w:w="1872"/>
            <w:vAlign w:val="center"/>
          </w:tcPr>
          <w:p>
            <w:r>
              <w:t>100%</w:t>
            </w:r>
          </w:p>
        </w:tc>
        <w:tc>
          <w:tcPr>
            <w:tcW w:type="dxa" w:w="2448"/>
            <w:vAlign w:val="center"/>
          </w:tcPr>
          <w:p>
            <w:r>
              <w:t>—</w:t>
            </w:r>
          </w:p>
        </w:tc>
        <w:tc>
          <w:tcPr>
            <w:tcW w:type="dxa" w:w="2448"/>
            <w:vAlign w:val="center"/>
          </w:tcPr>
          <w:p>
            <w:r>
              <w:t>+6.0%</w:t>
            </w:r>
          </w:p>
        </w:tc>
      </w:tr>
    </w:tbl>
    <w:p/>
    <w:p>
      <w:r>
        <w:br w:type="page"/>
      </w:r>
    </w:p>
    <w:p>
      <w:pPr>
        <w:pStyle w:val="Heading1"/>
      </w:pPr>
      <w:r>
        <w:t>8. How each role interacts with P&amp;L</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1440"/>
            <w:shd w:fill="1D4ED8"/>
          </w:tcPr>
          <w:p>
            <w:r>
              <w:rPr>
                <w:b/>
                <w:color w:val="FFFFFF"/>
              </w:rPr>
              <w:t>Role</w:t>
            </w:r>
          </w:p>
        </w:tc>
        <w:tc>
          <w:tcPr>
            <w:tcW w:type="dxa" w:w="3168"/>
            <w:shd w:fill="1D4ED8"/>
          </w:tcPr>
          <w:p>
            <w:r>
              <w:rPr>
                <w:b/>
                <w:color w:val="FFFFFF"/>
              </w:rPr>
              <w:t>Inputs/actions</w:t>
            </w:r>
          </w:p>
        </w:tc>
        <w:tc>
          <w:tcPr>
            <w:tcW w:type="dxa" w:w="3744"/>
            <w:shd w:fill="1D4ED8"/>
          </w:tcPr>
          <w:p>
            <w:r>
              <w:rPr>
                <w:b/>
                <w:color w:val="FFFFFF"/>
              </w:rPr>
              <w:t>What the role sees</w:t>
            </w:r>
          </w:p>
        </w:tc>
        <w:tc>
          <w:tcPr>
            <w:tcW w:type="dxa" w:w="3168"/>
            <w:shd w:fill="1D4ED8"/>
          </w:tcPr>
          <w:p>
            <w:r>
              <w:rPr>
                <w:b/>
                <w:color w:val="FFFFFF"/>
              </w:rPr>
              <w:t>Controls and boundaries</w:t>
            </w:r>
          </w:p>
        </w:tc>
      </w:tr>
      <w:tr>
        <w:tc>
          <w:tcPr>
            <w:tcW w:type="dxa" w:w="1440"/>
            <w:vAlign w:val="center"/>
          </w:tcPr>
          <w:p>
            <w:r>
              <w:t>Investor</w:t>
            </w:r>
          </w:p>
        </w:tc>
        <w:tc>
          <w:tcPr>
            <w:tcW w:type="dxa" w:w="3168"/>
            <w:vAlign w:val="center"/>
          </w:tcPr>
          <w:p>
            <w:r>
              <w:t>Selects account/fund; requests deposits and withdrawals; may buy/sell paper-traded assets; selects reporting dates.</w:t>
            </w:r>
          </w:p>
        </w:tc>
        <w:tc>
          <w:tcPr>
            <w:tcW w:type="dxa" w:w="3744"/>
            <w:vAlign w:val="center"/>
          </w:tcPr>
          <w:p>
            <w:r>
              <w:t>Today P&amp;L, YTD and monthly compounded return, custom-period dollar/realized/unrealized P&amp;L, fund positions, live stock unrealized P&amp;L, PDF report.</w:t>
            </w:r>
          </w:p>
        </w:tc>
        <w:tc>
          <w:tcPr>
            <w:tcW w:type="dxa" w:w="3168"/>
            <w:vAlign w:val="center"/>
          </w:tcPr>
          <w:p>
            <w:r>
              <w:t>Cannot approve or settle own flows; sees only own portfolio; cannot close a funded account.</w:t>
            </w:r>
          </w:p>
        </w:tc>
      </w:tr>
      <w:tr>
        <w:tc>
          <w:tcPr>
            <w:tcW w:type="dxa" w:w="1440"/>
            <w:vAlign w:val="center"/>
            <w:shd w:fill="F1F5F9"/>
          </w:tcPr>
          <w:p>
            <w:r>
              <w:t>Operations</w:t>
            </w:r>
          </w:p>
        </w:tc>
        <w:tc>
          <w:tcPr>
            <w:tcW w:type="dxa" w:w="3168"/>
            <w:vAlign w:val="center"/>
            <w:shd w:fill="F1F5F9"/>
          </w:tcPr>
          <w:p>
            <w:r>
              <w:t>Approves/rejects fund flows and fund launches; monitors payment/payout lifecycle.</w:t>
            </w:r>
          </w:p>
        </w:tc>
        <w:tc>
          <w:tcPr>
            <w:tcW w:type="dxa" w:w="3744"/>
            <w:vAlign w:val="center"/>
            <w:shd w:fill="F1F5F9"/>
          </w:tcPr>
          <w:p>
            <w:r>
              <w:t>Flow amount, fund, account, currency, provider status and audit trail—not private investor performance analytics.</w:t>
            </w:r>
          </w:p>
        </w:tc>
        <w:tc>
          <w:tcPr>
            <w:tcW w:type="dxa" w:w="3168"/>
            <w:vAlign w:val="center"/>
            <w:shd w:fill="F1F5F9"/>
          </w:tcPr>
          <w:p>
            <w:r>
              <w:t>Approval is not profit or settlement. Provider confirmation is required before units change.</w:t>
            </w:r>
          </w:p>
        </w:tc>
      </w:tr>
      <w:tr>
        <w:tc>
          <w:tcPr>
            <w:tcW w:type="dxa" w:w="1440"/>
            <w:vAlign w:val="center"/>
          </w:tcPr>
          <w:p>
            <w:r>
              <w:t>Manager</w:t>
            </w:r>
          </w:p>
        </w:tc>
        <w:tc>
          <w:tcPr>
            <w:tcW w:type="dxa" w:w="3168"/>
            <w:vAlign w:val="center"/>
          </w:tcPr>
          <w:p>
            <w:r>
              <w:t>Creates fund composition; assigns eligible investors; executes authorised paper trades; chooses actual/what-if performance periods and weights.</w:t>
            </w:r>
          </w:p>
        </w:tc>
        <w:tc>
          <w:tcPr>
            <w:tcW w:type="dxa" w:w="3744"/>
            <w:vAlign w:val="center"/>
          </w:tcPr>
          <w:p>
            <w:r>
              <w:t>Managed-fund values, fund returns, contribution by fund, actual weighted return and hypothetical return.</w:t>
            </w:r>
          </w:p>
        </w:tc>
        <w:tc>
          <w:tcPr>
            <w:tcW w:type="dxa" w:w="3168"/>
            <w:vAlign w:val="center"/>
          </w:tcPr>
          <w:p>
            <w:r>
              <w:t>Only managed funds/assigned investors; what-if analysis is read-only and weights must total 100%.</w:t>
            </w:r>
          </w:p>
        </w:tc>
      </w:tr>
      <w:tr>
        <w:tc>
          <w:tcPr>
            <w:tcW w:type="dxa" w:w="1440"/>
            <w:vAlign w:val="center"/>
            <w:shd w:fill="F1F5F9"/>
          </w:tcPr>
          <w:p>
            <w:r>
              <w:t>Admin</w:t>
            </w:r>
          </w:p>
        </w:tc>
        <w:tc>
          <w:tcPr>
            <w:tcW w:type="dxa" w:w="3168"/>
            <w:vAlign w:val="center"/>
            <w:shd w:fill="F1F5F9"/>
          </w:tcPr>
          <w:p>
            <w:r>
              <w:t>Manages users, roles, investor-manager assignment, targeting and reconciliation.</w:t>
            </w:r>
          </w:p>
        </w:tc>
        <w:tc>
          <w:tcPr>
            <w:tcW w:type="dxa" w:w="3744"/>
            <w:vAlign w:val="center"/>
            <w:shd w:fill="F1F5F9"/>
          </w:tcPr>
          <w:p>
            <w:r>
              <w:t>Platform transactions, fund flows, orders and audit logs; operational oversight rather than an investor's private dashboard.</w:t>
            </w:r>
          </w:p>
        </w:tc>
        <w:tc>
          <w:tcPr>
            <w:tcW w:type="dxa" w:w="3168"/>
            <w:vAlign w:val="center"/>
            <w:shd w:fill="F1F5F9"/>
          </w:tcPr>
          <w:p>
            <w:r>
              <w:t>Does not manually manufacture P&amp;L; verifies records/providers and governs access.</w:t>
            </w:r>
          </w:p>
        </w:tc>
      </w:tr>
      <w:tr>
        <w:tc>
          <w:tcPr>
            <w:tcW w:type="dxa" w:w="1440"/>
            <w:vAlign w:val="center"/>
          </w:tcPr>
          <w:p>
            <w:r>
              <w:t>Scheduler/System</w:t>
            </w:r>
          </w:p>
        </w:tc>
        <w:tc>
          <w:tcPr>
            <w:tcW w:type="dxa" w:w="3168"/>
            <w:vAlign w:val="center"/>
          </w:tcPr>
          <w:p>
            <w:r>
              <w:t>Runs daily snapshots, reconciliation, cleanup and periodic reports.</w:t>
            </w:r>
          </w:p>
        </w:tc>
        <w:tc>
          <w:tcPr>
            <w:tcW w:type="dxa" w:w="3744"/>
            <w:vAlign w:val="center"/>
          </w:tcPr>
          <w:p>
            <w:r>
              <w:t>Writes valuations/holdings and audit records; sends scheduled summaries.</w:t>
            </w:r>
          </w:p>
        </w:tc>
        <w:tc>
          <w:tcPr>
            <w:tcW w:type="dxa" w:w="3168"/>
            <w:vAlign w:val="center"/>
          </w:tcPr>
          <w:p>
            <w:r>
              <w:t>Automatic rebalancing is excluded unless separately enabled. Settlement replay remains idempotent.</w:t>
            </w:r>
          </w:p>
        </w:tc>
      </w:tr>
    </w:tbl>
    <w:p/>
    <w:p>
      <w:pPr>
        <w:pStyle w:val="Heading1"/>
      </w:pPr>
      <w:r>
        <w:t>9. Data lineage and API flow</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3168"/>
            <w:shd w:fill="1D4ED8"/>
          </w:tcPr>
          <w:p>
            <w:r>
              <w:rPr>
                <w:b/>
                <w:color w:val="FFFFFF"/>
              </w:rPr>
              <w:t>Purpose</w:t>
            </w:r>
          </w:p>
        </w:tc>
        <w:tc>
          <w:tcPr>
            <w:tcW w:type="dxa" w:w="6912"/>
            <w:shd w:fill="1D4ED8"/>
          </w:tcPr>
          <w:p>
            <w:r>
              <w:rPr>
                <w:b/>
                <w:color w:val="FFFFFF"/>
              </w:rPr>
              <w:t>Primary data/API</w:t>
            </w:r>
          </w:p>
        </w:tc>
      </w:tr>
      <w:tr>
        <w:tc>
          <w:tcPr>
            <w:tcW w:type="dxa" w:w="3168"/>
            <w:vAlign w:val="center"/>
          </w:tcPr>
          <w:p>
            <w:r>
              <w:t>Confirmed fund units</w:t>
            </w:r>
          </w:p>
        </w:tc>
        <w:tc>
          <w:tcPr>
            <w:tcW w:type="dxa" w:w="6912"/>
            <w:vAlign w:val="center"/>
          </w:tcPr>
          <w:p>
            <w:r>
              <w:t>fund_positions; fund_balance_entries; settle_fund_flow()</w:t>
            </w:r>
          </w:p>
        </w:tc>
      </w:tr>
      <w:tr>
        <w:tc>
          <w:tcPr>
            <w:tcW w:type="dxa" w:w="3168"/>
            <w:vAlign w:val="center"/>
            <w:shd w:fill="F1F5F9"/>
          </w:tcPr>
          <w:p>
            <w:r>
              <w:t>Daily fund valuation</w:t>
            </w:r>
          </w:p>
        </w:tc>
        <w:tc>
          <w:tcPr>
            <w:tcW w:type="dxa" w:w="6912"/>
            <w:vAlign w:val="center"/>
            <w:shd w:fill="F1F5F9"/>
          </w:tcPr>
          <w:p>
            <w:r>
              <w:t>fund_valuations; snapshot_daily_holdings()</w:t>
            </w:r>
          </w:p>
        </w:tc>
      </w:tr>
      <w:tr>
        <w:tc>
          <w:tcPr>
            <w:tcW w:type="dxa" w:w="3168"/>
            <w:vAlign w:val="center"/>
          </w:tcPr>
          <w:p>
            <w:r>
              <w:t>Daily investor attribution</w:t>
            </w:r>
          </w:p>
        </w:tc>
        <w:tc>
          <w:tcPr>
            <w:tcW w:type="dxa" w:w="6912"/>
            <w:vAlign w:val="center"/>
          </w:tcPr>
          <w:p>
            <w:r>
              <w:t>portfolio_holdings</w:t>
            </w:r>
          </w:p>
        </w:tc>
      </w:tr>
      <w:tr>
        <w:tc>
          <w:tcPr>
            <w:tcW w:type="dxa" w:w="3168"/>
            <w:vAlign w:val="center"/>
            <w:shd w:fill="F1F5F9"/>
          </w:tcPr>
          <w:p>
            <w:r>
              <w:t>FIFO deals</w:t>
            </w:r>
          </w:p>
        </w:tc>
        <w:tc>
          <w:tcPr>
            <w:tcW w:type="dxa" w:w="6912"/>
            <w:vAlign w:val="center"/>
            <w:shd w:fill="F1F5F9"/>
          </w:tcPr>
          <w:p>
            <w:r>
              <w:t>investment_transactions; compute_realized_pnl_fifo()</w:t>
            </w:r>
          </w:p>
        </w:tc>
      </w:tr>
      <w:tr>
        <w:tc>
          <w:tcPr>
            <w:tcW w:type="dxa" w:w="3168"/>
            <w:vAlign w:val="center"/>
          </w:tcPr>
          <w:p>
            <w:r>
              <w:t>Investor report</w:t>
            </w:r>
          </w:p>
        </w:tc>
        <w:tc>
          <w:tcPr>
            <w:tcW w:type="dxa" w:w="6912"/>
            <w:vAlign w:val="center"/>
          </w:tcPr>
          <w:p>
            <w:r>
              <w:t>GET /api/portfolio/pnl?start_date=...&amp;end_date=...</w:t>
            </w:r>
          </w:p>
        </w:tc>
      </w:tr>
      <w:tr>
        <w:tc>
          <w:tcPr>
            <w:tcW w:type="dxa" w:w="3168"/>
            <w:vAlign w:val="center"/>
            <w:shd w:fill="F1F5F9"/>
          </w:tcPr>
          <w:p>
            <w:r>
              <w:t>Per-fund report</w:t>
            </w:r>
          </w:p>
        </w:tc>
        <w:tc>
          <w:tcPr>
            <w:tcW w:type="dxa" w:w="6912"/>
            <w:vAlign w:val="center"/>
            <w:shd w:fill="F1F5F9"/>
          </w:tcPr>
          <w:p>
            <w:r>
              <w:t>GET /api/portfolio/pnl/fund/{fund_id}</w:t>
            </w:r>
          </w:p>
        </w:tc>
      </w:tr>
      <w:tr>
        <w:tc>
          <w:tcPr>
            <w:tcW w:type="dxa" w:w="3168"/>
            <w:vAlign w:val="center"/>
          </w:tcPr>
          <w:p>
            <w:r>
              <w:t>Current holdings</w:t>
            </w:r>
          </w:p>
        </w:tc>
        <w:tc>
          <w:tcPr>
            <w:tcW w:type="dxa" w:w="6912"/>
            <w:vAlign w:val="center"/>
          </w:tcPr>
          <w:p>
            <w:r>
              <w:t>GET /api/portfolio/holdings and portfolio summary</w:t>
            </w:r>
          </w:p>
        </w:tc>
      </w:tr>
      <w:tr>
        <w:tc>
          <w:tcPr>
            <w:tcW w:type="dxa" w:w="3168"/>
            <w:vAlign w:val="center"/>
            <w:shd w:fill="F1F5F9"/>
          </w:tcPr>
          <w:p>
            <w:r>
              <w:t>Manager attribution</w:t>
            </w:r>
          </w:p>
        </w:tc>
        <w:tc>
          <w:tcPr>
            <w:tcW w:type="dxa" w:w="6912"/>
            <w:vAlign w:val="center"/>
            <w:shd w:fill="F1F5F9"/>
          </w:tcPr>
          <w:p>
            <w:r>
              <w:t>GET /api/manager/performance-analysis</w:t>
            </w:r>
          </w:p>
        </w:tc>
      </w:tr>
      <w:tr>
        <w:tc>
          <w:tcPr>
            <w:tcW w:type="dxa" w:w="3168"/>
            <w:vAlign w:val="center"/>
          </w:tcPr>
          <w:p>
            <w:r>
              <w:t>Manager scenario</w:t>
            </w:r>
          </w:p>
        </w:tc>
        <w:tc>
          <w:tcPr>
            <w:tcW w:type="dxa" w:w="6912"/>
            <w:vAlign w:val="center"/>
          </w:tcPr>
          <w:p>
            <w:r>
              <w:t>POST /api/manager/performance-analysis/what-if</w:t>
            </w:r>
          </w:p>
        </w:tc>
      </w:tr>
      <w:tr>
        <w:tc>
          <w:tcPr>
            <w:tcW w:type="dxa" w:w="3168"/>
            <w:vAlign w:val="center"/>
            <w:shd w:fill="F1F5F9"/>
          </w:tcPr>
          <w:p>
            <w:r>
              <w:t>Daily processing</w:t>
            </w:r>
          </w:p>
        </w:tc>
        <w:tc>
          <w:tcPr>
            <w:tcW w:type="dxa" w:w="6912"/>
            <w:vAlign w:val="center"/>
            <w:shd w:fill="F1F5F9"/>
          </w:tcPr>
          <w:p>
            <w:r>
              <w:t>run_daily_pnl_snapshot() at the configured scheduler time</w:t>
            </w:r>
          </w:p>
        </w:tc>
      </w:tr>
    </w:tbl>
    <w:p/>
    <w:p>
      <w:pPr>
        <w:pStyle w:val="Heading1"/>
      </w:pPr>
      <w:r>
        <w:t>10. Important interpretation rules</w:t>
      </w:r>
    </w:p>
    <w:p>
      <w:pPr>
        <w:pStyle w:val="ListBullet"/>
      </w:pPr>
      <w:r>
        <w:t>Pending and approved flows are not balances. Only completed, provider-confirmed flows issue or redeem units.</w:t>
      </w:r>
    </w:p>
    <w:p>
      <w:pPr>
        <w:pStyle w:val="ListBullet"/>
      </w:pPr>
      <w:r>
        <w:t>Cash flow is not P&amp;L. It is recorded separately as net_flow.</w:t>
      </w:r>
    </w:p>
    <w:p>
      <w:pPr>
        <w:pStyle w:val="ListBullet"/>
      </w:pPr>
      <w:r>
        <w:t>Daily P&amp;L belongs to opening units, which prevents same-day deposits from receiving retroactive performance.</w:t>
      </w:r>
    </w:p>
    <w:p>
      <w:pPr>
        <w:pStyle w:val="ListBullet"/>
      </w:pPr>
      <w:r>
        <w:t>Fund returns are compounded; daily percentages should not simply be added.</w:t>
      </w:r>
    </w:p>
    <w:p>
      <w:pPr>
        <w:pStyle w:val="ListBullet"/>
      </w:pPr>
      <w:r>
        <w:t>FIFO realized profit depends on the chronological local trade ledger and transaction charges.</w:t>
      </w:r>
    </w:p>
    <w:p>
      <w:pPr>
        <w:pStyle w:val="ListBullet"/>
      </w:pPr>
      <w:r>
        <w:t>Alpaca supplies market prices for live unrealized P&amp;L, while investor ownership comes from FundInv's local records.</w:t>
      </w:r>
    </w:p>
    <w:p>
      <w:pPr>
        <w:pStyle w:val="ListBullet"/>
      </w:pPr>
      <w:r>
        <w:t>If no valuation exists, a fund's current price is used; if neither is positive, settlement falls back to NAV 1.00.</w:t>
      </w:r>
    </w:p>
    <w:p>
      <w:pPr>
        <w:pStyle w:val="ListBullet"/>
      </w:pPr>
      <w:r>
        <w:t>Rounding precision is four decimal places for money, ten for units and eight for NAV during fund settlement.</w:t>
      </w:r>
    </w:p>
    <w:p>
      <w:pPr>
        <w:pStyle w:val="Heading1"/>
      </w:pPr>
      <w:r>
        <w:t>11. Control checks built into the implementation</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3168"/>
            <w:shd w:fill="1D4ED8"/>
          </w:tcPr>
          <w:p>
            <w:r>
              <w:rPr>
                <w:b/>
                <w:color w:val="FFFFFF"/>
              </w:rPr>
              <w:t>Risk</w:t>
            </w:r>
          </w:p>
        </w:tc>
        <w:tc>
          <w:tcPr>
            <w:tcW w:type="dxa" w:w="6912"/>
            <w:shd w:fill="1D4ED8"/>
          </w:tcPr>
          <w:p>
            <w:r>
              <w:rPr>
                <w:b/>
                <w:color w:val="FFFFFF"/>
              </w:rPr>
              <w:t>Implemented control</w:t>
            </w:r>
          </w:p>
        </w:tc>
      </w:tr>
      <w:tr>
        <w:tc>
          <w:tcPr>
            <w:tcW w:type="dxa" w:w="3168"/>
            <w:vAlign w:val="center"/>
          </w:tcPr>
          <w:p>
            <w:r>
              <w:t>Duplicate Stripe webhook</w:t>
            </w:r>
          </w:p>
        </w:tc>
        <w:tc>
          <w:tcPr>
            <w:tcW w:type="dxa" w:w="6912"/>
            <w:vAlign w:val="center"/>
          </w:tcPr>
          <w:p>
            <w:r>
              <w:t>Unique flow-ledger boundary and row locking; replay applies zero extra units.</w:t>
            </w:r>
          </w:p>
        </w:tc>
      </w:tr>
      <w:tr>
        <w:tc>
          <w:tcPr>
            <w:tcW w:type="dxa" w:w="3168"/>
            <w:vAlign w:val="center"/>
            <w:shd w:fill="F1F5F9"/>
          </w:tcPr>
          <w:p>
            <w:r>
              <w:t>Over-withdrawal</w:t>
            </w:r>
          </w:p>
        </w:tc>
        <w:tc>
          <w:tcPr>
            <w:tcW w:type="dxa" w:w="6912"/>
            <w:vAlign w:val="center"/>
            <w:shd w:fill="F1F5F9"/>
          </w:tcPr>
          <w:p>
            <w:r>
              <w:t>Available value less reserved pending withdrawals is checked before request; units checked again at settlement.</w:t>
            </w:r>
          </w:p>
        </w:tc>
      </w:tr>
      <w:tr>
        <w:tc>
          <w:tcPr>
            <w:tcW w:type="dxa" w:w="3168"/>
            <w:vAlign w:val="center"/>
          </w:tcPr>
          <w:p>
            <w:r>
              <w:t>Closing an invested account</w:t>
            </w:r>
          </w:p>
        </w:tc>
        <w:tc>
          <w:tcPr>
            <w:tcW w:type="dxa" w:w="6912"/>
            <w:vAlign w:val="center"/>
          </w:tcPr>
          <w:p>
            <w:r>
              <w:t>Closure rejected when units, pending flows or nonzero fund balance remain.</w:t>
            </w:r>
          </w:p>
        </w:tc>
      </w:tr>
      <w:tr>
        <w:tc>
          <w:tcPr>
            <w:tcW w:type="dxa" w:w="3168"/>
            <w:vAlign w:val="center"/>
            <w:shd w:fill="F1F5F9"/>
          </w:tcPr>
          <w:p>
            <w:r>
              <w:t>Cash flow distorting return</w:t>
            </w:r>
          </w:p>
        </w:tc>
        <w:tc>
          <w:tcPr>
            <w:tcW w:type="dxa" w:w="6912"/>
            <w:vAlign w:val="center"/>
            <w:shd w:fill="F1F5F9"/>
          </w:tcPr>
          <w:p>
            <w:r>
              <w:t>Daily P&amp;L uses opening units/value and stores net flow separately.</w:t>
            </w:r>
          </w:p>
        </w:tc>
      </w:tr>
      <w:tr>
        <w:tc>
          <w:tcPr>
            <w:tcW w:type="dxa" w:w="3168"/>
            <w:vAlign w:val="center"/>
          </w:tcPr>
          <w:p>
            <w:r>
              <w:t>Other investors' omnibus positions leaking</w:t>
            </w:r>
          </w:p>
        </w:tc>
        <w:tc>
          <w:tcPr>
            <w:tcW w:type="dxa" w:w="6912"/>
            <w:vAlign w:val="center"/>
          </w:tcPr>
          <w:p>
            <w:r>
              <w:t>Local investor lots determine attributable quantity and cost; Alpaca supplies price only.</w:t>
            </w:r>
          </w:p>
        </w:tc>
      </w:tr>
      <w:tr>
        <w:tc>
          <w:tcPr>
            <w:tcW w:type="dxa" w:w="3168"/>
            <w:vAlign w:val="center"/>
            <w:shd w:fill="F1F5F9"/>
          </w:tcPr>
          <w:p>
            <w:r>
              <w:t>Manager scenario changing real assets</w:t>
            </w:r>
          </w:p>
        </w:tc>
        <w:tc>
          <w:tcPr>
            <w:tcW w:type="dxa" w:w="6912"/>
            <w:vAlign w:val="center"/>
            <w:shd w:fill="F1F5F9"/>
          </w:tcPr>
          <w:p>
            <w:r>
              <w:t>What-if endpoint calculates only; it does not persist weights or place orders.</w:t>
            </w:r>
          </w:p>
        </w:tc>
      </w:tr>
    </w:tbl>
    <w:p/>
    <w:p/>
    <w:p>
      <w:pPr>
        <w:jc w:val="center"/>
      </w:pPr>
      <w:r>
        <w:rPr>
          <w:i/>
          <w:color w:val="64748B"/>
        </w:rPr>
        <w:t>End of document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FundInv P&amp;L Calculation Flow  •  Implementation reference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D4ED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D4ED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D4ED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D4ED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FundInv P&amp;L Calculation Flow</dc:title>
  <dc:subject>FundInv calculation formulas and role workflow</dc:subject>
  <dc:creator>FundInv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