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FundInv Windows Local Setup and Demo Guide</w:t>
      </w:r>
    </w:p>
    <w:p>
      <w:r>
        <w:t>Updated 29 July 2026 • Current migration head: v0.5.1_manager_values</w:t>
      </w:r>
    </w:p>
    <w:p>
      <w:pPr>
        <w:pStyle w:val="Heading1"/>
      </w:pPr>
      <w:r>
        <w:t>1. What this package contains</w:t>
      </w:r>
    </w:p>
    <w:p>
      <w:r>
        <w:t>FundInv is an open-ended fund investment portal. Investors own fund units; Managers trade the securities held inside funds; Operations verifies subscriptions and redemptions; Admin audits and manages the platform. It is not an Investor stock-trading portal.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Windows 10/11 64-bit and a writable extraction folder outside Program Files or OneDrive.</w:t>
      </w:r>
    </w:p>
    <w:p>
      <w:pPr>
        <w:pStyle w:val="ListBullet"/>
      </w:pPr>
      <w:r>
        <w:t>Git for Windows (Git Bash), Docker Desktop using WSL 2, Python 3.12+, Node.js 20+, and npm.</w:t>
      </w:r>
    </w:p>
    <w:p>
      <w:pPr>
        <w:pStyle w:val="ListBullet"/>
      </w:pPr>
      <w:r>
        <w:t>Start Docker Desktop and wait until Docker Engine is ready.</w:t>
      </w:r>
    </w:p>
    <w:p>
      <w:pPr>
        <w:pStyle w:val="ListBullet"/>
      </w:pPr>
      <w:r>
        <w:t>8 GB RAM minimum; 16 GB recommended; about 10 GB free disk space.</w:t>
      </w:r>
    </w:p>
    <w:p>
      <w:pPr>
        <w:pStyle w:val="Heading1"/>
      </w:pPr>
      <w:r>
        <w:t>3. One-time setup</w:t>
      </w:r>
    </w:p>
    <w:p>
      <w:r>
        <w:t>Extract the ZIP, open Git Bash inside the extracted project root, and run:</w:t>
      </w:r>
    </w:p>
    <w:p>
      <w:r>
        <w:rPr>
          <w:rFonts w:ascii="Consolas" w:hAnsi="Consolas"/>
          <w:sz w:val="18"/>
        </w:rPr>
        <w:t>bash bin/setup_windows_gitbash.sh</w:t>
      </w:r>
    </w:p>
    <w:p>
      <w:r>
        <w:t>Windows defaults: container fundinv-current, host port 5434, container port 5432, database fundinv, user/password postgres/postgres. This avoids older projects on 5432 or 5433.</w:t>
      </w:r>
    </w:p>
    <w:p>
      <w:r>
        <w:t>The script creates .env only if absent, creates/seeds only a new database, installs dependencies, applies migrations, and runs tests, lint, and a production build. It does not reset an existing database.</w:t>
      </w:r>
    </w:p>
    <w:p>
      <w:pPr>
        <w:pStyle w:val="Heading1"/>
      </w:pPr>
      <w:r>
        <w:t>4. Normal startup</w:t>
      </w:r>
    </w:p>
    <w:p>
      <w:r>
        <w:rPr>
          <w:rFonts w:ascii="Consolas" w:hAnsi="Consolas"/>
          <w:sz w:val="18"/>
        </w:rPr>
        <w:t>bash bin/run.sh</w:t>
      </w:r>
    </w:p>
    <w:p>
      <w:pPr>
        <w:pStyle w:val="ListBullet"/>
      </w:pPr>
      <w:r>
        <w:t>Open http://localhost:3000 (always use localhost, not 127.0.0.1).</w:t>
      </w:r>
    </w:p>
    <w:p>
      <w:pPr>
        <w:pStyle w:val="ListBullet"/>
      </w:pPr>
      <w:r>
        <w:t>API documentation is at http://localhost:8000/docs.</w:t>
      </w:r>
    </w:p>
    <w:p>
      <w:pPr>
        <w:pStyle w:val="ListBullet"/>
      </w:pPr>
      <w:r>
        <w:t>Press Ctrl+C once to stop frontend and backend cleanly.</w:t>
      </w:r>
    </w:p>
    <w:p>
      <w:pPr>
        <w:pStyle w:val="ListBullet"/>
      </w:pPr>
      <w:r>
        <w:t>A brief CPU increase during the production build is normal. The runner caps Node at 2 GB and blocks duplicate instances.</w:t>
      </w:r>
    </w:p>
    <w:p>
      <w:pPr>
        <w:pStyle w:val="Heading1"/>
      </w:pPr>
      <w:r>
        <w:t>5. Seed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Password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admin@fundinv.com</w:t>
            </w:r>
          </w:p>
        </w:tc>
        <w:tc>
          <w:tcPr>
            <w:tcW w:type="dxa" w:w="3360"/>
          </w:tcPr>
          <w:p>
            <w:r>
              <w:t>admin123</w:t>
            </w:r>
          </w:p>
        </w:tc>
      </w:tr>
      <w:tr>
        <w:tc>
          <w:tcPr>
            <w:tcW w:type="dxa" w:w="3360"/>
          </w:tcPr>
          <w:p>
            <w:r>
              <w:t>Manager</w:t>
            </w:r>
          </w:p>
        </w:tc>
        <w:tc>
          <w:tcPr>
            <w:tcW w:type="dxa" w:w="3360"/>
          </w:tcPr>
          <w:p>
            <w:r>
              <w:t>manager@fundinv.com</w:t>
            </w:r>
          </w:p>
        </w:tc>
        <w:tc>
          <w:tcPr>
            <w:tcW w:type="dxa" w:w="3360"/>
          </w:tcPr>
          <w:p>
            <w:r>
              <w:t>admin123</w:t>
            </w:r>
          </w:p>
        </w:tc>
      </w:tr>
      <w:tr>
        <w:tc>
          <w:tcPr>
            <w:tcW w:type="dxa" w:w="3360"/>
          </w:tcPr>
          <w:p>
            <w:r>
              <w:t>Operations</w:t>
            </w:r>
          </w:p>
        </w:tc>
        <w:tc>
          <w:tcPr>
            <w:tcW w:type="dxa" w:w="3360"/>
          </w:tcPr>
          <w:p>
            <w:r>
              <w:t>operations@fundinv.com</w:t>
            </w:r>
          </w:p>
        </w:tc>
        <w:tc>
          <w:tcPr>
            <w:tcW w:type="dxa" w:w="3360"/>
          </w:tcPr>
          <w:p>
            <w:r>
              <w:t>admin123</w:t>
            </w:r>
          </w:p>
        </w:tc>
      </w:tr>
      <w:tr>
        <w:tc>
          <w:tcPr>
            <w:tcW w:type="dxa" w:w="3360"/>
          </w:tcPr>
          <w:p>
            <w:r>
              <w:t>Investor</w:t>
            </w:r>
          </w:p>
        </w:tc>
        <w:tc>
          <w:tcPr>
            <w:tcW w:type="dxa" w:w="3360"/>
          </w:tcPr>
          <w:p>
            <w:r>
              <w:t>investor@fundinv.com</w:t>
            </w:r>
          </w:p>
        </w:tc>
        <w:tc>
          <w:tcPr>
            <w:tcW w:type="dxa" w:w="3360"/>
          </w:tcPr>
          <w:p>
            <w:r>
              <w:t>investor123</w:t>
            </w:r>
          </w:p>
        </w:tc>
      </w:tr>
      <w:tr>
        <w:tc>
          <w:tcPr>
            <w:tcW w:type="dxa" w:w="3360"/>
          </w:tcPr>
          <w:p>
            <w:r>
              <w:t>Investor</w:t>
            </w:r>
          </w:p>
        </w:tc>
        <w:tc>
          <w:tcPr>
            <w:tcW w:type="dxa" w:w="3360"/>
          </w:tcPr>
          <w:p>
            <w:r>
              <w:t>alice@example.com</w:t>
            </w:r>
          </w:p>
        </w:tc>
        <w:tc>
          <w:tcPr>
            <w:tcW w:type="dxa" w:w="3360"/>
          </w:tcPr>
          <w:p>
            <w:r>
              <w:t>investor123</w:t>
            </w:r>
          </w:p>
        </w:tc>
      </w:tr>
    </w:tbl>
    <w:p>
      <w:r>
        <w:t>These credentials are for local demonstration only.</w:t>
      </w:r>
    </w:p>
    <w:p>
      <w:pPr>
        <w:pStyle w:val="Heading1"/>
      </w:pPr>
      <w:r>
        <w:t>6. Correct four-role demonstration flow</w:t>
      </w:r>
    </w:p>
    <w:p>
      <w:pPr>
        <w:pStyle w:val="ListNumber"/>
      </w:pPr>
      <w:r>
        <w:t>Manager opens Daily Valuation, enters the fund-level daily P&amp;L, previews the NAV and allocations, and finalizes it with an audit note.</w:t>
      </w:r>
    </w:p>
    <w:p>
      <w:pPr>
        <w:pStyle w:val="ListNumber"/>
      </w:pPr>
      <w:r>
        <w:t>Investor selects an approved fund and submits a subscription request.</w:t>
      </w:r>
    </w:p>
    <w:p>
      <w:pPr>
        <w:pStyle w:val="ListNumber"/>
      </w:pPr>
      <w:r>
        <w:t>Operations approves it. Verify that approval alone does not change units or P&amp;L.</w:t>
      </w:r>
    </w:p>
    <w:p>
      <w:pPr>
        <w:pStyle w:val="ListNumber"/>
      </w:pPr>
      <w:r>
        <w:t>Operations verifies receipt externally and clicks Complete in manual mode.</w:t>
      </w:r>
    </w:p>
    <w:p>
      <w:pPr>
        <w:pStyle w:val="ListNumber"/>
      </w:pPr>
      <w:r>
        <w:t>Investor refreshes: new units equal amount divided by current NAV per unit.</w:t>
      </w:r>
    </w:p>
    <w:p>
      <w:pPr>
        <w:pStyle w:val="ListNumber"/>
      </w:pPr>
      <w:r>
        <w:t>Manager reviews the fund and trades underlying securities. Investor cannot trade securities directly.</w:t>
      </w:r>
    </w:p>
    <w:p>
      <w:pPr>
        <w:pStyle w:val="ListNumber"/>
      </w:pPr>
      <w:r>
        <w:t>Investor opens My Fund P&amp;L Allocations to verify opening value, allocated P&amp;L, net flow, closing value, units, and NAV.</w:t>
      </w:r>
    </w:p>
    <w:p>
      <w:pPr>
        <w:pStyle w:val="ListNumber"/>
      </w:pPr>
      <w:r>
        <w:t>Investor requests a fund redemption; Operations approves, verifies payout, and completes it.</w:t>
      </w:r>
    </w:p>
    <w:p>
      <w:pPr>
        <w:pStyle w:val="ListNumber"/>
      </w:pPr>
      <w:r>
        <w:t>Admin audits both fund flows, Manager-finalized valuations, and relevant security events.</w:t>
      </w:r>
    </w:p>
    <w:p>
      <w:pPr>
        <w:pStyle w:val="Heading1"/>
      </w:pPr>
      <w:r>
        <w:t>7. Core mathematics</w:t>
      </w:r>
    </w:p>
    <w:p>
      <w:r>
        <w:rPr>
          <w:rFonts w:ascii="Consolas" w:hAnsi="Consolas"/>
          <w:sz w:val="18"/>
        </w:rPr>
        <w:t>closing assets before flows = opening assets + daily P&amp;L</w:t>
        <w:br/>
        <w:t>closing assets = closing assets before flows + net external flow</w:t>
        <w:br/>
        <w:t>NAV per unit = closing assets / closing units outstanding</w:t>
        <w:br/>
        <w:t>investor value = investor units × NAV per unit</w:t>
        <w:br/>
        <w:t>subscription units = cash subscribed / current NAV per unit</w:t>
        <w:br/>
        <w:t>redemption units = cash redeemed / current NAV per unit</w:t>
        <w:br/>
        <w:t>investor daily P&amp;L = fund daily P&amp;L × opening ownership share</w:t>
        <w:br/>
        <w:t>cumulative return = product(1 + daily return) - 1</w:t>
      </w:r>
    </w:p>
    <w:p>
      <w:r>
        <w:t>External cash flows change assets and units at equal value, so they are not investment profit. Performance is applied before same-day flows to prevent dilution.</w:t>
      </w:r>
    </w:p>
    <w:p>
      <w:pPr>
        <w:pStyle w:val="Heading1"/>
      </w:pPr>
      <w:r>
        <w:t>8. Optional external providers</w:t>
      </w:r>
    </w:p>
    <w:p>
      <w:pPr>
        <w:pStyle w:val="ListBullet"/>
      </w:pPr>
      <w:r>
        <w:t>FUND_FLOW_PROVIDER=manual is the default and supports the full accounting demonstration without Stripe.</w:t>
      </w:r>
    </w:p>
    <w:p>
      <w:pPr>
        <w:pStyle w:val="ListBullet"/>
      </w:pPr>
      <w:r>
        <w:t>Stripe mode needs valid test keys and signed webhook forwarding before a payment can settle.</w:t>
      </w:r>
    </w:p>
    <w:p>
      <w:pPr>
        <w:pStyle w:val="ListBullet"/>
      </w:pPr>
      <w:r>
        <w:t>SMTP credentials are needed only for real email delivery; the recipient address comes from the logged-in Investor record.</w:t>
      </w:r>
    </w:p>
    <w:p>
      <w:pPr>
        <w:pStyle w:val="ListBullet"/>
      </w:pPr>
      <w:r>
        <w:t>Alpaca paper credentials are needed only for real external paper orders. Core role and accounting tests do not require them.</w:t>
      </w:r>
    </w:p>
    <w:p>
      <w:r>
        <w:t>Manager paper orders are stored locally immediately after Alpaca accepts them. Fill accounting is applied only when Alpaca reports a non-zero filled quantity and price; a one-minute idempotent reconciliation job completes delayed fills without duplicating transactions.</w:t>
      </w:r>
    </w:p>
    <w:p>
      <w:pPr>
        <w:pStyle w:val="Heading1"/>
      </w:pPr>
      <w:r>
        <w:t>9. Database and port safety</w:t>
      </w:r>
    </w:p>
    <w:p>
      <w:pPr>
        <w:pStyle w:val="ListBullet"/>
      </w:pPr>
      <w:r>
        <w:t>Do not replay base SQL or seed SQL on an existing database.</w:t>
      </w:r>
    </w:p>
    <w:p>
      <w:pPr>
        <w:pStyle w:val="ListBullet"/>
      </w:pPr>
      <w:r>
        <w:t>Setup and run scripts preserve data and apply only pending Alembic migrations.</w:t>
      </w:r>
    </w:p>
    <w:p>
      <w:pPr>
        <w:pStyle w:val="ListBullet"/>
      </w:pPr>
      <w:r>
        <w:t>If custom values were used, pass the same FUNDINV_DB_CONTAINER and FUNDINV_DB_PORT on every run.</w:t>
      </w:r>
    </w:p>
    <w:p>
      <w:pPr>
        <w:pStyle w:val="ListBullet"/>
      </w:pPr>
      <w:r>
        <w:t>Never include .env, database files, node_modules, .next, Server/venv, logs, or .git in a portable ZIP.</w:t>
      </w:r>
    </w:p>
    <w:p>
      <w:pPr>
        <w:pStyle w:val="Heading1"/>
      </w:pPr>
      <w:r>
        <w:t>10. Troubleshooting</w:t>
      </w:r>
    </w:p>
    <w:p>
      <w:pPr>
        <w:pStyle w:val="ListBullet"/>
      </w:pPr>
      <w:r>
        <w:t>Another runner is active: return to the original terminal and press Ctrl+C.</w:t>
      </w:r>
    </w:p>
    <w:p>
      <w:pPr>
        <w:pStyle w:val="ListBullet"/>
      </w:pPr>
      <w:r>
        <w:t>401 after login: open localhost:3000 and avoid mixing localhost with 127.0.0.1.</w:t>
      </w:r>
    </w:p>
    <w:p>
      <w:pPr>
        <w:pStyle w:val="ListBullet"/>
      </w:pPr>
      <w:r>
        <w:t>Database connection error: start Docker Desktop and confirm container fundinv-current exposes host port 5434.</w:t>
      </w:r>
    </w:p>
    <w:p>
      <w:pPr>
        <w:pStyle w:val="ListBullet"/>
      </w:pPr>
      <w:r>
        <w:t>Turbopack warning: normal run.sh deliberately builds with Webpack for stable cross-platform demos.</w:t>
      </w:r>
    </w:p>
    <w:p>
      <w:pPr>
        <w:pStyle w:val="ListBullet"/>
      </w:pPr>
      <w:r>
        <w:t>Email, Stripe, or Alpaca failure without credentials does not invalidate local accounting; those integrations require their own configured test credentials.</w:t>
      </w:r>
    </w:p>
    <w:p>
      <w:pPr>
        <w:pStyle w:val="Heading1"/>
      </w:pPr>
      <w:r>
        <w:t>11. Verification status</w:t>
      </w:r>
    </w:p>
    <w:p>
      <w:r>
        <w:t>The revamp passed 12 backend accounting tests, frontend lint, a production build across 36 routes, and 10 Playwright browser tests covering Investor, Manager, Operations, Admin, authorization boundaries, and public authentication pages. The accounting suite includes exact Manager-finalized P&amp;L allocation, unchanged units from performance, post-valuation settlement at finalized NAV, new-subscriber holdings, and 100% closing ownership reconciliation. Asynchronous paper-order fills are recorded idempotently.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