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1F3B"/>
          <w:sz w:val="40"/>
        </w:rPr>
        <w:t>FS Market Intelligence — Defense Speech</w:t>
      </w:r>
    </w:p>
    <w:p>
      <w:r>
        <w:rPr>
          <w:i/>
          <w:color w:val="606060"/>
          <w:sz w:val="22"/>
        </w:rPr>
        <w:t>One speaking block per slide. Say it naturally, don't read verbatim — the numbers are the only thing that must stay exact.</w:t>
      </w:r>
    </w:p>
    <w:p/>
    <w:p>
      <w:pPr>
        <w:spacing w:before="280" w:after="40"/>
      </w:pPr>
      <w:r>
        <w:rPr>
          <w:b/>
          <w:color w:val="8A6D00"/>
          <w:sz w:val="26"/>
        </w:rPr>
        <w:t>Slide 1 — Title</w:t>
      </w:r>
    </w:p>
    <w:p>
      <w:pPr>
        <w:spacing w:after="80"/>
      </w:pPr>
      <w:r>
        <w:rPr>
          <w:sz w:val="23"/>
        </w:rPr>
        <w:t>Good morning. My name is Azza Hamdi, and I'm here to present my end-of-studies project, FS Market Intelligence, an insurance barometer for the Tunisian market, carried out at EY Tunisia under the supervision of Ms. Ilhem Jouini and Mr. Mohamed Ali Mestikou.</w:t>
      </w:r>
    </w:p>
    <w:p>
      <w:pPr>
        <w:spacing w:after="160"/>
      </w:pPr>
      <w:r>
        <w:rPr>
          <w:i/>
          <w:color w:val="909090"/>
          <w:sz w:val="20"/>
        </w:rPr>
        <w:t>Pause, make eye contact with the jury before continuing.</w:t>
      </w:r>
    </w:p>
    <w:p>
      <w:pPr>
        <w:spacing w:before="280" w:after="40"/>
      </w:pPr>
      <w:r>
        <w:rPr>
          <w:b/>
          <w:color w:val="8A6D00"/>
          <w:sz w:val="26"/>
        </w:rPr>
        <w:t>Slide 2 — Divider — Project Context</w:t>
      </w:r>
    </w:p>
    <w:p>
      <w:pPr>
        <w:spacing w:after="80"/>
      </w:pPr>
      <w:r>
        <w:rPr>
          <w:sz w:val="23"/>
        </w:rPr>
        <w:t>I'll start by setting the context: who this project is for, and what market it operates in.</w:t>
      </w:r>
    </w:p>
    <w:p>
      <w:pPr>
        <w:spacing w:before="280" w:after="40"/>
      </w:pPr>
      <w:r>
        <w:rPr>
          <w:b/>
          <w:color w:val="8A6D00"/>
          <w:sz w:val="26"/>
        </w:rPr>
        <w:t>Slide 3 — EY Tunisia &amp; the FST Department</w:t>
      </w:r>
    </w:p>
    <w:p>
      <w:pPr>
        <w:spacing w:after="80"/>
      </w:pPr>
      <w:r>
        <w:rPr>
          <w:sz w:val="23"/>
        </w:rPr>
        <w:t>EY is a global professional services network, active in Audit, Consulting, Tax, and Strategy &amp; Transactions. This project was hosted by the Financial Services Transformation department — the team inside EY Tunisia that advises financial institutions and insurers. It's important to note: this platform is an internal tool for FST consultants, not a product EY sells to clients.</w:t>
      </w:r>
    </w:p>
    <w:p>
      <w:pPr>
        <w:spacing w:before="280" w:after="40"/>
      </w:pPr>
      <w:r>
        <w:rPr>
          <w:b/>
          <w:color w:val="8A6D00"/>
          <w:sz w:val="26"/>
        </w:rPr>
        <w:t>Slide 4 — The Tunisian Insurance Market</w:t>
      </w:r>
    </w:p>
    <w:p>
      <w:pPr>
        <w:spacing w:after="80"/>
      </w:pPr>
      <w:r>
        <w:rPr>
          <w:sz w:val="23"/>
        </w:rPr>
        <w:t>The platform tracks 24 active insurance companies: 22 conventional insurers, 2 pure Takaful companies, and one Takaful company that publishes exclusively in Arabic. The market is regulated by the CGA, with the FTUSA as the professional federation, and financial filings deposited with the CMF. Takaful is structurally different — it follows the NCT 43 accounting norm and IFSB prudential ratios, so it can't just be compared to conventional insurers with the same formulas.</w:t>
      </w:r>
    </w:p>
    <w:p>
      <w:pPr>
        <w:spacing w:before="280" w:after="40"/>
      </w:pPr>
      <w:r>
        <w:rPr>
          <w:b/>
          <w:color w:val="8A6D00"/>
          <w:sz w:val="26"/>
        </w:rPr>
        <w:t>Slide 5 — Target Users &amp; Needs</w:t>
      </w:r>
    </w:p>
    <w:p>
      <w:pPr>
        <w:spacing w:after="80"/>
      </w:pPr>
      <w:r>
        <w:rPr>
          <w:sz w:val="23"/>
        </w:rPr>
        <w:t>All users are internal to EY Tunisia. Consultants need to benchmark a company against the market before citing a figure in a client deliverable. Managers and partners need a macro view for missions. And the internal data team needs to monitor extraction quality over time. But there's one requirement shared by everyone: trust in every number, traceable back to its PDF source — never a black box.</w:t>
      </w:r>
    </w:p>
    <w:p>
      <w:pPr>
        <w:spacing w:before="280" w:after="40"/>
      </w:pPr>
      <w:r>
        <w:rPr>
          <w:b/>
          <w:color w:val="8A6D00"/>
          <w:sz w:val="26"/>
        </w:rPr>
        <w:t>Slide 6 — Divider — Existing Situation &amp; Solution</w:t>
      </w:r>
    </w:p>
    <w:p>
      <w:pPr>
        <w:spacing w:after="80"/>
      </w:pPr>
      <w:r>
        <w:rPr>
          <w:sz w:val="23"/>
        </w:rPr>
        <w:t>Let me walk you through the problem this creates today, and the solution I built.</w:t>
      </w:r>
    </w:p>
    <w:p>
      <w:pPr>
        <w:spacing w:before="280" w:after="40"/>
      </w:pPr>
      <w:r>
        <w:rPr>
          <w:b/>
          <w:color w:val="8A6D00"/>
          <w:sz w:val="26"/>
        </w:rPr>
        <w:t>Slide 7 — From Chaos to Clarity</w:t>
      </w:r>
    </w:p>
    <w:p>
      <w:pPr>
        <w:spacing w:after="80"/>
      </w:pPr>
      <w:r>
        <w:rPr>
          <w:sz w:val="23"/>
        </w:rPr>
        <w:t>Today, consultants download PDF reports one by one from the CMF portal, key in figures by hand into spreadsheets, and recalculate ratios manually — across 24 companies and up to 11 fiscal years. It's slow, error-prone, and once the PDF is closed, there's no trace of where a number came from. FS Market Intelligence automates collection, extraction, modeling, quality checks, and restitution into one platform. As I like to put it: data is power — only if you use it.</w:t>
      </w:r>
    </w:p>
    <w:p>
      <w:pPr>
        <w:spacing w:before="280" w:after="40"/>
      </w:pPr>
      <w:r>
        <w:rPr>
          <w:b/>
          <w:color w:val="8A6D00"/>
          <w:sz w:val="26"/>
        </w:rPr>
        <w:t>Slide 8 — Why Not an Existing Market Tool?</w:t>
      </w:r>
    </w:p>
    <w:p>
      <w:pPr>
        <w:spacing w:after="80"/>
      </w:pPr>
      <w:r>
        <w:rPr>
          <w:sz w:val="23"/>
        </w:rPr>
        <w:t>Before building anything, I looked at what already exists. Azure gives you document and OCR extraction, but needs extra tools for analysis. AlphaSense does AI-powered financial search, but requires integration. Palantir Foundry is powerful but complex and not insurance-specific. Power BI is great for visualization but needs its data prepared elsewhere. None of them is purpose-built for the Tunisian insurance market — which is exactly the gap this project fills.</w:t>
      </w:r>
    </w:p>
    <w:p>
      <w:pPr>
        <w:spacing w:before="280" w:after="40"/>
      </w:pPr>
      <w:r>
        <w:rPr>
          <w:b/>
          <w:color w:val="8A6D00"/>
          <w:sz w:val="26"/>
        </w:rPr>
        <w:t>Slide 9 — Problem Statement</w:t>
      </w:r>
    </w:p>
    <w:p>
      <w:pPr>
        <w:spacing w:after="80"/>
      </w:pPr>
      <w:r>
        <w:rPr>
          <w:sz w:val="23"/>
        </w:rPr>
        <w:t>So the problem comes down to three things: scattered data, manual processes, and limited insight. Put together, that means the financial sector is rich in data, but poor in actionable insight. The question I set out to answer was: how do we automate collection and extraction while guaranteeing reliability and traceability, and adding an intelligence layer a spreadsheet simply can't offer?</w:t>
      </w:r>
    </w:p>
    <w:p>
      <w:pPr>
        <w:spacing w:before="280" w:after="40"/>
      </w:pPr>
      <w:r>
        <w:rPr>
          <w:b/>
          <w:color w:val="8A6D00"/>
          <w:sz w:val="26"/>
        </w:rPr>
        <w:t>Slide 10 — Proposed Solution</w:t>
      </w:r>
    </w:p>
    <w:p>
      <w:pPr>
        <w:spacing w:after="80"/>
      </w:pPr>
      <w:r>
        <w:rPr>
          <w:sz w:val="23"/>
        </w:rPr>
        <w:t>My answer is FS Market Intelligence, built around four pillars. Automate: no manual re-entry. Trace: every KPI is clickable back to its exact source cell in the PDF. Monitor: a continuous scheduled pipeline instead of daily manual watching. And Augment: an AI layer for anomaly detection, forecasting, and a conversational assistant.</w:t>
      </w:r>
    </w:p>
    <w:p>
      <w:pPr>
        <w:spacing w:before="280" w:after="40"/>
      </w:pPr>
      <w:r>
        <w:rPr>
          <w:b/>
          <w:color w:val="8A6D00"/>
          <w:sz w:val="26"/>
        </w:rPr>
        <w:t>Slide 11 — Divider — Requirements &amp; Methodology</w:t>
      </w:r>
    </w:p>
    <w:p>
      <w:pPr>
        <w:spacing w:after="80"/>
      </w:pPr>
      <w:r>
        <w:rPr>
          <w:sz w:val="23"/>
        </w:rPr>
        <w:t>Now let's look at what the platform had to do, and how I organized the work to get there.</w:t>
      </w:r>
    </w:p>
    <w:p>
      <w:pPr>
        <w:spacing w:before="280" w:after="40"/>
      </w:pPr>
      <w:r>
        <w:rPr>
          <w:b/>
          <w:color w:val="8A6D00"/>
          <w:sz w:val="26"/>
        </w:rPr>
        <w:t>Slide 12 — What the Platform Must Do</w:t>
      </w:r>
    </w:p>
    <w:p>
      <w:pPr>
        <w:spacing w:after="80"/>
      </w:pPr>
      <w:r>
        <w:rPr>
          <w:sz w:val="23"/>
        </w:rPr>
        <w:t>Functionally, the platform had to let a consultant explore the market, compare companies, monitor changes, and interact intelligently through AI. Non-functionally, it had to be accurate — no figure without a verifiable source — usable, reliable, and scalable enough to package as a standalone executable.</w:t>
      </w:r>
    </w:p>
    <w:p>
      <w:pPr>
        <w:spacing w:before="280" w:after="40"/>
      </w:pPr>
      <w:r>
        <w:rPr>
          <w:b/>
          <w:color w:val="8A6D00"/>
          <w:sz w:val="26"/>
        </w:rPr>
        <w:t>Slide 13 — Methodology — CRISP-DM + Agile</w:t>
      </w:r>
    </w:p>
    <w:p>
      <w:pPr>
        <w:spacing w:after="80"/>
      </w:pPr>
      <w:r>
        <w:rPr>
          <w:sz w:val="23"/>
        </w:rPr>
        <w:t>I combined two frameworks. CRISP-DM structured the data lifecycle: business understanding, data understanding, preparation, modeling, evaluation, deployment. And on top of that, I ran an Agile working cycle for every single phase: audit, correct, test, document, then iterate. That meant verifying against real PDFs empirically before writing code, and documenting every phase as it was validated — not just at the end.</w:t>
      </w:r>
    </w:p>
    <w:p>
      <w:pPr>
        <w:spacing w:before="280" w:after="40"/>
      </w:pPr>
      <w:r>
        <w:rPr>
          <w:b/>
          <w:color w:val="8A6D00"/>
          <w:sz w:val="26"/>
        </w:rPr>
        <w:t>Slide 14 — Project Roadmap</w:t>
      </w:r>
    </w:p>
    <w:p>
      <w:pPr>
        <w:spacing w:after="80"/>
      </w:pPr>
      <w:r>
        <w:rPr>
          <w:sz w:val="23"/>
        </w:rPr>
        <w:t>The project moved through seven phases: framing, collection, extraction, modeling, quality, restitution, and finally packaging into a deployable executable.</w:t>
      </w:r>
    </w:p>
    <w:p>
      <w:pPr>
        <w:spacing w:before="280" w:after="40"/>
      </w:pPr>
      <w:r>
        <w:rPr>
          <w:b/>
          <w:color w:val="8A6D00"/>
          <w:sz w:val="26"/>
        </w:rPr>
        <w:t>Slide 15 — Divider — Technologies &amp; Architecture</w:t>
      </w:r>
    </w:p>
    <w:p>
      <w:pPr>
        <w:spacing w:after="80"/>
      </w:pPr>
      <w:r>
        <w:rPr>
          <w:sz w:val="23"/>
        </w:rPr>
        <w:t>Let's move to the technical side: the stack I used, and how the system is structured.</w:t>
      </w:r>
    </w:p>
    <w:p>
      <w:pPr>
        <w:spacing w:before="280" w:after="40"/>
      </w:pPr>
      <w:r>
        <w:rPr>
          <w:b/>
          <w:color w:val="8A6D00"/>
          <w:sz w:val="26"/>
        </w:rPr>
        <w:t>Slide 16 — Technology Stack</w:t>
      </w:r>
    </w:p>
    <w:p>
      <w:pPr>
        <w:spacing w:after="80"/>
      </w:pPr>
      <w:r>
        <w:rPr>
          <w:sz w:val="23"/>
        </w:rPr>
        <w:t>On the frontend, React 18 with Vite and ApexCharts. The intelligence layer runs on the Groq LLM API, combined with Prophet and XGBoost for forecasting, and SHAP for explainability. The backend is Flask, the database is MySQL 8, extraction relies on Tesseract OCR, pandas and pdfplumber, and collection is handled with Python, Selenium and Requests.</w:t>
      </w:r>
    </w:p>
    <w:p>
      <w:pPr>
        <w:spacing w:before="280" w:after="40"/>
      </w:pPr>
      <w:r>
        <w:rPr>
          <w:b/>
          <w:color w:val="8A6D00"/>
          <w:sz w:val="26"/>
        </w:rPr>
        <w:t>Slide 17 — System Components &amp; Data Flow</w:t>
      </w:r>
    </w:p>
    <w:p>
      <w:pPr>
        <w:spacing w:after="80"/>
      </w:pPr>
      <w:r>
        <w:rPr>
          <w:sz w:val="23"/>
        </w:rPr>
        <w:t>Concretely: the React frontend talks to the Flask API over REST on port 8002, which reads and writes to MySQL. A separate chatbot service, running Groq, mirrors the data into a local SQLite copy for fast read-only access. And two background processes — a scheduled pipeline and a watcher thread — keep the database fresh and trigger alerts automatically.</w:t>
      </w:r>
    </w:p>
    <w:p>
      <w:pPr>
        <w:spacing w:before="280" w:after="40"/>
      </w:pPr>
      <w:r>
        <w:rPr>
          <w:b/>
          <w:color w:val="8A6D00"/>
          <w:sz w:val="26"/>
        </w:rPr>
        <w:t>Slide 18 — Platform Modules — 13 Pages</w:t>
      </w:r>
    </w:p>
    <w:p>
      <w:pPr>
        <w:spacing w:after="80"/>
      </w:pPr>
      <w:r>
        <w:rPr>
          <w:sz w:val="23"/>
        </w:rPr>
        <w:t>All of this comes together in 13 pages: from Market Overview and Comparative Analysis, to Data Quality, KPI Detail, and Data Management — covering everything from macro market exploration to fine-grained traceability and manual correction.</w:t>
      </w:r>
    </w:p>
    <w:p>
      <w:pPr>
        <w:spacing w:before="280" w:after="40"/>
      </w:pPr>
      <w:r>
        <w:rPr>
          <w:b/>
          <w:color w:val="8A6D00"/>
          <w:sz w:val="26"/>
        </w:rPr>
        <w:t>Slide 19 — Divider — Data Pipeline &amp; AI</w:t>
      </w:r>
    </w:p>
    <w:p>
      <w:pPr>
        <w:spacing w:after="80"/>
      </w:pPr>
      <w:r>
        <w:rPr>
          <w:sz w:val="23"/>
        </w:rPr>
        <w:t>Now, the heart of the project: how data actually flows from a raw PDF to a trusted insight, and where AI comes in.</w:t>
      </w:r>
    </w:p>
    <w:p>
      <w:pPr>
        <w:spacing w:before="280" w:after="40"/>
      </w:pPr>
      <w:r>
        <w:rPr>
          <w:b/>
          <w:color w:val="8A6D00"/>
          <w:sz w:val="26"/>
        </w:rPr>
        <w:t>Slide 20 — Data Sources</w:t>
      </w:r>
    </w:p>
    <w:p>
      <w:pPr>
        <w:spacing w:after="80"/>
      </w:pPr>
      <w:r>
        <w:rPr>
          <w:sz w:val="23"/>
        </w:rPr>
        <w:t>The pipeline collects from seven sources: the CGA, FTUSA, CMF, BVMT for stock quotes, INS for macroeconomic indicators, and two press sources, Atlas Magazine and ilBoursa, for sector news.</w:t>
      </w:r>
    </w:p>
    <w:p>
      <w:pPr>
        <w:spacing w:before="280" w:after="40"/>
      </w:pPr>
      <w:r>
        <w:rPr>
          <w:b/>
          <w:color w:val="8A6D00"/>
          <w:sz w:val="26"/>
        </w:rPr>
        <w:t>Slide 21 — End-to-End Data Pipeline</w:t>
      </w:r>
    </w:p>
    <w:p>
      <w:pPr>
        <w:spacing w:after="80"/>
      </w:pPr>
      <w:r>
        <w:rPr>
          <w:sz w:val="23"/>
        </w:rPr>
        <w:t>The pipeline runs in five stages: collect from those seven sources, extract using text parsing and OCR for scanned or Arabic documents, model the KPIs, verify them through a systematic quality and anomaly audit, and finally restitute everything through dashboards, AI, and exports.</w:t>
      </w:r>
    </w:p>
    <w:p>
      <w:pPr>
        <w:spacing w:before="280" w:after="40"/>
      </w:pPr>
      <w:r>
        <w:rPr>
          <w:b/>
          <w:color w:val="8A6D00"/>
          <w:sz w:val="26"/>
        </w:rPr>
        <w:t>Slide 22 — Conventional vs Takaful — A Core Differentiator</w:t>
      </w:r>
    </w:p>
    <w:p>
      <w:pPr>
        <w:spacing w:after="80"/>
      </w:pPr>
      <w:r>
        <w:rPr>
          <w:sz w:val="23"/>
        </w:rPr>
        <w:t>This is the technical and business heart of the project. The platform initially treated the two Takaful insurers exactly like the 22 conventional ones — same ratios, same formulas. An operational incident, where the conventional extractor was accidentally applied to a Takaful company, revealed this needed a much stricter separation. So I documented 33 Takaful ratios from IFSB references, verified them empirically against real PDFs from 2018 to 2025, and built dedicated formulas and a whole new “Participants' Fund” section — before writing a single line of extraction code.</w:t>
      </w:r>
    </w:p>
    <w:p>
      <w:pPr>
        <w:spacing w:before="280" w:after="40"/>
      </w:pPr>
      <w:r>
        <w:rPr>
          <w:b/>
          <w:color w:val="8A6D00"/>
          <w:sz w:val="26"/>
        </w:rPr>
        <w:t>Slide 23 — Takaful — By the Numbers</w:t>
      </w:r>
    </w:p>
    <w:p>
      <w:pPr>
        <w:spacing w:after="80"/>
      </w:pPr>
      <w:r>
        <w:rPr>
          <w:sz w:val="23"/>
        </w:rPr>
        <w:t>The result: 33 Takaful ratios sourced and documented as a reusable reference base, 6 brand-new “Participants' Fund” KPIs that were never available before, 100% coverage on AT-Takafulia, and 90 out of 90 existing tests still green — meaning zero regression on the 22 conventional companies.</w:t>
      </w:r>
    </w:p>
    <w:p>
      <w:pPr>
        <w:spacing w:before="280" w:after="40"/>
      </w:pPr>
      <w:r>
        <w:rPr>
          <w:b/>
          <w:color w:val="8A6D00"/>
          <w:sz w:val="26"/>
        </w:rPr>
        <w:t>Slide 24 — Quality, Validation &amp; Traceability</w:t>
      </w:r>
    </w:p>
    <w:p>
      <w:pPr>
        <w:spacing w:after="80"/>
      </w:pPr>
      <w:r>
        <w:rPr>
          <w:sz w:val="23"/>
        </w:rPr>
        <w:t>Every figure goes through the same loop: extract, validate, flag any anomaly with a probable cause and a recommendation, and highlight the exact source cell in the PDF. That loop is what everything else in this project builds trust on. There's also a dedicated Arabic OCR pipeline for the Arabic-only Takaful company, verified pixel by pixel against the source PDF.</w:t>
      </w:r>
    </w:p>
    <w:p>
      <w:pPr>
        <w:spacing w:before="280" w:after="40"/>
      </w:pPr>
      <w:r>
        <w:rPr>
          <w:b/>
          <w:color w:val="8A6D00"/>
          <w:sz w:val="26"/>
        </w:rPr>
        <w:t>Slide 25 — AI — Three Concrete Capabilities</w:t>
      </w:r>
    </w:p>
    <w:p>
      <w:pPr>
        <w:spacing w:after="80"/>
      </w:pPr>
      <w:r>
        <w:rPr>
          <w:sz w:val="23"/>
        </w:rPr>
        <w:t>On top of that trusted data, the Groq LLM powers three concrete capabilities: generating full anomaly reports with causes and recommendations, answering questions through a RAG-based chatbot grounded in real platform data from 2015 to 2024, and anticipating trends with Prophet and XGBoost, each forecast explained through SHAP rather than delivered as a black-box number.</w:t>
      </w:r>
    </w:p>
    <w:p>
      <w:pPr>
        <w:spacing w:before="280" w:after="40"/>
      </w:pPr>
      <w:r>
        <w:rPr>
          <w:b/>
          <w:color w:val="8A6D00"/>
          <w:sz w:val="26"/>
        </w:rPr>
        <w:t>Slide 26 — Divider — Conclusion &amp; Perspectives</w:t>
      </w:r>
    </w:p>
    <w:p>
      <w:pPr>
        <w:spacing w:after="80"/>
      </w:pPr>
      <w:r>
        <w:rPr>
          <w:sz w:val="23"/>
        </w:rPr>
        <w:t>Let me close with what this delivers, what I'll openly admit is still limited, and where it goes next.</w:t>
      </w:r>
    </w:p>
    <w:p>
      <w:pPr>
        <w:spacing w:before="280" w:after="40"/>
      </w:pPr>
      <w:r>
        <w:rPr>
          <w:b/>
          <w:color w:val="8A6D00"/>
          <w:sz w:val="26"/>
        </w:rPr>
        <w:t>Slide 27 — Added Value &amp; Business Impact</w:t>
      </w:r>
    </w:p>
    <w:p>
      <w:pPr>
        <w:spacing w:after="80"/>
      </w:pPr>
      <w:r>
        <w:rPr>
          <w:sz w:val="23"/>
        </w:rPr>
        <w:t>In summary: 24 companies tracked automatically, 13 dashboard pages delivered, 7 data sources unified in a single pipeline, and 100% traceability to source. That translates into real impact: time saved before every mission, numbers consultants can trust, forward-looking insight instead of only historical reporting, and faster answers than manually searching a PDF.</w:t>
      </w:r>
    </w:p>
    <w:p>
      <w:pPr>
        <w:spacing w:before="280" w:after="40"/>
      </w:pPr>
      <w:r>
        <w:rPr>
          <w:b/>
          <w:color w:val="8A6D00"/>
          <w:sz w:val="26"/>
        </w:rPr>
        <w:t>Slide 28 — Limitations — Honestly Stated</w:t>
      </w:r>
    </w:p>
    <w:p>
      <w:pPr>
        <w:spacing w:after="80"/>
      </w:pPr>
      <w:r>
        <w:rPr>
          <w:sz w:val="23"/>
        </w:rPr>
        <w:t>I want to be transparent about what's still limited. Coverage is limited to Tunisia. Some indicators can't be extracted from corrupted PDF fonts or fully scanned pages. The chatbot's data can lag a few minutes behind the live database. The Arabic Takaful company only has partial coverage on some fund indicators — I'd rather show a partial, reliable figure than a wrong one. And for this test deployment, I intentionally loaded only 5 fiscal years instead of 10, to keep startup light while validating the platform end to end.</w:t>
      </w:r>
    </w:p>
    <w:p>
      <w:pPr>
        <w:spacing w:before="280" w:after="40"/>
      </w:pPr>
      <w:r>
        <w:rPr>
          <w:b/>
          <w:color w:val="8A6D00"/>
          <w:sz w:val="26"/>
        </w:rPr>
        <w:t>Slide 29 — Roadmap — What's Next</w:t>
      </w:r>
    </w:p>
    <w:p>
      <w:pPr>
        <w:spacing w:after="80"/>
      </w:pPr>
      <w:r>
        <w:rPr>
          <w:sz w:val="23"/>
        </w:rPr>
        <w:t>Looking ahead: recovering the indicators that are still missing, syncing the chatbot's data faster, extending OCR coverage and moving the pipeline to a fully unattended production mode, and eventually expanding beyond Tunisia.</w:t>
      </w:r>
    </w:p>
    <w:p>
      <w:pPr>
        <w:spacing w:before="280" w:after="40"/>
      </w:pPr>
      <w:r>
        <w:rPr>
          <w:b/>
          <w:color w:val="8A6D00"/>
          <w:sz w:val="26"/>
        </w:rPr>
        <w:t>Slide 30 — Closing</w:t>
      </w:r>
    </w:p>
    <w:p>
      <w:pPr>
        <w:spacing w:after="80"/>
      </w:pPr>
      <w:r>
        <w:rPr>
          <w:sz w:val="23"/>
        </w:rPr>
        <w:t>A consultant has questions. This platform has the answers. Thank you for your attention — I'm happy to take your questions.</w:t>
      </w:r>
    </w:p>
    <w:p>
      <w:pPr>
        <w:spacing w:after="160"/>
      </w:pPr>
      <w:r>
        <w:rPr>
          <w:i/>
          <w:color w:val="909090"/>
          <w:sz w:val="20"/>
        </w:rPr>
        <w:t>End on this line, then pause and wait for the jury.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