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3363F"/>
          <w:sz w:val="40"/>
        </w:rPr>
        <w:t>FS Market Intelligence — Speech, Technical Parts (Sections 3 to 5)</w:t>
      </w:r>
    </w:p>
    <w:p>
      <w:r>
        <w:rPr>
          <w:i/>
          <w:color w:val="606060"/>
          <w:sz w:val="22"/>
        </w:rPr>
        <w:t>Matches deck v3 (slides 11 to 27). Say it naturally; the examples and figures are the only parts that must stay exact.</w:t>
      </w:r>
    </w:p>
    <w:p>
      <w:pPr>
        <w:spacing w:before="280" w:after="40"/>
      </w:pPr>
      <w:r>
        <w:rPr>
          <w:b/>
          <w:color w:val="8A6D00"/>
          <w:sz w:val="26"/>
        </w:rPr>
        <w:t>Slide 11 — Divider — Requirements &amp; Methodology</w:t>
      </w:r>
    </w:p>
    <w:p>
      <w:pPr>
        <w:spacing w:after="80"/>
      </w:pPr>
      <w:r>
        <w:rPr>
          <w:sz w:val="23"/>
        </w:rPr>
        <w:t>We've seen the business side. Now let's get into the technical side, starting with what the platform had to do and how I organized the work.</w:t>
      </w:r>
    </w:p>
    <w:p>
      <w:pPr>
        <w:spacing w:before="280" w:after="40"/>
      </w:pPr>
      <w:r>
        <w:rPr>
          <w:b/>
          <w:color w:val="8A6D00"/>
          <w:sz w:val="26"/>
        </w:rPr>
        <w:t>Slide 12 — Functional Requirements</w:t>
      </w:r>
    </w:p>
    <w:p>
      <w:pPr>
        <w:spacing w:after="80"/>
      </w:pPr>
      <w:r>
        <w:rPr>
          <w:sz w:val="23"/>
        </w:rPr>
        <w:t>Functionally, four verbs sum up the need. Explore: browse KPIs and company profiles. Compare: benchmark companies against each other. Monitor: follow alerts and regulatory changes. And Interact: ask an AI assistant and see forecasts. Every page of the platform maps back to one of these four.</w:t>
      </w:r>
    </w:p>
    <w:p>
      <w:pPr>
        <w:spacing w:before="280" w:after="40"/>
      </w:pPr>
      <w:r>
        <w:rPr>
          <w:b/>
          <w:color w:val="8A6D00"/>
          <w:sz w:val="26"/>
        </w:rPr>
        <w:t>Slide 13 — Non-Functional Requirements</w:t>
      </w:r>
    </w:p>
    <w:p>
      <w:pPr>
        <w:spacing w:after="80"/>
      </w:pPr>
      <w:r>
        <w:rPr>
          <w:sz w:val="23"/>
        </w:rPr>
        <w:t>Just as important are the qualities the platform must have. Accuracy: no figure is shown without a verifiable source. Usability: one single entry point, in the EY design system. Reliability: every edge case I meet is documented and reusable. And scalability: a standalone executable, with a weekly pipeline. Accuracy is the one that shaped the most technical decisions.</w:t>
      </w:r>
    </w:p>
    <w:p>
      <w:pPr>
        <w:spacing w:before="280" w:after="40"/>
      </w:pPr>
      <w:r>
        <w:rPr>
          <w:b/>
          <w:color w:val="8A6D00"/>
          <w:sz w:val="26"/>
        </w:rPr>
        <w:t>Slide 14 — Methodology — CRISP-DM + Agile</w:t>
      </w:r>
    </w:p>
    <w:p>
      <w:pPr>
        <w:spacing w:after="80"/>
      </w:pPr>
      <w:r>
        <w:rPr>
          <w:sz w:val="23"/>
        </w:rPr>
        <w:t>To structure the work, I combined two frameworks. CRISP-DM, on the left, gives the data lifecycle: business understanding, data understanding, data preparation, modeling, evaluation, deployment. On the right, an Agile cycle that I applied to every phase: audit, correct, test, document, then iterate. In practice that means I never fixed something from assumptions: I audited on the real PDFs first, fixed, tested, and wrote down what I learned.</w:t>
      </w:r>
    </w:p>
    <w:p>
      <w:pPr>
        <w:spacing w:before="280" w:after="40"/>
      </w:pPr>
      <w:r>
        <w:rPr>
          <w:b/>
          <w:color w:val="8A6D00"/>
          <w:sz w:val="26"/>
        </w:rPr>
        <w:t>Slide 15 — CRISP-DM in Action</w:t>
      </w:r>
    </w:p>
    <w:p>
      <w:pPr>
        <w:spacing w:after="80"/>
      </w:pPr>
      <w:r>
        <w:rPr>
          <w:sz w:val="23"/>
        </w:rPr>
        <w:t>Let me make this concrete with one real example per phase. Business understanding: consultants re-key PDF figures for 24 companies over up to 11 years, and they need numbers they can trust and trace. Data understanding: when I inspected the raw PDFs, I found that ATTIJARI's balance sheet has 6 value columns while most others have 4, and that Takaful PDFs add a Notes column. Data preparation: all these layouts become one schema, through canonical row and column dictionaries, plus OCR for Arabic and scanned pages. Modeling: the loss ratio is claims charges divided by earned premiums, and Takaful gets its own IFSB-based formulas. Evaluation: I use accounting identities as checks, for example Net equals Gross plus Ceded, outliers are flagged, and the 90 tests are green. Deployment: one double-click on a standalone executable, with MySQL, and no Python installation.</w:t>
      </w:r>
    </w:p>
    <w:p>
      <w:pPr>
        <w:spacing w:after="160"/>
      </w:pPr>
      <w:r>
        <w:rPr>
          <w:i/>
          <w:color w:val="909090"/>
          <w:sz w:val="20"/>
        </w:rPr>
        <w:t>This is the key slide of the methodology part; take your time on the data understanding example.</w:t>
      </w:r>
    </w:p>
    <w:p>
      <w:pPr>
        <w:spacing w:before="280" w:after="40"/>
      </w:pPr>
      <w:r>
        <w:rPr>
          <w:b/>
          <w:color w:val="8A6D00"/>
          <w:sz w:val="26"/>
        </w:rPr>
        <w:t>Slide 16 — Project Roadmap</w:t>
      </w:r>
    </w:p>
    <w:p>
      <w:pPr>
        <w:spacing w:after="80"/>
      </w:pPr>
      <w:r>
        <w:rPr>
          <w:sz w:val="23"/>
        </w:rPr>
        <w:t>Over six months, the project followed seven phases: framing, collection, extraction, modeling, quality, delivery and packaging. They overlap on purpose, because each phase started before the previous one fully closed. This timeline is illustrative, it shows the logic and the order rather than exact dates.</w:t>
      </w:r>
    </w:p>
    <w:p>
      <w:pPr>
        <w:spacing w:before="280" w:after="40"/>
      </w:pPr>
      <w:r>
        <w:rPr>
          <w:b/>
          <w:color w:val="8A6D00"/>
          <w:sz w:val="26"/>
        </w:rPr>
        <w:t>Slide 17 — Divider — Technologies &amp; Architecture</w:t>
      </w:r>
    </w:p>
    <w:p>
      <w:pPr>
        <w:spacing w:after="80"/>
      </w:pPr>
      <w:r>
        <w:rPr>
          <w:sz w:val="23"/>
        </w:rPr>
        <w:t>Now the technologies I chose and how the system is built.</w:t>
      </w:r>
    </w:p>
    <w:p>
      <w:pPr>
        <w:spacing w:before="280" w:after="40"/>
      </w:pPr>
      <w:r>
        <w:rPr>
          <w:b/>
          <w:color w:val="8A6D00"/>
          <w:sz w:val="26"/>
        </w:rPr>
        <w:t>Slide 18 — Technology Stack</w:t>
      </w:r>
    </w:p>
    <w:p>
      <w:pPr>
        <w:spacing w:after="80"/>
      </w:pPr>
      <w:r>
        <w:rPr>
          <w:sz w:val="23"/>
        </w:rPr>
        <w:t>Reading from the bottom up. Collection uses Python, Selenium, Requests and BeautifulSoup. Extraction and processing use Tesseract OCR, pandas, pdfplumber and openpyxl. Persistence is MySQL 8. The backend is Flask. The intelligence layer, highlighted in yellow, uses the Groq LLM API with Prophet, XGBoost and SHAP. And the frontend is React 18 with Vite and ApexCharts. Each layer answers one need of the pipeline, I didn't add tools for their own sake.</w:t>
      </w:r>
    </w:p>
    <w:p>
      <w:pPr>
        <w:spacing w:before="280" w:after="40"/>
      </w:pPr>
      <w:r>
        <w:rPr>
          <w:b/>
          <w:color w:val="8A6D00"/>
          <w:sz w:val="26"/>
        </w:rPr>
        <w:t>Slide 19 — System Components &amp; Data Flow</w:t>
      </w:r>
    </w:p>
    <w:p>
      <w:pPr>
        <w:spacing w:after="80"/>
      </w:pPr>
      <w:r>
        <w:rPr>
          <w:sz w:val="23"/>
        </w:rPr>
        <w:t>Here is how it runs. The React frontend talks to the Flask API over REST on port 8002, and the API reads and writes MySQL. The chatbot is a separate Flask service using Groq, and it reads a read-only SQLite copy of the data. Two background processes feed the database: a batch pipeline, and a watcher thread that checks every 30 minutes and raises alerts. A real example: when a consultant clicks Total assets for ATTIJARI 2024, the frontend calls the API, the API queries MySQL, and the answer comes back as 920.2 million dinars, together with its source page in the PDF, page 2.</w:t>
      </w:r>
    </w:p>
    <w:p>
      <w:pPr>
        <w:spacing w:before="280" w:after="40"/>
      </w:pPr>
      <w:r>
        <w:rPr>
          <w:b/>
          <w:color w:val="8A6D00"/>
          <w:sz w:val="26"/>
        </w:rPr>
        <w:t>Slide 20 — Divider — Data Pipeline &amp; AI</w:t>
      </w:r>
    </w:p>
    <w:p>
      <w:pPr>
        <w:spacing w:after="80"/>
      </w:pPr>
      <w:r>
        <w:rPr>
          <w:sz w:val="23"/>
        </w:rPr>
        <w:t>Now the heart of the project: how a raw PDF becomes a trusted figure, and where AI comes in.</w:t>
      </w:r>
    </w:p>
    <w:p>
      <w:pPr>
        <w:spacing w:before="280" w:after="40"/>
      </w:pPr>
      <w:r>
        <w:rPr>
          <w:b/>
          <w:color w:val="8A6D00"/>
          <w:sz w:val="26"/>
        </w:rPr>
        <w:t>Slide 21 — Data Sources</w:t>
      </w:r>
    </w:p>
    <w:p>
      <w:pPr>
        <w:spacing w:after="80"/>
      </w:pPr>
      <w:r>
        <w:rPr>
          <w:sz w:val="23"/>
        </w:rPr>
        <w:t>The pipeline collects from seven sources: CGA, FTUSA, CMF, the Tunis stock exchange BVMT, INS for macroeconomic indicators, and two press sources, Atlas Magazine and ilBoursa. The CMF is the most important one, because that is where the companies' financial reports are published.</w:t>
      </w:r>
    </w:p>
    <w:p>
      <w:pPr>
        <w:spacing w:before="280" w:after="40"/>
      </w:pPr>
      <w:r>
        <w:rPr>
          <w:b/>
          <w:color w:val="8A6D00"/>
          <w:sz w:val="26"/>
        </w:rPr>
        <w:t>Slide 22 — End-to-End Data Pipeline</w:t>
      </w:r>
    </w:p>
    <w:p>
      <w:pPr>
        <w:spacing w:after="80"/>
      </w:pPr>
      <w:r>
        <w:rPr>
          <w:sz w:val="23"/>
        </w:rPr>
        <w:t>The pipeline has five stages, and I'll give one real example for each. Collect: for instance, the CMF report of ZITOUNA Takaful for 2020 is downloaded. Extract: on STAR 2024, page 31, Annexe 12, the line Primes émises Vie is read cell by cell, giving 54,434,452. Model: premiums are Life, 54.43 million, plus Non-Life, 376.78 million, which gives 431.21 million dinars. Verify: LLOYD_VIE shows a combined ratio of 29.5%, against a sector average of 82.4%, so it is flagged. Restitute: a user asks the chatbot for STAR's combined ratio in 2024, and gets 98.77%.</w:t>
      </w:r>
    </w:p>
    <w:p>
      <w:pPr>
        <w:spacing w:after="160"/>
      </w:pPr>
      <w:r>
        <w:rPr>
          <w:i/>
          <w:color w:val="909090"/>
          <w:sz w:val="20"/>
        </w:rPr>
        <w:t>Point at each box as you give its example.</w:t>
      </w:r>
    </w:p>
    <w:p>
      <w:pPr>
        <w:spacing w:before="280" w:after="40"/>
      </w:pPr>
      <w:r>
        <w:rPr>
          <w:b/>
          <w:color w:val="8A6D00"/>
          <w:sz w:val="26"/>
        </w:rPr>
        <w:t>Slide 23 — Restitute — The 13 Platform Pages</w:t>
      </w:r>
    </w:p>
    <w:p>
      <w:pPr>
        <w:spacing w:after="80"/>
      </w:pPr>
      <w:r>
        <w:rPr>
          <w:sz w:val="23"/>
        </w:rPr>
        <w:t>The last stage, restitute, is what the user actually sees: 13 pages, from Market Overview and Comparative Analysis to Data Quality, KPI Detail, Data Management and System Anomalies. I won't go through them one by one, the demo will show the key ones.</w:t>
      </w:r>
    </w:p>
    <w:p>
      <w:pPr>
        <w:spacing w:before="280" w:after="40"/>
      </w:pPr>
      <w:r>
        <w:rPr>
          <w:b/>
          <w:color w:val="8A6D00"/>
          <w:sz w:val="26"/>
        </w:rPr>
        <w:t>Slide 24 — Conventional vs Takaful</w:t>
      </w:r>
    </w:p>
    <w:p>
      <w:pPr>
        <w:spacing w:after="80"/>
      </w:pPr>
      <w:r>
        <w:rPr>
          <w:sz w:val="23"/>
        </w:rPr>
        <w:t>This is the most important technical and business decision of the project. The platform first treated the two Takaful insurers like the 22 conventional ones, with the same ratios and formulas. An incident, where the conventional extractor was applied to a Takaful company, showed this was wrong. So the data splits in two: conventional companies keep standard ratios, Takaful companies follow the NCT 43 accounting norm, IFSB ratios and the Wakala and Moudharaba model. Both merge again into the same unified dashboards.</w:t>
      </w:r>
    </w:p>
    <w:p>
      <w:pPr>
        <w:spacing w:before="280" w:after="40"/>
      </w:pPr>
      <w:r>
        <w:rPr>
          <w:b/>
          <w:color w:val="8A6D00"/>
          <w:sz w:val="26"/>
        </w:rPr>
        <w:t>Slide 25 — Takaful — By the Numbers</w:t>
      </w:r>
    </w:p>
    <w:p>
      <w:pPr>
        <w:spacing w:after="80"/>
      </w:pPr>
      <w:r>
        <w:rPr>
          <w:sz w:val="23"/>
        </w:rPr>
        <w:t>The result: 33 Takaful ratios sourced and documented, 6 new Participants' Fund KPIs that did not exist before, 100% coverage on AT-Takafulia, and 90 out of 90 tests still green, so no regression on the conventional companies. A concrete example: for ZITOUNA Takaful, the Participants' Fund statement shows premiums of 34.9 million dinars gross, 1.8 million ceded to reinsurers, and 33.1 million net. A conventional formula would have ignored this fund structure.</w:t>
      </w:r>
    </w:p>
    <w:p>
      <w:pPr>
        <w:spacing w:before="280" w:after="40"/>
      </w:pPr>
      <w:r>
        <w:rPr>
          <w:b/>
          <w:color w:val="8A6D00"/>
          <w:sz w:val="26"/>
        </w:rPr>
        <w:t>Slide 26 — Quality, Validation &amp; Traceability</w:t>
      </w:r>
    </w:p>
    <w:p>
      <w:pPr>
        <w:spacing w:after="80"/>
      </w:pPr>
      <w:r>
        <w:rPr>
          <w:sz w:val="23"/>
        </w:rPr>
        <w:t>Every figure goes through the same loop: extract, validate, flag any anomaly with a recommendation, and highlight the exact source cell in the PDF. That is what the word trust in the middle means. Real example: LLOYD_VIE has a combined ratio of 29.5%. On its own it is plausible, but the sector average is 82.4% across 21 companies for 2025. So it is flagged as aberrant, with a probable cause, and the recommendation is to compare with the source PDF. And for ATTIJARI's total assets of 920.2 million, one click highlights the exact cell on page 2.</w:t>
      </w:r>
    </w:p>
    <w:p>
      <w:pPr>
        <w:spacing w:before="280" w:after="40"/>
      </w:pPr>
      <w:r>
        <w:rPr>
          <w:b/>
          <w:color w:val="8A6D00"/>
          <w:sz w:val="26"/>
        </w:rPr>
        <w:t>Slide 27 — AI — Three Concrete Capabilities</w:t>
      </w:r>
    </w:p>
    <w:p>
      <w:pPr>
        <w:spacing w:after="80"/>
      </w:pPr>
      <w:r>
        <w:rPr>
          <w:sz w:val="23"/>
        </w:rPr>
        <w:t>On top of this trusted data, the Groq LLM powers three capabilities, each shown here with a real result. Generate reports: the 2024 report lists 42 anomalies across 11 companies, with a global quality score of 73 out of 100, plus causes and recommendations. Answer questions: asked for STAR's combined ratio in 2024, the chatbot answers 98.77%, from the database and not from memory, thanks to RAG. Anticipate trends: for STAR's combined ratio in 2027, the forecast is 104.3%, with an 80% confidence interval from 93.9% to 114.7%, and a plain-language explanation. In all three cases, the AI explains its output, it is never a black box.</w:t>
      </w:r>
    </w:p>
    <w:p>
      <w:pPr>
        <w:spacing w:after="160"/>
      </w:pPr>
      <w:r>
        <w:rPr>
          <w:i/>
          <w:color w:val="909090"/>
          <w:sz w:val="20"/>
        </w:rPr>
        <w:t>Transition to the conclusion: "Let me now summarize what this delivers."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