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2E38"/>
          <w:sz w:val="40"/>
          <w:szCs w:val="40"/>
        </w:rPr>
        <w:t xml:space="preserve">PLAN DE LA FICHE TECHNIQUE</w:t>
      </w:r>
    </w:p>
    <w:p>
      <w:pPr>
        <w:pBdr>
          <w:bottom w:val="single" w:color="FFE600" w:sz="24" w:space="8"/>
        </w:pBdr>
        <w:spacing w:after="40"/>
        <w:jc w:val="center"/>
      </w:pPr>
      <w:r>
        <w:rPr>
          <w:rFonts w:ascii="Calibri" w:cs="Calibri" w:eastAsia="Calibri" w:hAnsi="Calibri"/>
          <w:b/>
          <w:bCs/>
          <w:color w:val="747480"/>
          <w:sz w:val="24"/>
          <w:szCs w:val="24"/>
        </w:rPr>
        <w:t xml:space="preserve">Baromètre Assurance TN  ·  FS Market Intelligence</w:t>
      </w:r>
    </w:p>
    <w:p>
      <w:pPr>
        <w:spacing w:after="320"/>
      </w:pPr>
    </w:p>
    <w:p>
      <w:pPr>
        <w:pBdr>
          <w:left w:val="single" w:color="FFE600" w:sz="18" w:space="10"/>
        </w:pBdr>
        <w:spacing w:after="260"/>
      </w:pPr>
      <w:r>
        <w:rPr>
          <w:rFonts w:ascii="Calibri" w:cs="Calibri" w:eastAsia="Calibri" w:hAnsi="Calibri"/>
          <w:i/>
          <w:iCs/>
          <w:color w:val="747480"/>
          <w:sz w:val="20"/>
          <w:szCs w:val="20"/>
        </w:rPr>
        <w:t xml:space="preserve">Ce plan liste les 10 parties techniques construites au fil des sessions. Le statut à droite de chaque titre indique où on en est ; le contenu complet de chaque partie suit après ce plan.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01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ARCHITECTURE GÉNÉRALE ET STACK TECHNIQUE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DB87C"/>
                <w:sz w:val="15"/>
                <w:szCs w:val="15"/>
              </w:rPr>
              <w:t xml:space="preserve">✓ EXPLIQUÉ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Structure des dossiers du projet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Flux global de la donnée (schéma bout-en-bout)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Stack technique complet et justification de chaque choix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02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SCRAPING — LA COLLECTE DES DONNÉES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DB87C"/>
                <w:sz w:val="15"/>
                <w:szCs w:val="15"/>
              </w:rPr>
              <w:t xml:space="preserve">✓ EXPLIQUÉ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Vue d'ensemble des 8 sources d'origine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Selenium uniquement pour le portail CMF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cas particulier CGA / FTUSA (double usage)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Filtrage et déduplication, avec exemples concrets et code réel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Reconnaissance automatique des sociétés (correspondance floue)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03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BASE DE DONNÉES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Schéma — les 6 tables et leurs relations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MySQL plutôt qu'une autre base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Migrations idempotentes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principe directeur : aucune donnée manquante n'est jamais reconstituée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04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EXTRACTION PDF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ne pas utiliser l'extraction de tableaux automatique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Bascule texte natif / OCR selon la qualité de la page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Extracteurs spécialisés par tableau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Extraction bilingue arabe (cas AL_AMANAH_TAKAFUL)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Surlignage PDF — localiser précisément une cellule source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Documentation empirique des cas particuliers rencontrés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05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CALCUL DES KPI ET RATIOS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Les formules principales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Double niveau de calcul (écriture et lecture)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Garde-fous de cohérence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06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ORCHESTRATION — LE PIPELINE PLANIFIÉ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pipeline hebdomadaire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problème de la tâche planifiée Windows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La solution retenue : un thread de fond dans le serveur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07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BACKEND API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Point d'entrée et démarrage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Inventaire des routes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Les services métier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aucune authentification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08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FRONTEND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Stack et routage — 13 pages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design system EY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mécanisme de surlignage PDF côté écran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Composants transverses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Pages non finalisées à connaître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09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INTELLIGENCE ARTIFICIELLE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IA générative vs IA prédictive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chatbot RAG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Rapport IA et explication de chiffres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module de prévision (Prophet + XGBoost)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Sélection automatique et explicabilité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Synchronisation des données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10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DÉPLOIEMENT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Docker Compose — les 4 services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Docker</w:t>
      </w:r>
    </w:p>
    <w:p>
      <w:pPr>
        <w:spacing w:after="260"/>
      </w:pPr>
    </w:p>
    <w:p>
      <w:pPr>
        <w:pBdr>
          <w:top w:val="single" w:color="D9D9D9" w:sz="8" w:space="8"/>
        </w:pBdr>
        <w:spacing w:before="100"/>
      </w:pPr>
      <w:r>
        <w:rPr>
          <w:rFonts w:ascii="Calibri" w:cs="Calibri" w:eastAsia="Calibri" w:hAnsi="Calibri"/>
          <w:i/>
          <w:iCs/>
          <w:color w:val="747480"/>
          <w:sz w:val="17"/>
          <w:szCs w:val="17"/>
        </w:rPr>
        <w:t xml:space="preserve">Légende — ✓ Expliqué et verrouillé   ◐ En cours de validation   ○ Pas encore abordé</w:t>
      </w:r>
    </w:p>
    <w:p>
      <w:r>
        <w:br w:type="page"/>
      </w:r>
    </w:p>
    <w:p>
      <w:pPr>
        <w:pStyle w:val="Title"/>
        <w:spacing w:after="140" w:before="0"/>
      </w:pPr>
      <w:r>
        <w:rPr>
          <w:b/>
          <w:bCs/>
          <w:color w:val="2E2E38"/>
        </w:rPr>
        <w:t xml:space="preserve">Fiche technique — Baromètre Assurance TN</w:t>
      </w:r>
    </w:p>
    <w:p>
      <w:pPr>
        <w:pStyle w:val="Heading1"/>
        <w:spacing w:after="140" w:before="280"/>
      </w:pPr>
      <w:r>
        <w:rPr>
          <w:b/>
          <w:bCs/>
          <w:color w:val="2E2E38"/>
        </w:rPr>
        <w:t xml:space="preserve">PARTIE 1 — ARCHITECTURE GÉNÉRALE ET STACK TECHNIQUE</w:t>
      </w:r>
    </w:p>
    <w:p>
      <w:pPr>
        <w:pStyle w:val="Heading2"/>
        <w:spacing w:after="140" w:before="280"/>
      </w:pPr>
      <w:r>
        <w:rPr>
          <w:b/>
          <w:bCs/>
          <w:color w:val="555555"/>
        </w:rPr>
        <w:t xml:space="preserve">Structure des dossiers</w:t>
      </w:r>
    </w:p>
    <w:p>
      <w:pPr>
        <w:spacing w:after="140"/>
      </w:pPr>
      <w:r>
        <w:rPr>
          <w:rFonts w:ascii="Consolas" w:cs="Consolas" w:eastAsia="Consolas" w:hAnsi="Consolas"/>
          <w:sz w:val="20"/>
          <w:szCs w:val="20"/>
        </w:rPr>
        <w:t xml:space="preserve"/>
      </w:r>
      <w:r>
        <w:t xml:space="preserve">`</w:t>
      </w:r>
    </w:p>
    <w:p>
      <w:pPr>
        <w:spacing w:after="140"/>
      </w:pPr>
      <w:r>
        <w:t xml:space="preserve">BarometreAssurance/</w:t>
      </w:r>
    </w:p>
    <w:p>
      <w:pPr>
        <w:spacing w:after="140"/>
      </w:pPr>
      <w:r>
        <w:t xml:space="preserve">├── api/              serveur backend</w:t>
      </w:r>
    </w:p>
    <w:p>
      <w:pPr>
        <w:spacing w:after="140"/>
      </w:pPr>
      <w:r>
        <w:t xml:space="preserve">├── frontend/          site web</w:t>
      </w:r>
    </w:p>
    <w:p>
      <w:pPr>
        <w:spacing w:after="140"/>
      </w:pPr>
      <w:r>
        <w:t xml:space="preserve">├── scraping/           robots de collecte</w:t>
      </w:r>
    </w:p>
    <w:p>
      <w:pPr>
        <w:spacing w:after="140"/>
      </w:pPr>
      <w:r>
        <w:t xml:space="preserve">├── extraction/           lecture des PDF</w:t>
      </w:r>
    </w:p>
    <w:p>
      <w:pPr>
        <w:spacing w:after="140"/>
      </w:pPr>
      <w:r>
        <w:t xml:space="preserve">├── database/              accès MySQL</w:t>
      </w:r>
    </w:p>
    <w:p>
      <w:pPr>
        <w:spacing w:after="140"/>
      </w:pPr>
      <w:r>
        <w:t xml:space="preserve">├── config/                 registre des 24 compagnies</w:t>
      </w:r>
    </w:p>
    <w:p>
      <w:pPr>
        <w:spacing w:after="140"/>
      </w:pPr>
      <w:r>
        <w:t xml:space="preserve">├── pipelines/               orchestration planifiée</w:t>
      </w:r>
    </w:p>
    <w:p>
      <w:pPr>
        <w:spacing w:after="140"/>
      </w:pPr>
      <w:r>
        <w:t xml:space="preserve">└── chatbot_portable/         IA, serveur séparé</w:t>
      </w:r>
    </w:p>
    <w:p>
      <w:pPr>
        <w:spacing w:after="140"/>
      </w:pPr>
      <w:r>
        <w:rPr>
          <w:rFonts w:ascii="Consolas" w:cs="Consolas" w:eastAsia="Consolas" w:hAnsi="Consolas"/>
          <w:sz w:val="20"/>
          <w:szCs w:val="20"/>
        </w:rPr>
        <w:t xml:space="preserve"/>
      </w:r>
      <w:r>
        <w:t xml:space="preserve">`</w:t>
      </w:r>
    </w:p>
    <w:p>
      <w:pPr>
        <w:pStyle w:val="Heading2"/>
        <w:spacing w:after="140" w:before="280"/>
      </w:pPr>
      <w:r>
        <w:rPr>
          <w:b/>
          <w:bCs/>
          <w:color w:val="555555"/>
        </w:rPr>
        <w:t xml:space="preserve">Flux de la donnée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Scraping → un PDF est repéré sur un site officiel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 de données → métadonnées notées (société, année, lien)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Extraction → les chiffres sont lus dans le PDF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 de données → chiffres stockés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Calcul → ratios déduits (rentabilité, sinistralité...)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API → backend sert les données en JSON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Frontend → affichage en graphiques/tableaux</w:t>
      </w:r>
    </w:p>
    <w:p>
      <w:pPr>
        <w:pStyle w:val="Heading2"/>
        <w:spacing w:after="140" w:before="280"/>
      </w:pPr>
      <w:r>
        <w:rPr>
          <w:b/>
          <w:bCs/>
          <w:color w:val="555555"/>
        </w:rPr>
        <w:t xml:space="preserve">Stack technique — l'essentiel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3496"/>
        <w:gridCol w:w="4661"/>
      </w:tblGrid>
      <w:tr>
        <w:trPr>
          <w:tblHeader/>
        </w:trPr>
        <w:tc>
          <w:tcPr>
            <w:tcW w:type="dxa" w:w="1589"/>
            <w:shd w:fill="2E2E3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Brique</w:t>
            </w:r>
          </w:p>
        </w:tc>
        <w:tc>
          <w:tcPr>
            <w:tcW w:type="dxa" w:w="3496"/>
            <w:shd w:fill="2E2E3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4661"/>
            <w:shd w:fill="2E2E3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Pourquoi (résumé)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Python + Flask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Léger, même langage que l'extraction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données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MySQL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Données très relationnelles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Scraping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Selenium (CMF) + requests (reste)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Selenium seulement si JS dynamique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Extraction PDF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pdfplumber + Tesseract OCR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Position exacte des mots + OCR gratuit fr/ar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 + Vite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Rechargement rapide en dev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Graphiques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ApexCharts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Beaucoup de types, peu de code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IA générative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Groq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Rapide, peu coûteux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Prévision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Prophet + XGBoost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Complémentaires, sélection auto du meilleur</w:t>
            </w:r>
          </w:p>
        </w:tc>
      </w:tr>
      <w:tr>
        <w:tc>
          <w:tcPr>
            <w:tcW w:type="dxa" w:w="15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Déploiement</w:t>
            </w:r>
          </w:p>
        </w:tc>
        <w:tc>
          <w:tcPr>
            <w:tcW w:type="dxa" w:w="349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Docker</w:t>
            </w:r>
          </w:p>
        </w:tc>
        <w:tc>
          <w:tcPr>
            <w:tcW w:type="dxa" w:w="466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Isole les services, reproductible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Règle générale</w:t>
      </w:r>
      <w:r>
        <w:t xml:space="preserve"> : l'outil le plus simple qui couvre le besoin réel, pas le plus sophistiqué.</w:t>
      </w:r>
    </w:p>
    <w:p>
      <w:pPr>
        <w:pStyle w:val="Heading1"/>
        <w:spacing w:after="140" w:before="280"/>
      </w:pPr>
      <w:r>
        <w:rPr>
          <w:b/>
          <w:bCs/>
          <w:color w:val="2E2E38"/>
        </w:rPr>
        <w:t xml:space="preserve">PARTIE 2 — SCRAPING — LA COLLECTE DES DONNÉES</w:t>
      </w:r>
    </w:p>
    <w:p>
      <w:pPr>
        <w:spacing w:after="140"/>
      </w:pPr>
      <w:r>
        <w:rPr>
          <w:b/>
          <w:bCs/>
        </w:rPr>
        <w:t xml:space="preserve">8 sources d'origine.</w:t>
      </w:r>
      <w:r>
        <w:t xml:space="preserve"> CGA et FTUSA servent chacune 2 usages (rapports KPI + veille réglementaire), mais restent 1 source chacune.</w:t>
      </w:r>
    </w:p>
    <w:p>
      <w:pPr>
        <w:spacing w:after="100" w:before="100"/>
        <w:jc w:val="center"/>
      </w:pPr>
      <w:r>
        <w:drawing>
          <wp:inline distT="0" distB="0" distL="0" distR="0">
            <wp:extent cx="6191250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Schéma de la couche de scraping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3915"/>
        <w:gridCol w:w="4332"/>
      </w:tblGrid>
      <w:tr>
        <w:trPr>
          <w:tblHeader/>
        </w:trPr>
        <w:tc>
          <w:tcPr>
            <w:tcW w:type="dxa" w:w="1499"/>
            <w:shd w:fill="2E2E3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Méthode</w:t>
            </w:r>
          </w:p>
        </w:tc>
        <w:tc>
          <w:tcPr>
            <w:tcW w:type="dxa" w:w="3915"/>
            <w:shd w:fill="2E2E3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Sources</w:t>
            </w:r>
          </w:p>
        </w:tc>
        <w:tc>
          <w:tcPr>
            <w:tcW w:type="dxa" w:w="4332"/>
            <w:shd w:fill="2E2E3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Pourquoi (résumé)</w:t>
            </w:r>
          </w:p>
        </w:tc>
      </w:tr>
      <w:tr>
        <w:tc>
          <w:tcPr>
            <w:tcW w:type="dxa" w:w="14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Selenium</w:t>
            </w:r>
          </w:p>
        </w:tc>
        <w:tc>
          <w:tcPr>
            <w:tcW w:type="dxa" w:w="391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CMF</w:t>
            </w:r>
          </w:p>
        </w:tc>
        <w:tc>
          <w:tcPr>
            <w:tcW w:type="dxa" w:w="43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 JS dynamique — une requête simple ne suffit pas</w:t>
            </w:r>
          </w:p>
        </w:tc>
      </w:tr>
      <w:tr>
        <w:tc>
          <w:tcPr>
            <w:tcW w:type="dxa" w:w="14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requests</w:t>
            </w:r>
            <w:r>
              <w:rPr>
                <w:sz w:val="19"/>
                <w:szCs w:val="19"/>
              </w:rPr>
              <w:t xml:space="preserve"> + regex</w:t>
            </w:r>
          </w:p>
        </w:tc>
        <w:tc>
          <w:tcPr>
            <w:tcW w:type="dxa" w:w="391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FTUSA, CGA, BVMT, INS, Atlas Magazine, IlBoursa</w:t>
            </w:r>
          </w:p>
        </w:tc>
        <w:tc>
          <w:tcPr>
            <w:tcW w:type="dxa" w:w="43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Pages HTML statiques, plus simple</w:t>
            </w:r>
          </w:p>
        </w:tc>
      </w:tr>
      <w:tr>
        <w:tc>
          <w:tcPr>
            <w:tcW w:type="dxa" w:w="14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Fichier local</w:t>
            </w:r>
          </w:p>
        </w:tc>
        <w:tc>
          <w:tcPr>
            <w:tcW w:type="dxa" w:w="391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ENQUETE</w:t>
            </w:r>
          </w:p>
        </w:tc>
        <w:tc>
          <w:tcPr>
            <w:tcW w:type="dxa" w:w="43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Excel fourni, pas un site web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Déroulé CMF</w:t>
      </w:r>
      <w:r>
        <w:t xml:space="preserve"> (le plus complexe, donc représentatif) 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Ouvrir un Chrome invisible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Sélectionner la société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Lancer la recherche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Filtrer</w:t>
      </w:r>
      <w:r>
        <w:t xml:space="preserve"> (voir schéma ci-dessous)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Vérifier que le lien PDF répond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Dédupliquer</w:t>
      </w:r>
      <w:r>
        <w:t xml:space="preserve"> (voir schéma ci-dessous)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Enregistrer les métadonnées seules — jamais le PDF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cas d'échec : relance complète (×3), jamais une reprise partielle</w:t>
      </w:r>
    </w:p>
    <w:p>
      <w:pPr>
        <w:spacing w:after="100" w:before="100"/>
        <w:jc w:val="center"/>
      </w:pPr>
      <w:r>
        <w:drawing>
          <wp:inline distT="0" distB="0" distL="0" distR="0">
            <wp:extent cx="619125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Code réel du mécanisme de nouvelle tentative</w:t>
      </w:r>
    </w:p>
    <w:p>
      <w:pPr>
        <w:spacing w:after="140"/>
      </w:pPr>
      <w:r>
        <w:rPr>
          <w:b/>
          <w:bCs/>
        </w:rPr>
        <w:t xml:space="preserve">Filtrage</w:t>
      </w:r>
      <w:r>
        <w:t xml:space="preserve"> — exemple concret CMF : annuel + daté du 31/12 + dans les 10-11 dernières années.</w:t>
      </w:r>
    </w:p>
    <w:p>
      <w:pPr>
        <w:spacing w:after="100" w:before="100"/>
        <w:jc w:val="center"/>
      </w:pPr>
      <w:r>
        <w:drawing>
          <wp:inline distT="0" distB="0" distL="0" distR="0">
            <wp:extent cx="619125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Exemple de filtrage — cas du scraper CMF</w:t>
      </w:r>
    </w:p>
    <w:p>
      <w:pPr>
        <w:spacing w:after="140"/>
      </w:pPr>
      <w:r>
        <w:rPr>
          <w:b/>
          <w:bCs/>
        </w:rPr>
        <w:t xml:space="preserve">Déduplication</w:t>
      </w:r>
      <w:r>
        <w:t xml:space="preserve"> — vérifie en base (société + source + année) avant d'enregistrer.</w:t>
      </w:r>
    </w:p>
    <w:p>
      <w:pPr>
        <w:spacing w:after="100" w:before="100"/>
        <w:jc w:val="center"/>
      </w:pPr>
      <w:r>
        <w:drawing>
          <wp:inline distT="0" distB="0" distL="0" distR="0">
            <wp:extent cx="619125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Code réel de la déduplication et de l'enregistrement</w:t>
      </w:r>
    </w:p>
    <w:p>
      <w:pPr>
        <w:spacing w:after="140"/>
      </w:pPr>
      <w:r>
        <w:rPr>
          <w:b/>
          <w:bCs/>
        </w:rPr>
        <w:t xml:space="preserve">À savoir par source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FTUSA : année lue dans le contenu du PDF, pas dans le nom du fichier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BVMT : liste des sociétés cotées découverte dynamiquement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CGA / FTUSA réglementaire : circuit séparé (veille), cache 1h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Atlas Magazine / IlBoursa : BeautifulSoup en parallèle, alimentent les actualités</w:t>
      </w:r>
    </w:p>
    <w:p>
      <w:pPr>
        <w:pStyle w:val="Heading2"/>
        <w:spacing w:after="140" w:before="280"/>
      </w:pPr>
      <w:r>
        <w:rPr>
          <w:b/>
          <w:bCs/>
          <w:color w:val="555555"/>
        </w:rPr>
        <w:t xml:space="preserve">Reconnaissance automatique des sociétés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Problème : "Assurances Maghrebia Vie" → quel code interne 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Solution : score de ressemblance pondéré — un mot rare ("VIE") compte plus qu'un mot générique ("ASSURANCES")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Bug corrigé : "El Amana Takaful" confondu avec "AMI" à cause du seul mot commun "EL"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b6c45a6dde7bb87ae08e598365bc4099e7f88c.png"/><Relationship Id="rId8" Type="http://schemas.openxmlformats.org/officeDocument/2006/relationships/image" Target="media/9397d8ffab1a972729c38f397f8a97b389d22ba2.png"/><Relationship Id="rId9" Type="http://schemas.openxmlformats.org/officeDocument/2006/relationships/image" Target="media/0fe1fd39cb3ef38de218c424331c77a61976e12b.png"/><Relationship Id="rId10" Type="http://schemas.openxmlformats.org/officeDocument/2006/relationships/image" Target="media/f2b87c311c487c1c24b521f5acdd46d599666eb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2026-09-03T23:18:47.806Z</dcterms:created>
  <dcterms:modified xsi:type="dcterms:W3CDTF">2026-09-03T23:18:47.808Z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