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2E38"/>
          <w:sz w:val="40"/>
          <w:szCs w:val="40"/>
        </w:rPr>
        <w:t xml:space="preserve">PLAN DE LA FICHE TECHNIQUE</w:t>
      </w:r>
    </w:p>
    <w:p>
      <w:pPr>
        <w:pBdr>
          <w:bottom w:val="single" w:color="FFE600" w:sz="24" w:space="8"/>
        </w:pBdr>
        <w:spacing w:after="40"/>
        <w:jc w:val="center"/>
      </w:pPr>
      <w:r>
        <w:rPr>
          <w:rFonts w:ascii="Calibri" w:cs="Calibri" w:eastAsia="Calibri" w:hAnsi="Calibri"/>
          <w:b/>
          <w:bCs/>
          <w:color w:val="747480"/>
          <w:sz w:val="24"/>
          <w:szCs w:val="24"/>
        </w:rPr>
        <w:t xml:space="preserve">Baromètre Assurance TN  ·  FS Market Intelligence</w:t>
      </w:r>
    </w:p>
    <w:p>
      <w:pPr>
        <w:spacing w:after="320"/>
      </w:pPr>
    </w:p>
    <w:p>
      <w:pPr>
        <w:pBdr>
          <w:left w:val="single" w:color="FFE600" w:sz="18" w:space="10"/>
        </w:pBdr>
        <w:spacing w:after="260"/>
        <w:ind w:left="0"/>
      </w:pPr>
      <w:r>
        <w:rPr>
          <w:rFonts w:ascii="Calibri" w:cs="Calibri" w:eastAsia="Calibri" w:hAnsi="Calibri"/>
          <w:i/>
          <w:iCs/>
          <w:color w:val="747480"/>
          <w:sz w:val="20"/>
          <w:szCs w:val="20"/>
        </w:rPr>
        <w:t xml:space="preserve">Ce document est le plan de travail de la fiche technique, construite partie par partie. Chaque partie est expliquée à l'oral, validée ensemble, puis consignée dans la fiche complète. Le statut à droite de chaque titre indique où on en est.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146"/>
        <w:gridCol w:w="1600"/>
      </w:tblGrid>
      <w:tr>
        <w:tc>
          <w:tcPr>
            <w:tcW w:type="dxa" w:w="8146"/>
            <w:shd w:fill="2E2E38" w:val="clear"/>
            <w:tcMar>
              <w:top w:type="dxa" w:w="140"/>
              <w:left w:type="dxa" w:w="22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E600"/>
                <w:sz w:val="26"/>
                <w:szCs w:val="26"/>
              </w:rPr>
              <w:t xml:space="preserve">01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ARCHITECTURE GÉNÉRALE ET STACK TECHNIQUE</w:t>
            </w:r>
          </w:p>
        </w:tc>
        <w:tc>
          <w:tcPr>
            <w:tcW w:type="dxa" w:w="1600"/>
            <w:shd w:fill="2E2E38" w:val="clear"/>
            <w:tcMar>
              <w:top w:type="dxa" w:w="140"/>
              <w:left w:type="dxa" w:w="100"/>
              <w:bottom w:type="dxa" w:w="14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DB87C"/>
                <w:sz w:val="15"/>
                <w:szCs w:val="15"/>
              </w:rPr>
              <w:t xml:space="preserve">✓ EXPLIQUÉ</w:t>
            </w:r>
          </w:p>
        </w:tc>
      </w:tr>
    </w:tbl>
    <w:p>
      <w:pPr>
        <w:spacing w:after="120"/>
      </w:pP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Structure des dossiers du projet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Flux global de la donnée (schéma bout-en-bout)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Stack technique complet et justification de chaque choix</w:t>
      </w:r>
    </w:p>
    <w:p>
      <w:pPr>
        <w:spacing w:after="26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146"/>
        <w:gridCol w:w="1600"/>
      </w:tblGrid>
      <w:tr>
        <w:tc>
          <w:tcPr>
            <w:tcW w:type="dxa" w:w="8146"/>
            <w:shd w:fill="2E2E38" w:val="clear"/>
            <w:tcMar>
              <w:top w:type="dxa" w:w="140"/>
              <w:left w:type="dxa" w:w="22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E600"/>
                <w:sz w:val="26"/>
                <w:szCs w:val="26"/>
              </w:rPr>
              <w:t xml:space="preserve">02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SCRAPING — LA COLLECTE DES DONNÉES</w:t>
            </w:r>
          </w:p>
        </w:tc>
        <w:tc>
          <w:tcPr>
            <w:tcW w:type="dxa" w:w="1600"/>
            <w:shd w:fill="2E2E38" w:val="clear"/>
            <w:tcMar>
              <w:top w:type="dxa" w:w="140"/>
              <w:left w:type="dxa" w:w="100"/>
              <w:bottom w:type="dxa" w:w="14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E600"/>
                <w:sz w:val="15"/>
                <w:szCs w:val="15"/>
              </w:rPr>
              <w:t xml:space="preserve">◐ EN COURS</w:t>
            </w:r>
          </w:p>
        </w:tc>
      </w:tr>
    </w:tbl>
    <w:p>
      <w:pPr>
        <w:spacing w:after="120"/>
      </w:pP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Vue d'ensemble des 8 sources d'origine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Pourquoi Selenium uniquement pour le portail CMF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Le cas particulier CGA / FTUSA (double usage : rapports KPI + veille réglementaire)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Reconnaissance automatique des sociétés (correspondance floue)</w:t>
      </w:r>
    </w:p>
    <w:p>
      <w:pPr>
        <w:spacing w:after="26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146"/>
        <w:gridCol w:w="1600"/>
      </w:tblGrid>
      <w:tr>
        <w:tc>
          <w:tcPr>
            <w:tcW w:type="dxa" w:w="8146"/>
            <w:shd w:fill="2E2E38" w:val="clear"/>
            <w:tcMar>
              <w:top w:type="dxa" w:w="140"/>
              <w:left w:type="dxa" w:w="22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E600"/>
                <w:sz w:val="26"/>
                <w:szCs w:val="26"/>
              </w:rPr>
              <w:t xml:space="preserve">03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BASE DE DONNÉES</w:t>
            </w:r>
          </w:p>
        </w:tc>
        <w:tc>
          <w:tcPr>
            <w:tcW w:type="dxa" w:w="1600"/>
            <w:shd w:fill="2E2E38" w:val="clear"/>
            <w:tcMar>
              <w:top w:type="dxa" w:w="140"/>
              <w:left w:type="dxa" w:w="100"/>
              <w:bottom w:type="dxa" w:w="14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7B7C0"/>
                <w:sz w:val="15"/>
                <w:szCs w:val="15"/>
              </w:rPr>
              <w:t xml:space="preserve">○ À VENIR</w:t>
            </w:r>
          </w:p>
        </w:tc>
      </w:tr>
    </w:tbl>
    <w:p>
      <w:pPr>
        <w:spacing w:after="120"/>
      </w:pP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Schéma — les 6 tables et leurs relations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Pourquoi MySQL plutôt qu'une autre base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Migrations idempotentes (mise à jour du schéma sans casser l'existant)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Le principe directeur : aucune donnée manquante n'est jamais reconstituée</w:t>
      </w:r>
    </w:p>
    <w:p>
      <w:pPr>
        <w:spacing w:after="26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146"/>
        <w:gridCol w:w="1600"/>
      </w:tblGrid>
      <w:tr>
        <w:tc>
          <w:tcPr>
            <w:tcW w:type="dxa" w:w="8146"/>
            <w:shd w:fill="2E2E38" w:val="clear"/>
            <w:tcMar>
              <w:top w:type="dxa" w:w="140"/>
              <w:left w:type="dxa" w:w="22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E600"/>
                <w:sz w:val="26"/>
                <w:szCs w:val="26"/>
              </w:rPr>
              <w:t xml:space="preserve">04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EXTRACTION PDF</w:t>
            </w:r>
          </w:p>
        </w:tc>
        <w:tc>
          <w:tcPr>
            <w:tcW w:type="dxa" w:w="1600"/>
            <w:shd w:fill="2E2E38" w:val="clear"/>
            <w:tcMar>
              <w:top w:type="dxa" w:w="140"/>
              <w:left w:type="dxa" w:w="100"/>
              <w:bottom w:type="dxa" w:w="14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7B7C0"/>
                <w:sz w:val="15"/>
                <w:szCs w:val="15"/>
              </w:rPr>
              <w:t xml:space="preserve">○ À VENIR</w:t>
            </w:r>
          </w:p>
        </w:tc>
      </w:tr>
    </w:tbl>
    <w:p>
      <w:pPr>
        <w:spacing w:after="120"/>
      </w:pP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Pourquoi ne pas utiliser l'extraction de tableaux automatique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Bascule texte natif / OCR selon la qualité de la page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Extracteurs spécialisés par tableau (Bilan, Annexes, Résultat, Takaful...)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Extraction bilingue arabe (cas AL_AMANAH_TAKAFUL)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Surlignage PDF — localiser précisément une cellule source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Documentation empirique des cas particuliers rencontrés</w:t>
      </w:r>
    </w:p>
    <w:p>
      <w:pPr>
        <w:spacing w:after="26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146"/>
        <w:gridCol w:w="1600"/>
      </w:tblGrid>
      <w:tr>
        <w:tc>
          <w:tcPr>
            <w:tcW w:type="dxa" w:w="8146"/>
            <w:shd w:fill="2E2E38" w:val="clear"/>
            <w:tcMar>
              <w:top w:type="dxa" w:w="140"/>
              <w:left w:type="dxa" w:w="22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E600"/>
                <w:sz w:val="26"/>
                <w:szCs w:val="26"/>
              </w:rPr>
              <w:t xml:space="preserve">05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CALCUL DES KPI ET RATIOS</w:t>
            </w:r>
          </w:p>
        </w:tc>
        <w:tc>
          <w:tcPr>
            <w:tcW w:type="dxa" w:w="1600"/>
            <w:shd w:fill="2E2E38" w:val="clear"/>
            <w:tcMar>
              <w:top w:type="dxa" w:w="140"/>
              <w:left w:type="dxa" w:w="100"/>
              <w:bottom w:type="dxa" w:w="14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7B7C0"/>
                <w:sz w:val="15"/>
                <w:szCs w:val="15"/>
              </w:rPr>
              <w:t xml:space="preserve">○ À VENIR</w:t>
            </w:r>
          </w:p>
        </w:tc>
      </w:tr>
    </w:tbl>
    <w:p>
      <w:pPr>
        <w:spacing w:after="120"/>
      </w:pP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Les formules principales (ROE, ROA, ratio combiné, sinistralité, frais...)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Double niveau de calcul : à l'écriture en base et à la lecture à l'affichage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Garde-fous de cohérence (détection d'incohérences entre KPI liés)</w:t>
      </w:r>
    </w:p>
    <w:p>
      <w:pPr>
        <w:spacing w:after="26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146"/>
        <w:gridCol w:w="1600"/>
      </w:tblGrid>
      <w:tr>
        <w:tc>
          <w:tcPr>
            <w:tcW w:type="dxa" w:w="8146"/>
            <w:shd w:fill="2E2E38" w:val="clear"/>
            <w:tcMar>
              <w:top w:type="dxa" w:w="140"/>
              <w:left w:type="dxa" w:w="22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E600"/>
                <w:sz w:val="26"/>
                <w:szCs w:val="26"/>
              </w:rPr>
              <w:t xml:space="preserve">06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ORCHESTRATION — LE PIPELINE PLANIFIÉ</w:t>
            </w:r>
          </w:p>
        </w:tc>
        <w:tc>
          <w:tcPr>
            <w:tcW w:type="dxa" w:w="1600"/>
            <w:shd w:fill="2E2E38" w:val="clear"/>
            <w:tcMar>
              <w:top w:type="dxa" w:w="140"/>
              <w:left w:type="dxa" w:w="100"/>
              <w:bottom w:type="dxa" w:w="14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7B7C0"/>
                <w:sz w:val="15"/>
                <w:szCs w:val="15"/>
              </w:rPr>
              <w:t xml:space="preserve">○ À VENIR</w:t>
            </w:r>
          </w:p>
        </w:tc>
      </w:tr>
    </w:tbl>
    <w:p>
      <w:pPr>
        <w:spacing w:after="120"/>
      </w:pP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Le pipeline hebdomadaire (déroulement complet)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Le problème rencontré avec la tâche planifiée Windows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La solution retenue : un thread de fond dans le serveur</w:t>
      </w:r>
    </w:p>
    <w:p>
      <w:pPr>
        <w:spacing w:after="26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146"/>
        <w:gridCol w:w="1600"/>
      </w:tblGrid>
      <w:tr>
        <w:tc>
          <w:tcPr>
            <w:tcW w:type="dxa" w:w="8146"/>
            <w:shd w:fill="2E2E38" w:val="clear"/>
            <w:tcMar>
              <w:top w:type="dxa" w:w="140"/>
              <w:left w:type="dxa" w:w="22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E600"/>
                <w:sz w:val="26"/>
                <w:szCs w:val="26"/>
              </w:rPr>
              <w:t xml:space="preserve">07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BACKEND API</w:t>
            </w:r>
          </w:p>
        </w:tc>
        <w:tc>
          <w:tcPr>
            <w:tcW w:type="dxa" w:w="1600"/>
            <w:shd w:fill="2E2E38" w:val="clear"/>
            <w:tcMar>
              <w:top w:type="dxa" w:w="140"/>
              <w:left w:type="dxa" w:w="100"/>
              <w:bottom w:type="dxa" w:w="14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7B7C0"/>
                <w:sz w:val="15"/>
                <w:szCs w:val="15"/>
              </w:rPr>
              <w:t xml:space="preserve">○ À VENIR</w:t>
            </w:r>
          </w:p>
        </w:tc>
      </w:tr>
    </w:tbl>
    <w:p>
      <w:pPr>
        <w:spacing w:after="120"/>
      </w:pP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Point d'entrée et démarrage du serveur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Inventaire des routes (par domaine fonctionnel)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Les services métier (construction des KPI, qualité, anomalies, exports)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Pourquoi aucune authentification n'est en place</w:t>
      </w:r>
    </w:p>
    <w:p>
      <w:pPr>
        <w:spacing w:after="26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146"/>
        <w:gridCol w:w="1600"/>
      </w:tblGrid>
      <w:tr>
        <w:tc>
          <w:tcPr>
            <w:tcW w:type="dxa" w:w="8146"/>
            <w:shd w:fill="2E2E38" w:val="clear"/>
            <w:tcMar>
              <w:top w:type="dxa" w:w="140"/>
              <w:left w:type="dxa" w:w="22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E600"/>
                <w:sz w:val="26"/>
                <w:szCs w:val="26"/>
              </w:rPr>
              <w:t xml:space="preserve">08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FRONTEND</w:t>
            </w:r>
          </w:p>
        </w:tc>
        <w:tc>
          <w:tcPr>
            <w:tcW w:type="dxa" w:w="1600"/>
            <w:shd w:fill="2E2E38" w:val="clear"/>
            <w:tcMar>
              <w:top w:type="dxa" w:w="140"/>
              <w:left w:type="dxa" w:w="100"/>
              <w:bottom w:type="dxa" w:w="14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7B7C0"/>
                <w:sz w:val="15"/>
                <w:szCs w:val="15"/>
              </w:rPr>
              <w:t xml:space="preserve">○ À VENIR</w:t>
            </w:r>
          </w:p>
        </w:tc>
      </w:tr>
    </w:tbl>
    <w:p>
      <w:pPr>
        <w:spacing w:after="120"/>
      </w:pP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Stack et routage — les 13 pages de la plateforme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Le design system EY (couleurs, police, charte)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Le mécanisme de surlignage PDF côté écran (zoom + overlay)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Composants transverses (chatbot, notifications, carte de Tunisie)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Pages non finalisées à connaître avant la soutenance</w:t>
      </w:r>
    </w:p>
    <w:p>
      <w:pPr>
        <w:spacing w:after="26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146"/>
        <w:gridCol w:w="1600"/>
      </w:tblGrid>
      <w:tr>
        <w:tc>
          <w:tcPr>
            <w:tcW w:type="dxa" w:w="8146"/>
            <w:shd w:fill="2E2E38" w:val="clear"/>
            <w:tcMar>
              <w:top w:type="dxa" w:w="140"/>
              <w:left w:type="dxa" w:w="22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E600"/>
                <w:sz w:val="26"/>
                <w:szCs w:val="26"/>
              </w:rPr>
              <w:t xml:space="preserve">09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INTELLIGENCE ARTIFICIELLE</w:t>
            </w:r>
          </w:p>
        </w:tc>
        <w:tc>
          <w:tcPr>
            <w:tcW w:type="dxa" w:w="1600"/>
            <w:shd w:fill="2E2E38" w:val="clear"/>
            <w:tcMar>
              <w:top w:type="dxa" w:w="140"/>
              <w:left w:type="dxa" w:w="100"/>
              <w:bottom w:type="dxa" w:w="14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7B7C0"/>
                <w:sz w:val="15"/>
                <w:szCs w:val="15"/>
              </w:rPr>
              <w:t xml:space="preserve">○ À VENIR</w:t>
            </w:r>
          </w:p>
        </w:tc>
      </w:tr>
    </w:tbl>
    <w:p>
      <w:pPr>
        <w:spacing w:after="120"/>
      </w:pP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IA générative vs IA prédictive — bien distinguer les deux familles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Le chatbot RAG (questions réglementaires)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Le rapport IA et l'explication automatique de chiffres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Le module de prévision (Prophet + XGBoost)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Sélection automatique du meilleur modèle et explicabilité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Synchronisation des données entre la base principale et le module IA</w:t>
      </w:r>
    </w:p>
    <w:p>
      <w:pPr>
        <w:spacing w:after="26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146"/>
        <w:gridCol w:w="1600"/>
      </w:tblGrid>
      <w:tr>
        <w:tc>
          <w:tcPr>
            <w:tcW w:type="dxa" w:w="8146"/>
            <w:shd w:fill="2E2E38" w:val="clear"/>
            <w:tcMar>
              <w:top w:type="dxa" w:w="140"/>
              <w:left w:type="dxa" w:w="22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E600"/>
                <w:sz w:val="26"/>
                <w:szCs w:val="26"/>
              </w:rPr>
              <w:t xml:space="preserve">10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DÉPLOIEMENT</w:t>
            </w:r>
          </w:p>
        </w:tc>
        <w:tc>
          <w:tcPr>
            <w:tcW w:type="dxa" w:w="1600"/>
            <w:shd w:fill="2E2E38" w:val="clear"/>
            <w:tcMar>
              <w:top w:type="dxa" w:w="140"/>
              <w:left w:type="dxa" w:w="100"/>
              <w:bottom w:type="dxa" w:w="14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7B7C0"/>
                <w:sz w:val="15"/>
                <w:szCs w:val="15"/>
              </w:rPr>
              <w:t xml:space="preserve">○ À VENIR</w:t>
            </w:r>
          </w:p>
        </w:tc>
      </w:tr>
    </w:tbl>
    <w:p>
      <w:pPr>
        <w:spacing w:after="120"/>
      </w:pP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Docker Compose — les 4 services de la plateforme</w:t>
      </w:r>
    </w:p>
    <w:p>
      <w:pPr>
        <w:spacing w:after="90" w:before="20"/>
        <w:ind w:left="300"/>
      </w:pPr>
      <w:r>
        <w:rPr>
          <w:b/>
          <w:bCs/>
          <w:color w:val="FFE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E2E38"/>
          <w:sz w:val="21"/>
          <w:szCs w:val="21"/>
        </w:rPr>
        <w:t xml:space="preserve">Pourquoi Docker plutôt qu'un déploiement manuel</w:t>
      </w:r>
    </w:p>
    <w:p>
      <w:pPr>
        <w:spacing w:after="260"/>
      </w:pPr>
    </w:p>
    <w:p>
      <w:pPr>
        <w:pBdr>
          <w:top w:val="single" w:color="D9D9D9" w:sz="8" w:space="8"/>
        </w:pBdr>
        <w:spacing w:before="100"/>
      </w:pPr>
      <w:r>
        <w:rPr>
          <w:rFonts w:ascii="Calibri" w:cs="Calibri" w:eastAsia="Calibri" w:hAnsi="Calibri"/>
          <w:i/>
          <w:iCs/>
          <w:color w:val="747480"/>
          <w:sz w:val="17"/>
          <w:szCs w:val="17"/>
        </w:rPr>
        <w:t xml:space="preserve">Légende — ✓ Expliqué et verrouillé   ◐ En cours de validation   ○ Pas encore abordé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2026-09-02T22:17:56.267Z</dcterms:created>
  <dcterms:modified xsi:type="dcterms:W3CDTF">2026-09-02T22:17:56.269Z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