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2E38"/>
          <w:sz w:val="40"/>
          <w:szCs w:val="40"/>
        </w:rPr>
        <w:t xml:space="preserve">PLAN DE LA FICHE TECHNIQUE</w:t>
      </w:r>
    </w:p>
    <w:p>
      <w:pPr>
        <w:pBdr>
          <w:bottom w:val="single" w:color="FFE600" w:sz="24" w:space="8"/>
        </w:pBdr>
        <w:spacing w:after="40"/>
        <w:jc w:val="center"/>
      </w:pPr>
      <w:r>
        <w:rPr>
          <w:rFonts w:ascii="Calibri" w:cs="Calibri" w:eastAsia="Calibri" w:hAnsi="Calibri"/>
          <w:b/>
          <w:bCs/>
          <w:color w:val="747480"/>
          <w:sz w:val="24"/>
          <w:szCs w:val="24"/>
        </w:rPr>
        <w:t xml:space="preserve">Baromètre Assurance TN  ·  FS Market Intelligence</w:t>
      </w:r>
    </w:p>
    <w:p>
      <w:pPr>
        <w:spacing w:after="320"/>
      </w:pPr>
    </w:p>
    <w:p>
      <w:pPr>
        <w:pBdr>
          <w:left w:val="single" w:color="FFE600" w:sz="18" w:space="10"/>
        </w:pBdr>
        <w:spacing w:after="260"/>
      </w:pPr>
      <w:r>
        <w:rPr>
          <w:rFonts w:ascii="Calibri" w:cs="Calibri" w:eastAsia="Calibri" w:hAnsi="Calibri"/>
          <w:i/>
          <w:iCs/>
          <w:color w:val="747480"/>
          <w:sz w:val="20"/>
          <w:szCs w:val="20"/>
        </w:rPr>
        <w:t xml:space="preserve">Ce plan liste les 10 parties techniques construites au fil des sessions. Le statut à droite de chaque titre indique où on en est ; le contenu complet de chaque partie suit après ce plan.</w:t>
      </w:r>
    </w:p>
    <w:tbl>
      <w:tblPr>
        <w:tblW w:type="dxa" w:w="9746"/>
        <w:tblBorders>
          <w:top w:val="none"/>
          <w:left w:val="none"/>
          <w:bottom w:val="none"/>
          <w:right w:val="none"/>
          <w:insideH w:val="none"/>
          <w:insideV w:val="none"/>
        </w:tblBorders>
      </w:tblPr>
      <w:tblGrid>
        <w:gridCol w:w="8146"/>
        <w:gridCol w:w="1600"/>
      </w:tblGrid>
      <w:tr>
        <w:tc>
          <w:tcPr>
            <w:tcW w:type="dxa" w:w="8146"/>
            <w:shd w:fill="2E2E38" w:val="clear"/>
            <w:tcMar>
              <w:top w:type="dxa" w:w="140"/>
              <w:left w:type="dxa" w:w="220"/>
              <w:bottom w:type="dxa" w:w="140"/>
              <w:right w:type="dxa" w:w="160"/>
            </w:tcMar>
            <w:vAlign w:val="center"/>
          </w:tcPr>
          <w:p>
            <w:r>
              <w:rPr>
                <w:rFonts w:ascii="Calibri" w:cs="Calibri" w:eastAsia="Calibri" w:hAnsi="Calibri"/>
                <w:b/>
                <w:bCs/>
                <w:color w:val="FFE600"/>
                <w:sz w:val="26"/>
                <w:szCs w:val="26"/>
              </w:rPr>
              <w:t xml:space="preserve">01  </w:t>
            </w:r>
            <w:r>
              <w:rPr>
                <w:rFonts w:ascii="Calibri" w:cs="Calibri" w:eastAsia="Calibri" w:hAnsi="Calibri"/>
                <w:b/>
                <w:bCs/>
                <w:color w:val="FFFFFF"/>
                <w:sz w:val="26"/>
                <w:szCs w:val="26"/>
              </w:rPr>
              <w:t xml:space="preserve">ARCHITECTURE GÉNÉRALE ET STACK TECHNIQUE</w:t>
            </w:r>
          </w:p>
        </w:tc>
        <w:tc>
          <w:tcPr>
            <w:tcW w:type="dxa" w:w="1600"/>
            <w:shd w:fill="2E2E38" w:val="clear"/>
            <w:tcMar>
              <w:top w:type="dxa" w:w="140"/>
              <w:left w:type="dxa" w:w="100"/>
              <w:bottom w:type="dxa" w:w="140"/>
              <w:right w:type="dxa" w:w="160"/>
            </w:tcMar>
            <w:vAlign w:val="center"/>
          </w:tcPr>
          <w:p>
            <w:pPr>
              <w:jc w:val="right"/>
            </w:pPr>
            <w:r>
              <w:rPr>
                <w:rFonts w:ascii="Calibri" w:cs="Calibri" w:eastAsia="Calibri" w:hAnsi="Calibri"/>
                <w:b/>
                <w:bCs/>
                <w:color w:val="2DB87C"/>
                <w:sz w:val="15"/>
                <w:szCs w:val="15"/>
              </w:rPr>
              <w:t xml:space="preserve">✓ EXPLIQUÉ</w:t>
            </w:r>
          </w:p>
        </w:tc>
      </w:tr>
    </w:tbl>
    <w:p>
      <w:pPr>
        <w:spacing w:after="120"/>
      </w:pP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Structure des dossiers du projet</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Flux global de la donnée (schéma bout-en-bout)</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Stack technique complet et justification de chaque choix</w:t>
      </w:r>
    </w:p>
    <w:p>
      <w:pPr>
        <w:spacing w:after="260"/>
      </w:pPr>
    </w:p>
    <w:tbl>
      <w:tblPr>
        <w:tblW w:type="dxa" w:w="9746"/>
        <w:tblBorders>
          <w:top w:val="none"/>
          <w:left w:val="none"/>
          <w:bottom w:val="none"/>
          <w:right w:val="none"/>
          <w:insideH w:val="none"/>
          <w:insideV w:val="none"/>
        </w:tblBorders>
      </w:tblPr>
      <w:tblGrid>
        <w:gridCol w:w="8146"/>
        <w:gridCol w:w="1600"/>
      </w:tblGrid>
      <w:tr>
        <w:tc>
          <w:tcPr>
            <w:tcW w:type="dxa" w:w="8146"/>
            <w:shd w:fill="2E2E38" w:val="clear"/>
            <w:tcMar>
              <w:top w:type="dxa" w:w="140"/>
              <w:left w:type="dxa" w:w="220"/>
              <w:bottom w:type="dxa" w:w="140"/>
              <w:right w:type="dxa" w:w="160"/>
            </w:tcMar>
            <w:vAlign w:val="center"/>
          </w:tcPr>
          <w:p>
            <w:r>
              <w:rPr>
                <w:rFonts w:ascii="Calibri" w:cs="Calibri" w:eastAsia="Calibri" w:hAnsi="Calibri"/>
                <w:b/>
                <w:bCs/>
                <w:color w:val="FFE600"/>
                <w:sz w:val="26"/>
                <w:szCs w:val="26"/>
              </w:rPr>
              <w:t xml:space="preserve">02  </w:t>
            </w:r>
            <w:r>
              <w:rPr>
                <w:rFonts w:ascii="Calibri" w:cs="Calibri" w:eastAsia="Calibri" w:hAnsi="Calibri"/>
                <w:b/>
                <w:bCs/>
                <w:color w:val="FFFFFF"/>
                <w:sz w:val="26"/>
                <w:szCs w:val="26"/>
              </w:rPr>
              <w:t xml:space="preserve">SCRAPING — LA COLLECTE DES DONNÉES</w:t>
            </w:r>
          </w:p>
        </w:tc>
        <w:tc>
          <w:tcPr>
            <w:tcW w:type="dxa" w:w="1600"/>
            <w:shd w:fill="2E2E38" w:val="clear"/>
            <w:tcMar>
              <w:top w:type="dxa" w:w="140"/>
              <w:left w:type="dxa" w:w="100"/>
              <w:bottom w:type="dxa" w:w="140"/>
              <w:right w:type="dxa" w:w="160"/>
            </w:tcMar>
            <w:vAlign w:val="center"/>
          </w:tcPr>
          <w:p>
            <w:pPr>
              <w:jc w:val="right"/>
            </w:pPr>
            <w:r>
              <w:rPr>
                <w:rFonts w:ascii="Calibri" w:cs="Calibri" w:eastAsia="Calibri" w:hAnsi="Calibri"/>
                <w:b/>
                <w:bCs/>
                <w:color w:val="2DB87C"/>
                <w:sz w:val="15"/>
                <w:szCs w:val="15"/>
              </w:rPr>
              <w:t xml:space="preserve">✓ EXPLIQUÉ</w:t>
            </w:r>
          </w:p>
        </w:tc>
      </w:tr>
    </w:tbl>
    <w:p>
      <w:pPr>
        <w:spacing w:after="120"/>
      </w:pP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Vue d'ensemble des 8 sources d'origine</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Pourquoi Selenium uniquement pour le portail CMF</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Le cas particulier CGA / FTUSA (double usage)</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Filtrage et déduplication, avec exemples concrets et code réel</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Reconnaissance automatique des sociétés (correspondance floue)</w:t>
      </w:r>
    </w:p>
    <w:p>
      <w:pPr>
        <w:spacing w:after="260"/>
      </w:pPr>
    </w:p>
    <w:tbl>
      <w:tblPr>
        <w:tblW w:type="dxa" w:w="9746"/>
        <w:tblBorders>
          <w:top w:val="none"/>
          <w:left w:val="none"/>
          <w:bottom w:val="none"/>
          <w:right w:val="none"/>
          <w:insideH w:val="none"/>
          <w:insideV w:val="none"/>
        </w:tblBorders>
      </w:tblPr>
      <w:tblGrid>
        <w:gridCol w:w="8146"/>
        <w:gridCol w:w="1600"/>
      </w:tblGrid>
      <w:tr>
        <w:tc>
          <w:tcPr>
            <w:tcW w:type="dxa" w:w="8146"/>
            <w:shd w:fill="2E2E38" w:val="clear"/>
            <w:tcMar>
              <w:top w:type="dxa" w:w="140"/>
              <w:left w:type="dxa" w:w="220"/>
              <w:bottom w:type="dxa" w:w="140"/>
              <w:right w:type="dxa" w:w="160"/>
            </w:tcMar>
            <w:vAlign w:val="center"/>
          </w:tcPr>
          <w:p>
            <w:r>
              <w:rPr>
                <w:rFonts w:ascii="Calibri" w:cs="Calibri" w:eastAsia="Calibri" w:hAnsi="Calibri"/>
                <w:b/>
                <w:bCs/>
                <w:color w:val="FFE600"/>
                <w:sz w:val="26"/>
                <w:szCs w:val="26"/>
              </w:rPr>
              <w:t xml:space="preserve">03  </w:t>
            </w:r>
            <w:r>
              <w:rPr>
                <w:rFonts w:ascii="Calibri" w:cs="Calibri" w:eastAsia="Calibri" w:hAnsi="Calibri"/>
                <w:b/>
                <w:bCs/>
                <w:color w:val="FFFFFF"/>
                <w:sz w:val="26"/>
                <w:szCs w:val="26"/>
              </w:rPr>
              <w:t xml:space="preserve">BASE DE DONNÉES</w:t>
            </w:r>
          </w:p>
        </w:tc>
        <w:tc>
          <w:tcPr>
            <w:tcW w:type="dxa" w:w="1600"/>
            <w:shd w:fill="2E2E38" w:val="clear"/>
            <w:tcMar>
              <w:top w:type="dxa" w:w="140"/>
              <w:left w:type="dxa" w:w="100"/>
              <w:bottom w:type="dxa" w:w="140"/>
              <w:right w:type="dxa" w:w="160"/>
            </w:tcMar>
            <w:vAlign w:val="center"/>
          </w:tcPr>
          <w:p>
            <w:pPr>
              <w:jc w:val="right"/>
            </w:pPr>
            <w:r>
              <w:rPr>
                <w:rFonts w:ascii="Calibri" w:cs="Calibri" w:eastAsia="Calibri" w:hAnsi="Calibri"/>
                <w:b/>
                <w:bCs/>
                <w:color w:val="B7B7C0"/>
                <w:sz w:val="15"/>
                <w:szCs w:val="15"/>
              </w:rPr>
              <w:t xml:space="preserve">○ À VENIR</w:t>
            </w:r>
          </w:p>
        </w:tc>
      </w:tr>
    </w:tbl>
    <w:p>
      <w:pPr>
        <w:spacing w:after="120"/>
      </w:pP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Schéma — les 6 tables et leurs relations</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Pourquoi MySQL plutôt qu'une autre base</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Migrations idempotentes</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Le principe directeur : aucune donnée manquante n'est jamais reconstituée</w:t>
      </w:r>
    </w:p>
    <w:p>
      <w:pPr>
        <w:spacing w:after="260"/>
      </w:pPr>
    </w:p>
    <w:tbl>
      <w:tblPr>
        <w:tblW w:type="dxa" w:w="9746"/>
        <w:tblBorders>
          <w:top w:val="none"/>
          <w:left w:val="none"/>
          <w:bottom w:val="none"/>
          <w:right w:val="none"/>
          <w:insideH w:val="none"/>
          <w:insideV w:val="none"/>
        </w:tblBorders>
      </w:tblPr>
      <w:tblGrid>
        <w:gridCol w:w="8146"/>
        <w:gridCol w:w="1600"/>
      </w:tblGrid>
      <w:tr>
        <w:tc>
          <w:tcPr>
            <w:tcW w:type="dxa" w:w="8146"/>
            <w:shd w:fill="2E2E38" w:val="clear"/>
            <w:tcMar>
              <w:top w:type="dxa" w:w="140"/>
              <w:left w:type="dxa" w:w="220"/>
              <w:bottom w:type="dxa" w:w="140"/>
              <w:right w:type="dxa" w:w="160"/>
            </w:tcMar>
            <w:vAlign w:val="center"/>
          </w:tcPr>
          <w:p>
            <w:r>
              <w:rPr>
                <w:rFonts w:ascii="Calibri" w:cs="Calibri" w:eastAsia="Calibri" w:hAnsi="Calibri"/>
                <w:b/>
                <w:bCs/>
                <w:color w:val="FFE600"/>
                <w:sz w:val="26"/>
                <w:szCs w:val="26"/>
              </w:rPr>
              <w:t xml:space="preserve">04  </w:t>
            </w:r>
            <w:r>
              <w:rPr>
                <w:rFonts w:ascii="Calibri" w:cs="Calibri" w:eastAsia="Calibri" w:hAnsi="Calibri"/>
                <w:b/>
                <w:bCs/>
                <w:color w:val="FFFFFF"/>
                <w:sz w:val="26"/>
                <w:szCs w:val="26"/>
              </w:rPr>
              <w:t xml:space="preserve">EXTRACTION PDF</w:t>
            </w:r>
          </w:p>
        </w:tc>
        <w:tc>
          <w:tcPr>
            <w:tcW w:type="dxa" w:w="1600"/>
            <w:shd w:fill="2E2E38" w:val="clear"/>
            <w:tcMar>
              <w:top w:type="dxa" w:w="140"/>
              <w:left w:type="dxa" w:w="100"/>
              <w:bottom w:type="dxa" w:w="140"/>
              <w:right w:type="dxa" w:w="160"/>
            </w:tcMar>
            <w:vAlign w:val="center"/>
          </w:tcPr>
          <w:p>
            <w:pPr>
              <w:jc w:val="right"/>
            </w:pPr>
            <w:r>
              <w:rPr>
                <w:rFonts w:ascii="Calibri" w:cs="Calibri" w:eastAsia="Calibri" w:hAnsi="Calibri"/>
                <w:b/>
                <w:bCs/>
                <w:color w:val="B7B7C0"/>
                <w:sz w:val="15"/>
                <w:szCs w:val="15"/>
              </w:rPr>
              <w:t xml:space="preserve">○ À VENIR</w:t>
            </w:r>
          </w:p>
        </w:tc>
      </w:tr>
    </w:tbl>
    <w:p>
      <w:pPr>
        <w:spacing w:after="120"/>
      </w:pP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Pourquoi ne pas utiliser l'extraction de tableaux automatique</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Bascule texte natif / OCR selon la qualité de la page</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Extracteurs spécialisés par tableau</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Extraction bilingue arabe (cas AL_AMANAH_TAKAFUL)</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Surlignage PDF — localiser précisément une cellule source</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Documentation empirique des cas particuliers rencontrés</w:t>
      </w:r>
    </w:p>
    <w:p>
      <w:pPr>
        <w:spacing w:after="260"/>
      </w:pPr>
    </w:p>
    <w:tbl>
      <w:tblPr>
        <w:tblW w:type="dxa" w:w="9746"/>
        <w:tblBorders>
          <w:top w:val="none"/>
          <w:left w:val="none"/>
          <w:bottom w:val="none"/>
          <w:right w:val="none"/>
          <w:insideH w:val="none"/>
          <w:insideV w:val="none"/>
        </w:tblBorders>
      </w:tblPr>
      <w:tblGrid>
        <w:gridCol w:w="8146"/>
        <w:gridCol w:w="1600"/>
      </w:tblGrid>
      <w:tr>
        <w:tc>
          <w:tcPr>
            <w:tcW w:type="dxa" w:w="8146"/>
            <w:shd w:fill="2E2E38" w:val="clear"/>
            <w:tcMar>
              <w:top w:type="dxa" w:w="140"/>
              <w:left w:type="dxa" w:w="220"/>
              <w:bottom w:type="dxa" w:w="140"/>
              <w:right w:type="dxa" w:w="160"/>
            </w:tcMar>
            <w:vAlign w:val="center"/>
          </w:tcPr>
          <w:p>
            <w:r>
              <w:rPr>
                <w:rFonts w:ascii="Calibri" w:cs="Calibri" w:eastAsia="Calibri" w:hAnsi="Calibri"/>
                <w:b/>
                <w:bCs/>
                <w:color w:val="FFE600"/>
                <w:sz w:val="26"/>
                <w:szCs w:val="26"/>
              </w:rPr>
              <w:t xml:space="preserve">05  </w:t>
            </w:r>
            <w:r>
              <w:rPr>
                <w:rFonts w:ascii="Calibri" w:cs="Calibri" w:eastAsia="Calibri" w:hAnsi="Calibri"/>
                <w:b/>
                <w:bCs/>
                <w:color w:val="FFFFFF"/>
                <w:sz w:val="26"/>
                <w:szCs w:val="26"/>
              </w:rPr>
              <w:t xml:space="preserve">CALCUL DES KPI ET RATIOS</w:t>
            </w:r>
          </w:p>
        </w:tc>
        <w:tc>
          <w:tcPr>
            <w:tcW w:type="dxa" w:w="1600"/>
            <w:shd w:fill="2E2E38" w:val="clear"/>
            <w:tcMar>
              <w:top w:type="dxa" w:w="140"/>
              <w:left w:type="dxa" w:w="100"/>
              <w:bottom w:type="dxa" w:w="140"/>
              <w:right w:type="dxa" w:w="160"/>
            </w:tcMar>
            <w:vAlign w:val="center"/>
          </w:tcPr>
          <w:p>
            <w:pPr>
              <w:jc w:val="right"/>
            </w:pPr>
            <w:r>
              <w:rPr>
                <w:rFonts w:ascii="Calibri" w:cs="Calibri" w:eastAsia="Calibri" w:hAnsi="Calibri"/>
                <w:b/>
                <w:bCs/>
                <w:color w:val="B7B7C0"/>
                <w:sz w:val="15"/>
                <w:szCs w:val="15"/>
              </w:rPr>
              <w:t xml:space="preserve">○ À VENIR</w:t>
            </w:r>
          </w:p>
        </w:tc>
      </w:tr>
    </w:tbl>
    <w:p>
      <w:pPr>
        <w:spacing w:after="120"/>
      </w:pP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Les formules principales</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Double niveau de calcul (écriture et lecture)</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Garde-fous de cohérence</w:t>
      </w:r>
    </w:p>
    <w:p>
      <w:pPr>
        <w:spacing w:after="260"/>
      </w:pPr>
    </w:p>
    <w:tbl>
      <w:tblPr>
        <w:tblW w:type="dxa" w:w="9746"/>
        <w:tblBorders>
          <w:top w:val="none"/>
          <w:left w:val="none"/>
          <w:bottom w:val="none"/>
          <w:right w:val="none"/>
          <w:insideH w:val="none"/>
          <w:insideV w:val="none"/>
        </w:tblBorders>
      </w:tblPr>
      <w:tblGrid>
        <w:gridCol w:w="8146"/>
        <w:gridCol w:w="1600"/>
      </w:tblGrid>
      <w:tr>
        <w:tc>
          <w:tcPr>
            <w:tcW w:type="dxa" w:w="8146"/>
            <w:shd w:fill="2E2E38" w:val="clear"/>
            <w:tcMar>
              <w:top w:type="dxa" w:w="140"/>
              <w:left w:type="dxa" w:w="220"/>
              <w:bottom w:type="dxa" w:w="140"/>
              <w:right w:type="dxa" w:w="160"/>
            </w:tcMar>
            <w:vAlign w:val="center"/>
          </w:tcPr>
          <w:p>
            <w:r>
              <w:rPr>
                <w:rFonts w:ascii="Calibri" w:cs="Calibri" w:eastAsia="Calibri" w:hAnsi="Calibri"/>
                <w:b/>
                <w:bCs/>
                <w:color w:val="FFE600"/>
                <w:sz w:val="26"/>
                <w:szCs w:val="26"/>
              </w:rPr>
              <w:t xml:space="preserve">06  </w:t>
            </w:r>
            <w:r>
              <w:rPr>
                <w:rFonts w:ascii="Calibri" w:cs="Calibri" w:eastAsia="Calibri" w:hAnsi="Calibri"/>
                <w:b/>
                <w:bCs/>
                <w:color w:val="FFFFFF"/>
                <w:sz w:val="26"/>
                <w:szCs w:val="26"/>
              </w:rPr>
              <w:t xml:space="preserve">ORCHESTRATION — LE PIPELINE PLANIFIÉ</w:t>
            </w:r>
          </w:p>
        </w:tc>
        <w:tc>
          <w:tcPr>
            <w:tcW w:type="dxa" w:w="1600"/>
            <w:shd w:fill="2E2E38" w:val="clear"/>
            <w:tcMar>
              <w:top w:type="dxa" w:w="140"/>
              <w:left w:type="dxa" w:w="100"/>
              <w:bottom w:type="dxa" w:w="140"/>
              <w:right w:type="dxa" w:w="160"/>
            </w:tcMar>
            <w:vAlign w:val="center"/>
          </w:tcPr>
          <w:p>
            <w:pPr>
              <w:jc w:val="right"/>
            </w:pPr>
            <w:r>
              <w:rPr>
                <w:rFonts w:ascii="Calibri" w:cs="Calibri" w:eastAsia="Calibri" w:hAnsi="Calibri"/>
                <w:b/>
                <w:bCs/>
                <w:color w:val="B7B7C0"/>
                <w:sz w:val="15"/>
                <w:szCs w:val="15"/>
              </w:rPr>
              <w:t xml:space="preserve">○ À VENIR</w:t>
            </w:r>
          </w:p>
        </w:tc>
      </w:tr>
    </w:tbl>
    <w:p>
      <w:pPr>
        <w:spacing w:after="120"/>
      </w:pP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Le pipeline hebdomadaire</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Le problème de la tâche planifiée Windows</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La solution retenue : un thread de fond dans le serveur</w:t>
      </w:r>
    </w:p>
    <w:p>
      <w:pPr>
        <w:spacing w:after="260"/>
      </w:pPr>
    </w:p>
    <w:tbl>
      <w:tblPr>
        <w:tblW w:type="dxa" w:w="9746"/>
        <w:tblBorders>
          <w:top w:val="none"/>
          <w:left w:val="none"/>
          <w:bottom w:val="none"/>
          <w:right w:val="none"/>
          <w:insideH w:val="none"/>
          <w:insideV w:val="none"/>
        </w:tblBorders>
      </w:tblPr>
      <w:tblGrid>
        <w:gridCol w:w="8146"/>
        <w:gridCol w:w="1600"/>
      </w:tblGrid>
      <w:tr>
        <w:tc>
          <w:tcPr>
            <w:tcW w:type="dxa" w:w="8146"/>
            <w:shd w:fill="2E2E38" w:val="clear"/>
            <w:tcMar>
              <w:top w:type="dxa" w:w="140"/>
              <w:left w:type="dxa" w:w="220"/>
              <w:bottom w:type="dxa" w:w="140"/>
              <w:right w:type="dxa" w:w="160"/>
            </w:tcMar>
            <w:vAlign w:val="center"/>
          </w:tcPr>
          <w:p>
            <w:r>
              <w:rPr>
                <w:rFonts w:ascii="Calibri" w:cs="Calibri" w:eastAsia="Calibri" w:hAnsi="Calibri"/>
                <w:b/>
                <w:bCs/>
                <w:color w:val="FFE600"/>
                <w:sz w:val="26"/>
                <w:szCs w:val="26"/>
              </w:rPr>
              <w:t xml:space="preserve">07  </w:t>
            </w:r>
            <w:r>
              <w:rPr>
                <w:rFonts w:ascii="Calibri" w:cs="Calibri" w:eastAsia="Calibri" w:hAnsi="Calibri"/>
                <w:b/>
                <w:bCs/>
                <w:color w:val="FFFFFF"/>
                <w:sz w:val="26"/>
                <w:szCs w:val="26"/>
              </w:rPr>
              <w:t xml:space="preserve">BACKEND API</w:t>
            </w:r>
          </w:p>
        </w:tc>
        <w:tc>
          <w:tcPr>
            <w:tcW w:type="dxa" w:w="1600"/>
            <w:shd w:fill="2E2E38" w:val="clear"/>
            <w:tcMar>
              <w:top w:type="dxa" w:w="140"/>
              <w:left w:type="dxa" w:w="100"/>
              <w:bottom w:type="dxa" w:w="140"/>
              <w:right w:type="dxa" w:w="160"/>
            </w:tcMar>
            <w:vAlign w:val="center"/>
          </w:tcPr>
          <w:p>
            <w:pPr>
              <w:jc w:val="right"/>
            </w:pPr>
            <w:r>
              <w:rPr>
                <w:rFonts w:ascii="Calibri" w:cs="Calibri" w:eastAsia="Calibri" w:hAnsi="Calibri"/>
                <w:b/>
                <w:bCs/>
                <w:color w:val="B7B7C0"/>
                <w:sz w:val="15"/>
                <w:szCs w:val="15"/>
              </w:rPr>
              <w:t xml:space="preserve">○ À VENIR</w:t>
            </w:r>
          </w:p>
        </w:tc>
      </w:tr>
    </w:tbl>
    <w:p>
      <w:pPr>
        <w:spacing w:after="120"/>
      </w:pP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Point d'entrée et démarrage</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Inventaire des routes</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Les services métier</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Pourquoi aucune authentification</w:t>
      </w:r>
    </w:p>
    <w:p>
      <w:pPr>
        <w:spacing w:after="260"/>
      </w:pPr>
    </w:p>
    <w:tbl>
      <w:tblPr>
        <w:tblW w:type="dxa" w:w="9746"/>
        <w:tblBorders>
          <w:top w:val="none"/>
          <w:left w:val="none"/>
          <w:bottom w:val="none"/>
          <w:right w:val="none"/>
          <w:insideH w:val="none"/>
          <w:insideV w:val="none"/>
        </w:tblBorders>
      </w:tblPr>
      <w:tblGrid>
        <w:gridCol w:w="8146"/>
        <w:gridCol w:w="1600"/>
      </w:tblGrid>
      <w:tr>
        <w:tc>
          <w:tcPr>
            <w:tcW w:type="dxa" w:w="8146"/>
            <w:shd w:fill="2E2E38" w:val="clear"/>
            <w:tcMar>
              <w:top w:type="dxa" w:w="140"/>
              <w:left w:type="dxa" w:w="220"/>
              <w:bottom w:type="dxa" w:w="140"/>
              <w:right w:type="dxa" w:w="160"/>
            </w:tcMar>
            <w:vAlign w:val="center"/>
          </w:tcPr>
          <w:p>
            <w:r>
              <w:rPr>
                <w:rFonts w:ascii="Calibri" w:cs="Calibri" w:eastAsia="Calibri" w:hAnsi="Calibri"/>
                <w:b/>
                <w:bCs/>
                <w:color w:val="FFE600"/>
                <w:sz w:val="26"/>
                <w:szCs w:val="26"/>
              </w:rPr>
              <w:t xml:space="preserve">08  </w:t>
            </w:r>
            <w:r>
              <w:rPr>
                <w:rFonts w:ascii="Calibri" w:cs="Calibri" w:eastAsia="Calibri" w:hAnsi="Calibri"/>
                <w:b/>
                <w:bCs/>
                <w:color w:val="FFFFFF"/>
                <w:sz w:val="26"/>
                <w:szCs w:val="26"/>
              </w:rPr>
              <w:t xml:space="preserve">FRONTEND</w:t>
            </w:r>
          </w:p>
        </w:tc>
        <w:tc>
          <w:tcPr>
            <w:tcW w:type="dxa" w:w="1600"/>
            <w:shd w:fill="2E2E38" w:val="clear"/>
            <w:tcMar>
              <w:top w:type="dxa" w:w="140"/>
              <w:left w:type="dxa" w:w="100"/>
              <w:bottom w:type="dxa" w:w="140"/>
              <w:right w:type="dxa" w:w="160"/>
            </w:tcMar>
            <w:vAlign w:val="center"/>
          </w:tcPr>
          <w:p>
            <w:pPr>
              <w:jc w:val="right"/>
            </w:pPr>
            <w:r>
              <w:rPr>
                <w:rFonts w:ascii="Calibri" w:cs="Calibri" w:eastAsia="Calibri" w:hAnsi="Calibri"/>
                <w:b/>
                <w:bCs/>
                <w:color w:val="B7B7C0"/>
                <w:sz w:val="15"/>
                <w:szCs w:val="15"/>
              </w:rPr>
              <w:t xml:space="preserve">○ À VENIR</w:t>
            </w:r>
          </w:p>
        </w:tc>
      </w:tr>
    </w:tbl>
    <w:p>
      <w:pPr>
        <w:spacing w:after="120"/>
      </w:pP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Stack et routage — 13 pages</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Le design system EY</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Le mécanisme de surlignage PDF côté écran</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Composants transverses</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Pages non finalisées à connaître</w:t>
      </w:r>
    </w:p>
    <w:p>
      <w:pPr>
        <w:spacing w:after="260"/>
      </w:pPr>
    </w:p>
    <w:tbl>
      <w:tblPr>
        <w:tblW w:type="dxa" w:w="9746"/>
        <w:tblBorders>
          <w:top w:val="none"/>
          <w:left w:val="none"/>
          <w:bottom w:val="none"/>
          <w:right w:val="none"/>
          <w:insideH w:val="none"/>
          <w:insideV w:val="none"/>
        </w:tblBorders>
      </w:tblPr>
      <w:tblGrid>
        <w:gridCol w:w="8146"/>
        <w:gridCol w:w="1600"/>
      </w:tblGrid>
      <w:tr>
        <w:tc>
          <w:tcPr>
            <w:tcW w:type="dxa" w:w="8146"/>
            <w:shd w:fill="2E2E38" w:val="clear"/>
            <w:tcMar>
              <w:top w:type="dxa" w:w="140"/>
              <w:left w:type="dxa" w:w="220"/>
              <w:bottom w:type="dxa" w:w="140"/>
              <w:right w:type="dxa" w:w="160"/>
            </w:tcMar>
            <w:vAlign w:val="center"/>
          </w:tcPr>
          <w:p>
            <w:r>
              <w:rPr>
                <w:rFonts w:ascii="Calibri" w:cs="Calibri" w:eastAsia="Calibri" w:hAnsi="Calibri"/>
                <w:b/>
                <w:bCs/>
                <w:color w:val="FFE600"/>
                <w:sz w:val="26"/>
                <w:szCs w:val="26"/>
              </w:rPr>
              <w:t xml:space="preserve">09  </w:t>
            </w:r>
            <w:r>
              <w:rPr>
                <w:rFonts w:ascii="Calibri" w:cs="Calibri" w:eastAsia="Calibri" w:hAnsi="Calibri"/>
                <w:b/>
                <w:bCs/>
                <w:color w:val="FFFFFF"/>
                <w:sz w:val="26"/>
                <w:szCs w:val="26"/>
              </w:rPr>
              <w:t xml:space="preserve">INTELLIGENCE ARTIFICIELLE</w:t>
            </w:r>
          </w:p>
        </w:tc>
        <w:tc>
          <w:tcPr>
            <w:tcW w:type="dxa" w:w="1600"/>
            <w:shd w:fill="2E2E38" w:val="clear"/>
            <w:tcMar>
              <w:top w:type="dxa" w:w="140"/>
              <w:left w:type="dxa" w:w="100"/>
              <w:bottom w:type="dxa" w:w="140"/>
              <w:right w:type="dxa" w:w="160"/>
            </w:tcMar>
            <w:vAlign w:val="center"/>
          </w:tcPr>
          <w:p>
            <w:pPr>
              <w:jc w:val="right"/>
            </w:pPr>
            <w:r>
              <w:rPr>
                <w:rFonts w:ascii="Calibri" w:cs="Calibri" w:eastAsia="Calibri" w:hAnsi="Calibri"/>
                <w:b/>
                <w:bCs/>
                <w:color w:val="B7B7C0"/>
                <w:sz w:val="15"/>
                <w:szCs w:val="15"/>
              </w:rPr>
              <w:t xml:space="preserve">○ À VENIR</w:t>
            </w:r>
          </w:p>
        </w:tc>
      </w:tr>
    </w:tbl>
    <w:p>
      <w:pPr>
        <w:spacing w:after="120"/>
      </w:pP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IA générative vs IA prédictive</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Le chatbot RAG</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Rapport IA et explication de chiffres</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Le module de prévision (Prophet + XGBoost)</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Sélection automatique et explicabilité</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Synchronisation des données</w:t>
      </w:r>
    </w:p>
    <w:p>
      <w:pPr>
        <w:spacing w:after="260"/>
      </w:pPr>
    </w:p>
    <w:tbl>
      <w:tblPr>
        <w:tblW w:type="dxa" w:w="9746"/>
        <w:tblBorders>
          <w:top w:val="none"/>
          <w:left w:val="none"/>
          <w:bottom w:val="none"/>
          <w:right w:val="none"/>
          <w:insideH w:val="none"/>
          <w:insideV w:val="none"/>
        </w:tblBorders>
      </w:tblPr>
      <w:tblGrid>
        <w:gridCol w:w="8146"/>
        <w:gridCol w:w="1600"/>
      </w:tblGrid>
      <w:tr>
        <w:tc>
          <w:tcPr>
            <w:tcW w:type="dxa" w:w="8146"/>
            <w:shd w:fill="2E2E38" w:val="clear"/>
            <w:tcMar>
              <w:top w:type="dxa" w:w="140"/>
              <w:left w:type="dxa" w:w="220"/>
              <w:bottom w:type="dxa" w:w="140"/>
              <w:right w:type="dxa" w:w="160"/>
            </w:tcMar>
            <w:vAlign w:val="center"/>
          </w:tcPr>
          <w:p>
            <w:r>
              <w:rPr>
                <w:rFonts w:ascii="Calibri" w:cs="Calibri" w:eastAsia="Calibri" w:hAnsi="Calibri"/>
                <w:b/>
                <w:bCs/>
                <w:color w:val="FFE600"/>
                <w:sz w:val="26"/>
                <w:szCs w:val="26"/>
              </w:rPr>
              <w:t xml:space="preserve">10  </w:t>
            </w:r>
            <w:r>
              <w:rPr>
                <w:rFonts w:ascii="Calibri" w:cs="Calibri" w:eastAsia="Calibri" w:hAnsi="Calibri"/>
                <w:b/>
                <w:bCs/>
                <w:color w:val="FFFFFF"/>
                <w:sz w:val="26"/>
                <w:szCs w:val="26"/>
              </w:rPr>
              <w:t xml:space="preserve">DÉPLOIEMENT</w:t>
            </w:r>
          </w:p>
        </w:tc>
        <w:tc>
          <w:tcPr>
            <w:tcW w:type="dxa" w:w="1600"/>
            <w:shd w:fill="2E2E38" w:val="clear"/>
            <w:tcMar>
              <w:top w:type="dxa" w:w="140"/>
              <w:left w:type="dxa" w:w="100"/>
              <w:bottom w:type="dxa" w:w="140"/>
              <w:right w:type="dxa" w:w="160"/>
            </w:tcMar>
            <w:vAlign w:val="center"/>
          </w:tcPr>
          <w:p>
            <w:pPr>
              <w:jc w:val="right"/>
            </w:pPr>
            <w:r>
              <w:rPr>
                <w:rFonts w:ascii="Calibri" w:cs="Calibri" w:eastAsia="Calibri" w:hAnsi="Calibri"/>
                <w:b/>
                <w:bCs/>
                <w:color w:val="B7B7C0"/>
                <w:sz w:val="15"/>
                <w:szCs w:val="15"/>
              </w:rPr>
              <w:t xml:space="preserve">○ À VENIR</w:t>
            </w:r>
          </w:p>
        </w:tc>
      </w:tr>
    </w:tbl>
    <w:p>
      <w:pPr>
        <w:spacing w:after="120"/>
      </w:pP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Docker Compose — les 4 services</w:t>
      </w:r>
    </w:p>
    <w:p>
      <w:pPr>
        <w:spacing w:after="90" w:before="20"/>
        <w:ind w:left="300"/>
      </w:pPr>
      <w:r>
        <w:rPr>
          <w:b/>
          <w:bCs/>
          <w:color w:val="FFE600"/>
          <w:sz w:val="20"/>
          <w:szCs w:val="20"/>
        </w:rPr>
        <w:t xml:space="preserve">▸  </w:t>
      </w:r>
      <w:r>
        <w:rPr>
          <w:rFonts w:ascii="Calibri" w:cs="Calibri" w:eastAsia="Calibri" w:hAnsi="Calibri"/>
          <w:color w:val="2E2E38"/>
          <w:sz w:val="21"/>
          <w:szCs w:val="21"/>
        </w:rPr>
        <w:t xml:space="preserve">Pourquoi Docker</w:t>
      </w:r>
    </w:p>
    <w:p>
      <w:pPr>
        <w:spacing w:after="260"/>
      </w:pPr>
    </w:p>
    <w:p>
      <w:pPr>
        <w:pBdr>
          <w:top w:val="single" w:color="D9D9D9" w:sz="8" w:space="8"/>
        </w:pBdr>
        <w:spacing w:before="100"/>
      </w:pPr>
      <w:r>
        <w:rPr>
          <w:rFonts w:ascii="Calibri" w:cs="Calibri" w:eastAsia="Calibri" w:hAnsi="Calibri"/>
          <w:i/>
          <w:iCs/>
          <w:color w:val="747480"/>
          <w:sz w:val="17"/>
          <w:szCs w:val="17"/>
        </w:rPr>
        <w:t xml:space="preserve">Légende — ✓ Expliqué et verrouillé   ◐ En cours de validation   ○ Pas encore abordé</w:t>
      </w:r>
    </w:p>
    <w:p>
      <w:r>
        <w:br w:type="page"/>
      </w:r>
    </w:p>
    <w:p>
      <w:pPr>
        <w:pStyle w:val="Title"/>
        <w:spacing w:after="140" w:before="0"/>
      </w:pPr>
      <w:r>
        <w:rPr>
          <w:b/>
          <w:bCs/>
          <w:color w:val="2E2E38"/>
        </w:rPr>
        <w:t xml:space="preserve">Fiche technique — Baromètre Assurance TN / FS Market Intelligence</w:t>
      </w:r>
    </w:p>
    <w:p>
      <w:pPr>
        <w:pBdr>
          <w:left w:val="single" w:color="FFE600" w:sz="12" w:space="8"/>
        </w:pBdr>
        <w:spacing w:after="200"/>
        <w:ind w:left="360"/>
      </w:pPr>
      <w:r>
        <w:rPr>
          <w:i/>
          <w:iCs/>
          <w:color w:val="555555"/>
        </w:rPr>
        <w:t xml:space="preserve">Document de référence unique pour la soutenance PFE. Objectif : que n'importe qui (jury, nouveau collaborateur, vous-même dans 6 mois) puisse comprendre </w:t>
      </w:r>
      <w:r>
        <w:rPr>
          <w:b/>
          <w:bCs/>
          <w:i/>
          <w:iCs/>
          <w:color w:val="555555"/>
        </w:rPr>
        <w:t xml:space="preserve">quoi</w:t>
      </w:r>
      <w:r>
        <w:rPr>
          <w:i/>
          <w:iCs/>
          <w:color w:val="555555"/>
        </w:rPr>
        <w:t xml:space="preserve">, </w:t>
      </w:r>
      <w:r>
        <w:rPr>
          <w:b/>
          <w:bCs/>
          <w:i/>
          <w:iCs/>
          <w:color w:val="555555"/>
        </w:rPr>
        <w:t xml:space="preserve">comment</w:t>
      </w:r>
      <w:r>
        <w:rPr>
          <w:i/>
          <w:iCs/>
          <w:color w:val="555555"/>
        </w:rPr>
        <w:t xml:space="preserve"> et </w:t>
      </w:r>
      <w:r>
        <w:rPr>
          <w:b/>
          <w:bCs/>
          <w:i/>
          <w:iCs/>
          <w:color w:val="555555"/>
        </w:rPr>
        <w:t xml:space="preserve">pourquoi</w:t>
      </w:r>
      <w:r>
        <w:rPr>
          <w:i/>
          <w:iCs/>
          <w:color w:val="555555"/>
        </w:rPr>
        <w:t xml:space="preserve"> pour chaque brique de la plateforme, sans avoir à relire le code. Compilé le 2026-09-02 à partir d'une lecture exhaustive du code source (pas de reconstruction depuis la mémoire). Chemins absolus depuis </w:t>
      </w:r>
      <w:r>
        <w:rPr>
          <w:rFonts w:ascii="Consolas" w:cs="Consolas" w:eastAsia="Consolas" w:hAnsi="Consolas"/>
          <w:i/>
          <w:iCs/>
          <w:color w:val="555555"/>
          <w:sz w:val="20"/>
          <w:szCs w:val="20"/>
        </w:rPr>
        <w:t xml:space="preserve">C:\Users\HP\Desktop\SCRAPING</w:t>
      </w:r>
      <w:r>
        <w:rPr>
          <w:i/>
          <w:iCs/>
          <w:color w:val="555555"/>
        </w:rPr>
        <w:t xml:space="preserve">.  Ce document remplace/complète </w:t>
      </w:r>
      <w:r>
        <w:rPr>
          <w:rFonts w:ascii="Consolas" w:cs="Consolas" w:eastAsia="Consolas" w:hAnsi="Consolas"/>
          <w:i/>
          <w:iCs/>
          <w:color w:val="555555"/>
          <w:sz w:val="20"/>
          <w:szCs w:val="20"/>
        </w:rPr>
        <w:t xml:space="preserve">docs/comprehension_technique_projet.md</w:t>
      </w:r>
      <w:r>
        <w:rPr>
          <w:i/>
          <w:iCs/>
          <w:color w:val="555555"/>
        </w:rPr>
        <w:t xml:space="preserve"> (première version, moins complète — la répartition des sources de scraping y était sous-comptée, corrigé ici).</w:t>
      </w:r>
    </w:p>
    <w:p>
      <w:pPr>
        <w:pStyle w:val="Heading1"/>
        <w:spacing w:after="140" w:before="280"/>
      </w:pPr>
      <w:r>
        <w:rPr>
          <w:b/>
          <w:bCs/>
          <w:color w:val="2E2E38"/>
        </w:rPr>
        <w:t xml:space="preserve">Sommaire</w:t>
      </w:r>
    </w:p>
    <w:p>
      <w:pPr>
        <w:spacing w:after="40"/>
      </w:pPr>
      <w:r>
        <w:t xml:space="preserve">• Points de vigilance avant la soutenance</w:t>
      </w:r>
    </w:p>
    <w:p>
      <w:pPr>
        <w:spacing w:after="40"/>
      </w:pPr>
      <w:r>
        <w:t xml:space="preserve">• Vision et contexte du projet</w:t>
      </w:r>
    </w:p>
    <w:p>
      <w:pPr>
        <w:spacing w:after="40"/>
      </w:pPr>
      <w:r>
        <w:t xml:space="preserve">• Architecture générale et stack technique</w:t>
      </w:r>
    </w:p>
    <w:p>
      <w:pPr>
        <w:spacing w:after="40"/>
      </w:pPr>
      <w:r>
        <w:t xml:space="preserve">• Couche 1 — Collecte des données (scraping)</w:t>
      </w:r>
    </w:p>
    <w:p>
      <w:pPr>
        <w:spacing w:after="40"/>
      </w:pPr>
      <w:r>
        <w:t xml:space="preserve">• Couche 2 — Persistance (base de données)</w:t>
      </w:r>
    </w:p>
    <w:p>
      <w:pPr>
        <w:spacing w:after="40"/>
      </w:pPr>
      <w:r>
        <w:t xml:space="preserve">• Couche 3 — Extraction PDF</w:t>
      </w:r>
    </w:p>
    <w:p>
      <w:pPr>
        <w:spacing w:after="40"/>
      </w:pPr>
      <w:r>
        <w:t xml:space="preserve">• Couche 4 — Calcul des KPI et ratios</w:t>
      </w:r>
    </w:p>
    <w:p>
      <w:pPr>
        <w:spacing w:after="40"/>
      </w:pPr>
      <w:r>
        <w:t xml:space="preserve">• Couche 5 — Orchestration (pipeline planifié)</w:t>
      </w:r>
    </w:p>
    <w:p>
      <w:pPr>
        <w:spacing w:after="40"/>
      </w:pPr>
      <w:r>
        <w:t xml:space="preserve">• Couche 6 — Backend API</w:t>
      </w:r>
    </w:p>
    <w:p>
      <w:pPr>
        <w:spacing w:after="40"/>
      </w:pPr>
      <w:r>
        <w:t xml:space="preserve">• Couche 7 — Frontend</w:t>
      </w:r>
    </w:p>
    <w:p>
      <w:pPr>
        <w:spacing w:after="40"/>
      </w:pPr>
      <w:r>
        <w:t xml:space="preserve">• Couche 8 — Intelligence Artificielle</w:t>
      </w:r>
    </w:p>
    <w:p>
      <w:pPr>
        <w:spacing w:after="40"/>
      </w:pPr>
      <w:r>
        <w:t xml:space="preserve">• Déploiement</w:t>
      </w:r>
    </w:p>
    <w:p>
      <w:pPr>
        <w:spacing w:after="40"/>
      </w:pPr>
      <w:r>
        <w:t xml:space="preserve">• Philosophie qualité et traçabilité — le fil rouge du projet</w:t>
      </w:r>
    </w:p>
    <w:p>
      <w:pPr>
        <w:spacing w:after="40"/>
      </w:pPr>
      <w:r>
        <w:t xml:space="preserve">• Tableau récapitulatif de tous les outils</w:t>
      </w:r>
    </w:p>
    <w:p>
      <w:pPr>
        <w:spacing w:after="40"/>
      </w:pPr>
      <w:r>
        <w:t xml:space="preserve">• Limitations connues</w:t>
      </w:r>
    </w:p>
    <w:p>
      <w:pPr>
        <w:pStyle w:val="Heading1"/>
        <w:spacing w:after="140" w:before="280"/>
      </w:pPr>
      <w:r>
        <w:rPr>
          <w:b/>
          <w:bCs/>
          <w:color w:val="2E2E38"/>
        </w:rPr>
        <w:t xml:space="preserve">0. Points de vigilance avant la soutenance</w:t>
      </w:r>
    </w:p>
    <w:p>
      <w:pPr>
        <w:spacing w:after="140"/>
      </w:pPr>
      <w:r>
        <w:t xml:space="preserve">Écarts détectés entre les anciennes docs/README et le code réel — à corriger dans le discours :</w:t>
      </w:r>
    </w:p>
    <w:p>
      <w:pPr>
        <w:spacing w:after="140"/>
      </w:pPr>
      <w:r>
        <w:t xml:space="preserve">1. </w:t>
      </w:r>
      <w:r>
        <w:rPr>
          <w:b/>
          <w:bCs/>
        </w:rPr>
        <w:t xml:space="preserve">LLM = Groq, pas Claude.</w:t>
      </w:r>
      <w:r>
        <w:t xml:space="preserve"> Le </w:t>
      </w:r>
      <w:r>
        <w:rPr>
          <w:rFonts w:ascii="Consolas" w:cs="Consolas" w:eastAsia="Consolas" w:hAnsi="Consolas"/>
          <w:sz w:val="20"/>
          <w:szCs w:val="20"/>
        </w:rPr>
        <w:t xml:space="preserve">README.md</w:t>
      </w:r>
      <w:r>
        <w:t xml:space="preserve"> racine et le </w:t>
      </w:r>
      <w:r>
        <w:rPr>
          <w:rFonts w:ascii="Consolas" w:cs="Consolas" w:eastAsia="Consolas" w:hAnsi="Consolas"/>
          <w:sz w:val="20"/>
          <w:szCs w:val="20"/>
        </w:rPr>
        <w:t xml:space="preserve">docs/prompt_handoff_ia_technique.md</w:t>
      </w:r>
      <w:r>
        <w:t xml:space="preserve"> mentionnent une clé "Claude API" (</w:t>
      </w:r>
      <w:r>
        <w:rPr>
          <w:rFonts w:ascii="Consolas" w:cs="Consolas" w:eastAsia="Consolas" w:hAnsi="Consolas"/>
          <w:sz w:val="20"/>
          <w:szCs w:val="20"/>
        </w:rPr>
        <w:t xml:space="preserve">VITE_ANTHROPIC_KEY</w:t>
      </w:r>
      <w:r>
        <w:t xml:space="preserve">). Le code réel (</w:t>
      </w:r>
      <w:r>
        <w:rPr>
          <w:rFonts w:ascii="Consolas" w:cs="Consolas" w:eastAsia="Consolas" w:hAnsi="Consolas"/>
          <w:sz w:val="20"/>
          <w:szCs w:val="20"/>
        </w:rPr>
        <w:t xml:space="preserve">chatbot_portable/app.py</w:t>
      </w:r>
      <w:r>
        <w:t xml:space="preserve">) appelle exclusivement </w:t>
      </w:r>
      <w:r>
        <w:rPr>
          <w:b/>
          <w:bCs/>
        </w:rPr>
        <w:t xml:space="preserve">Groq</w:t>
      </w:r>
      <w:r>
        <w:t xml:space="preserve"> (modèle </w:t>
      </w:r>
      <w:r>
        <w:rPr>
          <w:rFonts w:ascii="Consolas" w:cs="Consolas" w:eastAsia="Consolas" w:hAnsi="Consolas"/>
          <w:sz w:val="20"/>
          <w:szCs w:val="20"/>
        </w:rPr>
        <w:t xml:space="preserve">openai/gpt-oss-120b</w:t>
      </w:r>
      <w:r>
        <w:t xml:space="preserve">). Aucune clé Anthropic nulle part dans le dépôt. Le widget Chatbot affiche lui-même "Groq LLM" dans son pied de page.</w:t>
      </w:r>
    </w:p>
    <w:p>
      <w:pPr>
        <w:spacing w:after="140"/>
      </w:pPr>
      <w:r>
        <w:t xml:space="preserve">2. </w:t>
      </w:r>
      <w:r>
        <w:rPr>
          <w:b/>
          <w:bCs/>
        </w:rPr>
        <w:t xml:space="preserve">Le RAG n'a pas d'embeddings</w:t>
      </w:r>
      <w:r>
        <w:t xml:space="preserve"> — retrieval </w:t>
      </w:r>
      <w:r>
        <w:rPr>
          <w:b/>
          <w:bCs/>
        </w:rPr>
        <w:t xml:space="preserve">TF-IDF fait main</w:t>
      </w:r>
      <w:r>
        <w:t xml:space="preserve">, pas de base vectorielle.</w:t>
      </w:r>
    </w:p>
    <w:p>
      <w:pPr>
        <w:spacing w:after="140"/>
      </w:pPr>
      <w:r>
        <w:t xml:space="preserve">3. </w:t>
      </w:r>
      <w:r>
        <w:rPr>
          <w:b/>
          <w:bCs/>
        </w:rPr>
        <w:t xml:space="preserve">"SHAP" = TreeSHAP natif XGBoost</w:t>
      </w:r>
      <w:r>
        <w:t xml:space="preserve">, pas la librairie Python </w:t>
      </w:r>
      <w:r>
        <w:rPr>
          <w:rFonts w:ascii="Consolas" w:cs="Consolas" w:eastAsia="Consolas" w:hAnsi="Consolas"/>
          <w:sz w:val="20"/>
          <w:szCs w:val="20"/>
        </w:rPr>
        <w:t xml:space="preserve">shap</w:t>
      </w:r>
      <w:r>
        <w:t xml:space="preserve"> (absente de </w:t>
      </w:r>
      <w:r>
        <w:rPr>
          <w:rFonts w:ascii="Consolas" w:cs="Consolas" w:eastAsia="Consolas" w:hAnsi="Consolas"/>
          <w:sz w:val="20"/>
          <w:szCs w:val="20"/>
        </w:rPr>
        <w:t xml:space="preserve">requirements.txt</w:t>
      </w:r>
      <w:r>
        <w:t xml:space="preserve">).</w:t>
      </w:r>
    </w:p>
    <w:p>
      <w:pPr>
        <w:spacing w:after="140"/>
      </w:pPr>
      <w:r>
        <w:t xml:space="preserve">4. </w:t>
      </w:r>
      <w:r>
        <w:rPr>
          <w:b/>
          <w:bCs/>
        </w:rPr>
        <w:t xml:space="preserve">8 sources d'origine, pas 5</w:t>
      </w:r>
      <w:r>
        <w:t xml:space="preserve"> : CMF, FTUSA, CGA, BVMT, INS, </w:t>
      </w:r>
      <w:r>
        <w:rPr>
          <w:b/>
          <w:bCs/>
        </w:rPr>
        <w:t xml:space="preserve">Atlas Magazine, IlBoursa, ENQUETE</w:t>
      </w:r>
      <w:r>
        <w:t xml:space="preserve">. CGA et FTUSA alimentent chacune deux circuits différents (rapports KPI dans </w:t>
      </w:r>
      <w:r>
        <w:rPr>
          <w:rFonts w:ascii="Consolas" w:cs="Consolas" w:eastAsia="Consolas" w:hAnsi="Consolas"/>
          <w:sz w:val="20"/>
          <w:szCs w:val="20"/>
        </w:rPr>
        <w:t xml:space="preserve">documents</w:t>
      </w:r>
      <w:r>
        <w:t xml:space="preserve">/</w:t>
      </w:r>
      <w:r>
        <w:rPr>
          <w:rFonts w:ascii="Consolas" w:cs="Consolas" w:eastAsia="Consolas" w:hAnsi="Consolas"/>
          <w:sz w:val="20"/>
          <w:szCs w:val="20"/>
        </w:rPr>
        <w:t xml:space="preserve">kpi_values</w:t>
      </w:r>
      <w:r>
        <w:t xml:space="preserve"> </w:t>
      </w:r>
      <w:r>
        <w:rPr>
          <w:b/>
          <w:bCs/>
        </w:rPr>
        <w:t xml:space="preserve">et</w:t>
      </w:r>
      <w:r>
        <w:t xml:space="preserve"> textes réglementaires dans </w:t>
      </w:r>
      <w:r>
        <w:rPr>
          <w:rFonts w:ascii="Consolas" w:cs="Consolas" w:eastAsia="Consolas" w:hAnsi="Consolas"/>
          <w:sz w:val="20"/>
          <w:szCs w:val="20"/>
        </w:rPr>
        <w:t xml:space="preserve">actualites_vues</w:t>
      </w:r>
      <w:r>
        <w:t xml:space="preserve">/</w:t>
      </w:r>
      <w:r>
        <w:rPr>
          <w:rFonts w:ascii="Consolas" w:cs="Consolas" w:eastAsia="Consolas" w:hAnsi="Consolas"/>
          <w:sz w:val="20"/>
          <w:szCs w:val="20"/>
        </w:rPr>
        <w:t xml:space="preserve">reglementation_vues</w:t>
      </w:r>
      <w:r>
        <w:t xml:space="preserve">, ce second circuit vivant dans </w:t>
      </w:r>
      <w:r>
        <w:rPr>
          <w:rFonts w:ascii="Consolas" w:cs="Consolas" w:eastAsia="Consolas" w:hAnsi="Consolas"/>
          <w:sz w:val="20"/>
          <w:szCs w:val="20"/>
        </w:rPr>
        <w:t xml:space="preserve">api/routes/veille.py</w:t>
      </w:r>
      <w:r>
        <w:t xml:space="preserve">, pas dans </w:t>
      </w:r>
      <w:r>
        <w:rPr>
          <w:rFonts w:ascii="Consolas" w:cs="Consolas" w:eastAsia="Consolas" w:hAnsi="Consolas"/>
          <w:sz w:val="20"/>
          <w:szCs w:val="20"/>
        </w:rPr>
        <w:t xml:space="preserve">scraping/</w:t>
      </w:r>
      <w:r>
        <w:t xml:space="preserve">) — mais restent une seule source d'origine chacune.</w:t>
      </w:r>
    </w:p>
    <w:p>
      <w:pPr>
        <w:spacing w:after="140"/>
      </w:pPr>
      <w:r>
        <w:t xml:space="preserve">6. </w:t>
      </w:r>
      <w:r>
        <w:rPr>
          <w:b/>
          <w:bCs/>
        </w:rPr>
        <w:t xml:space="preserve">README obsolète sur plusieurs points</w:t>
      </w:r>
      <w:r>
        <w:t xml:space="preserve"> : indique React 18 (le code utilise React 19), et une clé </w:t>
      </w:r>
      <w:r>
        <w:rPr>
          <w:rFonts w:ascii="Consolas" w:cs="Consolas" w:eastAsia="Consolas" w:hAnsi="Consolas"/>
          <w:sz w:val="20"/>
          <w:szCs w:val="20"/>
        </w:rPr>
        <w:t xml:space="preserve">VITE_ANTHROPIC_KEY</w:t>
      </w:r>
      <w:r>
        <w:t xml:space="preserve"> inexistante dans le code.</w:t>
      </w:r>
    </w:p>
    <w:p>
      <w:pPr>
        <w:spacing w:after="140"/>
      </w:pPr>
      <w:r>
        <w:t xml:space="preserve">7. </w:t>
      </w:r>
      <w:r>
        <w:rPr>
          <w:b/>
          <w:bCs/>
        </w:rPr>
        <w:t xml:space="preserve">Frontend : pages mortes/non finalisées</w:t>
      </w:r>
      <w:r>
        <w:t xml:space="preserve"> : </w:t>
      </w:r>
      <w:r>
        <w:rPr>
          <w:rFonts w:ascii="Consolas" w:cs="Consolas" w:eastAsia="Consolas" w:hAnsi="Consolas"/>
          <w:sz w:val="20"/>
          <w:szCs w:val="20"/>
        </w:rPr>
        <w:t xml:space="preserve">/positionnement</w:t>
      </w:r>
      <w:r>
        <w:t xml:space="preserve"> (stub, données codées en dur), </w:t>
      </w:r>
      <w:r>
        <w:rPr>
          <w:rFonts w:ascii="Consolas" w:cs="Consolas" w:eastAsia="Consolas" w:hAnsi="Consolas"/>
          <w:sz w:val="20"/>
          <w:szCs w:val="20"/>
        </w:rPr>
        <w:t xml:space="preserve">/geographie</w:t>
      </w:r>
      <w:r>
        <w:t xml:space="preserve"> (100% données mock), composants orphelins (</w:t>
      </w:r>
      <w:r>
        <w:rPr>
          <w:rFonts w:ascii="Consolas" w:cs="Consolas" w:eastAsia="Consolas" w:hAnsi="Consolas"/>
          <w:sz w:val="20"/>
          <w:szCs w:val="20"/>
        </w:rPr>
        <w:t xml:space="preserve">Sidebar.jsx</w:t>
      </w:r>
      <w:r>
        <w:t xml:space="preserve">, </w:t>
      </w:r>
      <w:r>
        <w:rPr>
          <w:rFonts w:ascii="Consolas" w:cs="Consolas" w:eastAsia="Consolas" w:hAnsi="Consolas"/>
          <w:sz w:val="20"/>
          <w:szCs w:val="20"/>
        </w:rPr>
        <w:t xml:space="preserve">PageHeader.jsx</w:t>
      </w:r>
      <w:r>
        <w:t xml:space="preserve">, </w:t>
      </w:r>
      <w:r>
        <w:rPr>
          <w:rFonts w:ascii="Consolas" w:cs="Consolas" w:eastAsia="Consolas" w:hAnsi="Consolas"/>
          <w:sz w:val="20"/>
          <w:szCs w:val="20"/>
        </w:rPr>
        <w:t xml:space="preserve">KpiCard.jsx</w:t>
      </w:r>
      <w:r>
        <w:t xml:space="preserve">, </w:t>
      </w:r>
      <w:r>
        <w:rPr>
          <w:rFonts w:ascii="Consolas" w:cs="Consolas" w:eastAsia="Consolas" w:hAnsi="Consolas"/>
          <w:sz w:val="20"/>
          <w:szCs w:val="20"/>
        </w:rPr>
        <w:t xml:space="preserve">components/Positionnement.jsx</w:t>
      </w:r>
      <w:r>
        <w:t xml:space="preserve">), pages non routées (</w:t>
      </w:r>
      <w:r>
        <w:rPr>
          <w:rFonts w:ascii="Consolas" w:cs="Consolas" w:eastAsia="Consolas" w:hAnsi="Consolas"/>
          <w:sz w:val="20"/>
          <w:szCs w:val="20"/>
        </w:rPr>
        <w:t xml:space="preserve">CarteAfrique.jsx</w:t>
      </w:r>
      <w:r>
        <w:t xml:space="preserve">, </w:t>
      </w:r>
      <w:r>
        <w:rPr>
          <w:rFonts w:ascii="Consolas" w:cs="Consolas" w:eastAsia="Consolas" w:hAnsi="Consolas"/>
          <w:sz w:val="20"/>
          <w:szCs w:val="20"/>
        </w:rPr>
        <w:t xml:space="preserve">EtatGeneral.jsx</w:t>
      </w:r>
      <w:r>
        <w:t xml:space="preserve">, </w:t>
      </w:r>
      <w:r>
        <w:rPr>
          <w:rFonts w:ascii="Consolas" w:cs="Consolas" w:eastAsia="Consolas" w:hAnsi="Consolas"/>
          <w:sz w:val="20"/>
          <w:szCs w:val="20"/>
        </w:rPr>
        <w:t xml:space="preserve">FicheEntreprise.jsx</w:t>
      </w:r>
      <w:r>
        <w:t xml:space="preserve">).</w:t>
      </w:r>
    </w:p>
    <w:p>
      <w:pPr>
        <w:spacing w:after="140"/>
      </w:pPr>
      <w:r>
        <w:t xml:space="preserve">8. </w:t>
      </w:r>
      <w:r>
        <w:rPr>
          <w:b/>
          <w:bCs/>
        </w:rPr>
        <w:t xml:space="preserve">`react-simple-maps` est une dépendance installée mais inutilisée</w:t>
      </w:r>
      <w:r>
        <w:t xml:space="preserve"> — la carte de Tunisie est un SVG statique manipulé à la main.</w:t>
      </w:r>
    </w:p>
    <w:p>
      <w:pPr>
        <w:spacing w:after="140"/>
      </w:pPr>
      <w:r>
        <w:rPr>
          <w:b/>
          <w:bCs/>
        </w:rPr>
        <w:t xml:space="preserve">Point fort à mettre en avant</w:t>
      </w:r>
      <w:r>
        <w:t xml:space="preserve"> : le code contient un volume inhabituel de commentaires expliquant le "pourquoi" de chaque garde-fou avec un cas réel daté (société, année, symptôme observé, correctif). C'est la meilleure preuve de rigueur empirique à montrer au jury si on vous demande "comment avez-vous validé que c'est fiable ?".</w:t>
      </w:r>
    </w:p>
    <w:p>
      <w:pPr>
        <w:pStyle w:val="Heading1"/>
        <w:spacing w:after="140" w:before="280"/>
      </w:pPr>
      <w:r>
        <w:rPr>
          <w:b/>
          <w:bCs/>
          <w:color w:val="2E2E38"/>
        </w:rPr>
        <w:t xml:space="preserve">1. Vision et contexte du projet</w:t>
      </w:r>
    </w:p>
    <w:p>
      <w:pPr>
        <w:spacing w:after="140"/>
      </w:pPr>
      <w:r>
        <w:rPr>
          <w:b/>
          <w:bCs/>
        </w:rPr>
        <w:t xml:space="preserve">Nom</w:t>
      </w:r>
      <w:r>
        <w:t xml:space="preserve"> : Insurance Barometer – Tunisia / "Baromètre Assurance TN" / "FS Market Intelligence" (les 3 noms désignent le même projet à différentes étapes).</w:t>
      </w:r>
    </w:p>
    <w:p>
      <w:pPr>
        <w:spacing w:after="140"/>
      </w:pPr>
      <w:r>
        <w:rPr>
          <w:b/>
          <w:bCs/>
        </w:rPr>
        <w:t xml:space="preserve">Commanditaire</w:t>
      </w:r>
      <w:r>
        <w:t xml:space="preserve"> : département Financial Services Transformation (FST) d'EY Tunisie — outil </w:t>
      </w:r>
      <w:r>
        <w:rPr>
          <w:b/>
          <w:bCs/>
        </w:rPr>
        <w:t xml:space="preserve">interne</w:t>
      </w:r>
      <w:r>
        <w:t xml:space="preserve">, pas un produit commercial.</w:t>
      </w:r>
    </w:p>
    <w:p>
      <w:pPr>
        <w:spacing w:after="140"/>
      </w:pPr>
      <w:r>
        <w:rPr>
          <w:b/>
          <w:bCs/>
        </w:rPr>
        <w:t xml:space="preserve">Cadre académique</w:t>
      </w:r>
      <w:r>
        <w:t xml:space="preserve"> : Projet de Fin d'Études (PFE), ESPRIT, en partenariat avec EY.</w:t>
      </w:r>
    </w:p>
    <w:p>
      <w:pPr>
        <w:spacing w:after="140"/>
      </w:pPr>
      <w:r>
        <w:rPr>
          <w:b/>
          <w:bCs/>
        </w:rPr>
        <w:t xml:space="preserve">Objectif métier</w:t>
      </w:r>
      <w:r>
        <w:t xml:space="preserve"> (issu du brief projet) : remplacer une analyse manuelle et fragmentée de PDF réglementaires par un outil décisionnel unique, utilisable par des compagnies d'assurance, des autorités de contrôle, des analystes financiers, des investisseurs, chercheurs et étudiants — pour :</w:t>
      </w:r>
    </w:p>
    <w:p>
      <w:pPr>
        <w:pStyle w:val="ListParagraph"/>
        <w:numPr>
          <w:ilvl w:val="0"/>
          <w:numId w:val="1"/>
        </w:numPr>
        <w:spacing w:after="80"/>
      </w:pPr>
      <w:r>
        <w:t xml:space="preserve">analyser le marché tunisien des assurances et la performance des compagnies,</w:t>
      </w:r>
    </w:p>
    <w:p>
      <w:pPr>
        <w:pStyle w:val="ListParagraph"/>
        <w:numPr>
          <w:ilvl w:val="0"/>
          <w:numId w:val="1"/>
        </w:numPr>
        <w:spacing w:after="80"/>
      </w:pPr>
      <w:r>
        <w:t xml:space="preserve">comparer plusieurs compagnies entre elles,</w:t>
      </w:r>
    </w:p>
    <w:p>
      <w:pPr>
        <w:pStyle w:val="ListParagraph"/>
        <w:numPr>
          <w:ilvl w:val="0"/>
          <w:numId w:val="1"/>
        </w:numPr>
        <w:spacing w:after="80"/>
      </w:pPr>
      <w:r>
        <w:t xml:space="preserve">calculer automatiquement ratios et indicateurs,</w:t>
      </w:r>
    </w:p>
    <w:p>
      <w:pPr>
        <w:pStyle w:val="ListParagraph"/>
        <w:numPr>
          <w:ilvl w:val="0"/>
          <w:numId w:val="1"/>
        </w:numPr>
        <w:spacing w:after="80"/>
      </w:pPr>
      <w:r>
        <w:t xml:space="preserve">détecter les anomalies,</w:t>
      </w:r>
    </w:p>
    <w:p>
      <w:pPr>
        <w:pStyle w:val="ListParagraph"/>
        <w:numPr>
          <w:ilvl w:val="0"/>
          <w:numId w:val="1"/>
        </w:numPr>
        <w:spacing w:after="80"/>
      </w:pPr>
      <w:r>
        <w:t xml:space="preserve">produire des prévisions,</w:t>
      </w:r>
    </w:p>
    <w:p>
      <w:pPr>
        <w:pStyle w:val="ListParagraph"/>
        <w:numPr>
          <w:ilvl w:val="0"/>
          <w:numId w:val="1"/>
        </w:numPr>
        <w:spacing w:after="80"/>
      </w:pPr>
      <w:r>
        <w:t xml:space="preserve">expliquer automatiquement les résultats via l'IA.</w:t>
      </w:r>
    </w:p>
    <w:p>
      <w:pPr>
        <w:spacing w:after="140"/>
      </w:pPr>
      <w:r>
        <w:rPr>
          <w:b/>
          <w:bCs/>
        </w:rPr>
        <w:t xml:space="preserve">Règle métier n°1 (la plus structurante du projet)</w:t>
      </w:r>
      <w:r>
        <w:t xml:space="preserve"> : il existe deux familles d'assurance totalement distinctes sur le plan comptable et réglementaire —</w:t>
      </w:r>
    </w:p>
    <w:p>
      <w:pPr>
        <w:pStyle w:val="ListParagraph"/>
        <w:numPr>
          <w:ilvl w:val="0"/>
          <w:numId w:val="1"/>
        </w:numPr>
        <w:spacing w:after="80"/>
      </w:pPr>
      <w:r>
        <w:rPr>
          <w:b/>
          <w:bCs/>
        </w:rPr>
        <w:t xml:space="preserve">Assurance conventionnelle</w:t>
      </w:r>
      <w:r>
        <w:t xml:space="preserve"> (22 compagnies) : modèle classique primes/sinistres.</w:t>
      </w:r>
    </w:p>
    <w:p>
      <w:pPr>
        <w:pStyle w:val="ListParagraph"/>
        <w:numPr>
          <w:ilvl w:val="0"/>
          <w:numId w:val="1"/>
        </w:numPr>
        <w:spacing w:after="80"/>
      </w:pPr>
      <w:r>
        <w:rPr>
          <w:b/>
          <w:bCs/>
        </w:rPr>
        <w:t xml:space="preserve">Assurance Takaful/islamique</w:t>
      </w:r>
      <w:r>
        <w:t xml:space="preserve"> (3 compagnies : AT_TAKAFULIA, ZITOUNA_TAKAFUL, AL_AMANAH_TAKAFUL) : modèle mutualiste (Wakala/Moudharaba, Fonds des Participants séparé de l'Opérateur, norme comptable NCT 43 différente).</w:t>
      </w:r>
    </w:p>
    <w:p>
      <w:pPr>
        <w:spacing w:after="140"/>
      </w:pPr>
      <w:r>
        <w:t xml:space="preserve">Cette distinction irrigue </w:t>
      </w:r>
      <w:r>
        <w:rPr>
          <w:b/>
          <w:bCs/>
        </w:rPr>
        <w:t xml:space="preserve">toute</w:t>
      </w:r>
      <w:r>
        <w:t xml:space="preserve"> l'architecture : extracteurs séparés, ratios séparés, filtres séparés au frontend, terminologie adaptée ("Contribution" au lieu de "Primes émises" côté Takaful).</w:t>
      </w:r>
    </w:p>
    <w:p>
      <w:pPr>
        <w:spacing w:after="140"/>
      </w:pPr>
      <w:r>
        <w:rPr>
          <w:b/>
          <w:bCs/>
        </w:rPr>
        <w:t xml:space="preserve">Périmètre couvert</w:t>
      </w:r>
      <w:r>
        <w:t xml:space="preserve"> : 24 compagnies d'assurance tunisiennes, 5 sources officielles (CMF, FTUSA, CGA, BVMT, INS) + enquête de marché (Excel), période </w:t>
      </w:r>
      <w:r>
        <w:rPr>
          <w:b/>
          <w:bCs/>
        </w:rPr>
        <w:t xml:space="preserve">2014–2024/2025</w:t>
      </w:r>
      <w:r>
        <w:t xml:space="preserve">.</w:t>
      </w:r>
    </w:p>
    <w:p>
      <w:pPr>
        <w:pStyle w:val="Heading1"/>
        <w:spacing w:after="140" w:before="280"/>
      </w:pPr>
      <w:r>
        <w:rPr>
          <w:b/>
          <w:bCs/>
          <w:color w:val="2E2E38"/>
        </w:rPr>
        <w:t xml:space="preserve">2. Architecture générale et stack technique</w:t>
      </w:r>
    </w:p>
    <w:p>
      <w:pPr>
        <w:spacing w:after="140"/>
      </w:pPr>
      <w:r>
        <w:rPr>
          <w:rFonts w:ascii="Consolas" w:cs="Consolas" w:eastAsia="Consolas" w:hAnsi="Consolas"/>
          <w:sz w:val="20"/>
          <w:szCs w:val="20"/>
        </w:rPr>
        <w:t xml:space="preserve"/>
      </w:r>
      <w:r>
        <w:t xml:space="preserve">`</w:t>
      </w:r>
    </w:p>
    <w:p>
      <w:pPr>
        <w:spacing w:after="140"/>
      </w:pPr>
      <w:r>
        <w:t xml:space="preserve">BarometreAssurance/</w:t>
      </w:r>
    </w:p>
    <w:p>
      <w:pPr>
        <w:spacing w:after="140"/>
      </w:pPr>
      <w:r>
        <w:t xml:space="preserve">├── api/                    Backend Flask — API REST (routes/, services/)</w:t>
      </w:r>
    </w:p>
    <w:p>
      <w:pPr>
        <w:spacing w:after="140"/>
      </w:pPr>
      <w:r>
        <w:t xml:space="preserve">├── frontend/               React 19 + Vite — SPA</w:t>
      </w:r>
    </w:p>
    <w:p>
      <w:pPr>
        <w:spacing w:after="140"/>
      </w:pPr>
      <w:r>
        <w:t xml:space="preserve">├── scraping/                Scrapers de collecte (5 fichiers, 6 sources)</w:t>
      </w:r>
    </w:p>
    <w:p>
      <w:pPr>
        <w:spacing w:after="140"/>
      </w:pPr>
      <w:r>
        <w:t xml:space="preserve">├── extraction/              Extracteurs KPI par table PDF (par source/type)</w:t>
      </w:r>
    </w:p>
    <w:p>
      <w:pPr>
        <w:spacing w:after="140"/>
      </w:pPr>
      <w:r>
        <w:t xml:space="preserve">├── config/                  Registre des 24 compagnies, config DB</w:t>
      </w:r>
    </w:p>
    <w:p>
      <w:pPr>
        <w:spacing w:after="140"/>
      </w:pPr>
      <w:r>
        <w:t xml:space="preserve">├── database/                Accès MySQL (repository.py, schema.sql)</w:t>
      </w:r>
    </w:p>
    <w:p>
      <w:pPr>
        <w:spacing w:after="140"/>
      </w:pPr>
      <w:r>
        <w:t xml:space="preserve">├── pipelines/                Orchestration planifiée</w:t>
      </w:r>
    </w:p>
    <w:p>
      <w:pPr>
        <w:spacing w:after="140"/>
      </w:pPr>
      <w:r>
        <w:t xml:space="preserve">├── chatbot_portable/         Microservice IA (RAG + prévisions ML), séparé</w:t>
      </w:r>
    </w:p>
    <w:p>
      <w:pPr>
        <w:spacing w:after="140"/>
      </w:pPr>
      <w:r>
        <w:t xml:space="preserve">├── docker-compose.yml         Déploiement 4 conteneurs</w:t>
      </w:r>
    </w:p>
    <w:p>
      <w:pPr>
        <w:spacing w:after="140"/>
      </w:pPr>
      <w:r>
        <w:t xml:space="preserve">└── docs/                     Documentation</w:t>
      </w:r>
    </w:p>
    <w:p>
      <w:pPr>
        <w:spacing w:after="140"/>
      </w:pPr>
      <w:r>
        <w:rPr>
          <w:rFonts w:ascii="Consolas" w:cs="Consolas" w:eastAsia="Consolas" w:hAnsi="Consolas"/>
          <w:sz w:val="20"/>
          <w:szCs w:val="20"/>
        </w:rPr>
        <w:t xml:space="preserve"/>
      </w:r>
      <w:r>
        <w:t xml:space="preserve">`</w:t>
      </w:r>
    </w:p>
    <w:p>
      <w:pPr>
        <w:spacing w:after="140"/>
      </w:pPr>
      <w:r>
        <w:rPr>
          <w:b/>
          <w:bCs/>
        </w:rPr>
        <w:t xml:space="preserve">Flux global de la donnée</w:t>
      </w:r>
      <w:r>
        <w:t xml:space="preserve"> :</w:t>
      </w:r>
    </w:p>
    <w:p>
      <w:pPr>
        <w:spacing w:after="140"/>
      </w:pPr>
      <w:r>
        <w:rPr>
          <w:rFonts w:ascii="Consolas" w:cs="Consolas" w:eastAsia="Consolas" w:hAnsi="Consolas"/>
          <w:sz w:val="20"/>
          <w:szCs w:val="20"/>
        </w:rPr>
        <w:t xml:space="preserve"/>
      </w:r>
      <w:r>
        <w:t xml:space="preserve">`</w:t>
      </w:r>
    </w:p>
    <w:p>
      <w:pPr>
        <w:spacing w:after="140"/>
      </w:pPr>
      <w:r>
        <w:t xml:space="preserve">Sites web sources (CMF, FTUSA, CGA, BVMT, INS)</w:t>
      </w:r>
    </w:p>
    <w:p>
      <w:pPr>
        <w:spacing w:after="140"/>
      </w:pPr>
      <w:r>
        <w:t xml:space="preserve">        │  scraping/*.py (Selenium / requests)</w:t>
      </w:r>
    </w:p>
    <w:p>
      <w:pPr>
        <w:spacing w:after="140"/>
      </w:pPr>
      <w:r>
        <w:t xml:space="preserve">        ▼</w:t>
      </w:r>
    </w:p>
    <w:p>
      <w:pPr>
        <w:spacing w:after="140"/>
      </w:pPr>
      <w:r>
        <w:t xml:space="preserve">   MySQL (documents = métadonnées, PAS le PDF lui-même stocké en base)</w:t>
      </w:r>
    </w:p>
    <w:p>
      <w:pPr>
        <w:spacing w:after="140"/>
      </w:pPr>
      <w:r>
        <w:t xml:space="preserve">        │  extraction/*_kpi_extractor.py (pdfplumber + OCR Tesseract)</w:t>
      </w:r>
    </w:p>
    <w:p>
      <w:pPr>
        <w:spacing w:after="140"/>
      </w:pPr>
      <w:r>
        <w:t xml:space="preserve">        ▼</w:t>
      </w:r>
    </w:p>
    <w:p>
      <w:pPr>
        <w:spacing w:after="140"/>
      </w:pPr>
      <w:r>
        <w:t xml:space="preserve">   MySQL (kpi_values = valeurs numériques/texte extraites)</w:t>
      </w:r>
    </w:p>
    <w:p>
      <w:pPr>
        <w:spacing w:after="140"/>
      </w:pPr>
      <w:r>
        <w:t xml:space="preserve">        │  api/services/kpi_builder.py, calculated_kpi_extractor.py</w:t>
      </w:r>
    </w:p>
    <w:p>
      <w:pPr>
        <w:spacing w:after="140"/>
      </w:pPr>
      <w:r>
        <w:t xml:space="preserve">        ▼</w:t>
      </w:r>
    </w:p>
    <w:p>
      <w:pPr>
        <w:spacing w:after="140"/>
      </w:pPr>
      <w:r>
        <w:t xml:space="preserve">   Ratios calculés + garde-fous de plausibilité</w:t>
      </w:r>
    </w:p>
    <w:p>
      <w:pPr>
        <w:spacing w:after="140"/>
      </w:pPr>
      <w:r>
        <w:t xml:space="preserve">        │  api/routes/*.py (JSON REST)</w:t>
      </w:r>
    </w:p>
    <w:p>
      <w:pPr>
        <w:spacing w:after="140"/>
      </w:pPr>
      <w:r>
        <w:t xml:space="preserve">        ▼</w:t>
      </w:r>
    </w:p>
    <w:p>
      <w:pPr>
        <w:spacing w:after="140"/>
      </w:pPr>
      <w:r>
        <w:t xml:space="preserve">   Frontend React (graphiques ApexCharts, tableaux, surlignage PDF)</w:t>
      </w:r>
    </w:p>
    <w:p>
      <w:pPr>
        <w:spacing w:after="140"/>
      </w:pPr>
      <w:r>
        <w:t xml:space="preserve">        │</w:t>
      </w:r>
    </w:p>
    <w:p>
      <w:pPr>
        <w:spacing w:after="140"/>
      </w:pPr>
      <w:r>
        <w:t xml:space="preserve">        └── chatbot_portable/ (microservice séparé, copie SQLite synchronisée)</w:t>
      </w:r>
    </w:p>
    <w:p>
      <w:pPr>
        <w:spacing w:after="140"/>
      </w:pPr>
      <w:r>
        <w:rPr>
          <w:rFonts w:ascii="Consolas" w:cs="Consolas" w:eastAsia="Consolas" w:hAnsi="Consolas"/>
          <w:sz w:val="20"/>
          <w:szCs w:val="20"/>
        </w:rPr>
        <w:t xml:space="preserve"/>
      </w:r>
      <w:r>
        <w:t xml:space="preserve">`</w:t>
      </w:r>
    </w:p>
    <w:p>
      <w:pPr>
        <w:pStyle w:val="Heading2"/>
        <w:spacing w:after="140" w:before="280"/>
      </w:pPr>
      <w:r>
        <w:rPr>
          <w:b/>
          <w:bCs/>
          <w:color w:val="555555"/>
        </w:rPr>
        <w:t xml:space="preserve">Stack technique complet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47"/>
        <w:gridCol w:w="3602"/>
        <w:gridCol w:w="1483"/>
        <w:gridCol w:w="3814"/>
      </w:tblGrid>
      <w:tr>
        <w:trPr>
          <w:tblHeader/>
        </w:trPr>
        <w:tc>
          <w:tcPr>
            <w:tcW w:type="dxa" w:w="847"/>
            <w:shd w:fill="2E2E38" w:val="clear"/>
            <w:tcMar>
              <w:top w:type="dxa" w:w="60"/>
              <w:left w:type="dxa" w:w="100"/>
              <w:bottom w:type="dxa" w:w="60"/>
              <w:right w:type="dxa" w:w="100"/>
            </w:tcMar>
          </w:tcPr>
          <w:p>
            <w:r>
              <w:rPr>
                <w:b/>
                <w:bCs/>
                <w:color w:val="FFFFFF"/>
                <w:sz w:val="19"/>
                <w:szCs w:val="19"/>
              </w:rPr>
              <w:t xml:space="preserve">Couche</w:t>
            </w:r>
          </w:p>
        </w:tc>
        <w:tc>
          <w:tcPr>
            <w:tcW w:type="dxa" w:w="3602"/>
            <w:shd w:fill="2E2E38" w:val="clear"/>
            <w:tcMar>
              <w:top w:type="dxa" w:w="60"/>
              <w:left w:type="dxa" w:w="100"/>
              <w:bottom w:type="dxa" w:w="60"/>
              <w:right w:type="dxa" w:w="100"/>
            </w:tcMar>
          </w:tcPr>
          <w:p>
            <w:r>
              <w:rPr>
                <w:b/>
                <w:bCs/>
                <w:color w:val="FFFFFF"/>
                <w:sz w:val="19"/>
                <w:szCs w:val="19"/>
              </w:rPr>
              <w:t xml:space="preserve">Technologie</w:t>
            </w:r>
          </w:p>
        </w:tc>
        <w:tc>
          <w:tcPr>
            <w:tcW w:type="dxa" w:w="1483"/>
            <w:shd w:fill="2E2E38" w:val="clear"/>
            <w:tcMar>
              <w:top w:type="dxa" w:w="60"/>
              <w:left w:type="dxa" w:w="100"/>
              <w:bottom w:type="dxa" w:w="60"/>
              <w:right w:type="dxa" w:w="100"/>
            </w:tcMar>
          </w:tcPr>
          <w:p>
            <w:r>
              <w:rPr>
                <w:b/>
                <w:bCs/>
                <w:color w:val="FFFFFF"/>
                <w:sz w:val="19"/>
                <w:szCs w:val="19"/>
              </w:rPr>
              <w:t xml:space="preserve">Version</w:t>
            </w:r>
          </w:p>
        </w:tc>
        <w:tc>
          <w:tcPr>
            <w:tcW w:type="dxa" w:w="3814"/>
            <w:shd w:fill="2E2E38" w:val="clear"/>
            <w:tcMar>
              <w:top w:type="dxa" w:w="60"/>
              <w:left w:type="dxa" w:w="100"/>
              <w:bottom w:type="dxa" w:w="60"/>
              <w:right w:type="dxa" w:w="100"/>
            </w:tcMar>
          </w:tcPr>
          <w:p>
            <w:r>
              <w:rPr>
                <w:b/>
                <w:bCs/>
                <w:color w:val="FFFFFF"/>
                <w:sz w:val="19"/>
                <w:szCs w:val="19"/>
              </w:rPr>
              <w:t xml:space="preserve">Pourquoi ce choix</w:t>
            </w:r>
          </w:p>
        </w:tc>
      </w:tr>
      <w:tr>
        <w:tc>
          <w:tcPr>
            <w:tcW w:type="dxa" w:w="847"/>
            <w:tcMar>
              <w:top w:type="dxa" w:w="50"/>
              <w:left w:type="dxa" w:w="100"/>
              <w:bottom w:type="dxa" w:w="50"/>
              <w:right w:type="dxa" w:w="100"/>
            </w:tcMar>
          </w:tcPr>
          <w:p>
            <w:r>
              <w:rPr>
                <w:sz w:val="19"/>
                <w:szCs w:val="19"/>
              </w:rPr>
              <w:t xml:space="preserve">Backend</w:t>
            </w:r>
          </w:p>
        </w:tc>
        <w:tc>
          <w:tcPr>
            <w:tcW w:type="dxa" w:w="3602"/>
            <w:tcMar>
              <w:top w:type="dxa" w:w="50"/>
              <w:left w:type="dxa" w:w="100"/>
              <w:bottom w:type="dxa" w:w="50"/>
              <w:right w:type="dxa" w:w="100"/>
            </w:tcMar>
          </w:tcPr>
          <w:p>
            <w:r>
              <w:rPr>
                <w:sz w:val="19"/>
                <w:szCs w:val="19"/>
              </w:rPr>
              <w:t xml:space="preserve">Python 3.11 / Flask 3</w:t>
            </w:r>
          </w:p>
        </w:tc>
        <w:tc>
          <w:tcPr>
            <w:tcW w:type="dxa" w:w="1483"/>
            <w:tcMar>
              <w:top w:type="dxa" w:w="50"/>
              <w:left w:type="dxa" w:w="100"/>
              <w:bottom w:type="dxa" w:w="50"/>
              <w:right w:type="dxa" w:w="100"/>
            </w:tcMar>
          </w:tcPr>
          <w:p>
            <w:r>
              <w:rPr>
                <w:rFonts w:ascii="Consolas" w:cs="Consolas" w:eastAsia="Consolas" w:hAnsi="Consolas"/>
                <w:sz w:val="19"/>
                <w:szCs w:val="19"/>
              </w:rPr>
              <w:t xml:space="preserve">requirements-api.txt</w:t>
            </w:r>
          </w:p>
        </w:tc>
        <w:tc>
          <w:tcPr>
            <w:tcW w:type="dxa" w:w="3814"/>
            <w:tcMar>
              <w:top w:type="dxa" w:w="50"/>
              <w:left w:type="dxa" w:w="100"/>
              <w:bottom w:type="dxa" w:w="50"/>
              <w:right w:type="dxa" w:w="100"/>
            </w:tcMar>
          </w:tcPr>
          <w:p>
            <w:r>
              <w:rPr>
                <w:sz w:val="19"/>
                <w:szCs w:val="19"/>
              </w:rPr>
              <w:t xml:space="preserve">Framework léger, cohérent avec un backend dont la logique métier (extraction PDF, calculs) est déjà en Python pur — pas besoin d'un framework "batteries incluses" type Django pour une API interne sans admin ni auth</w:t>
            </w:r>
          </w:p>
        </w:tc>
      </w:tr>
      <w:tr>
        <w:tc>
          <w:tcPr>
            <w:tcW w:type="dxa" w:w="847"/>
            <w:tcMar>
              <w:top w:type="dxa" w:w="50"/>
              <w:left w:type="dxa" w:w="100"/>
              <w:bottom w:type="dxa" w:w="50"/>
              <w:right w:type="dxa" w:w="100"/>
            </w:tcMar>
          </w:tcPr>
          <w:p>
            <w:r>
              <w:rPr>
                <w:sz w:val="19"/>
                <w:szCs w:val="19"/>
              </w:rPr>
              <w:t xml:space="preserve">Base de données</w:t>
            </w:r>
          </w:p>
        </w:tc>
        <w:tc>
          <w:tcPr>
            <w:tcW w:type="dxa" w:w="3602"/>
            <w:tcMar>
              <w:top w:type="dxa" w:w="50"/>
              <w:left w:type="dxa" w:w="100"/>
              <w:bottom w:type="dxa" w:w="50"/>
              <w:right w:type="dxa" w:w="100"/>
            </w:tcMar>
          </w:tcPr>
          <w:p>
            <w:r>
              <w:rPr>
                <w:sz w:val="19"/>
                <w:szCs w:val="19"/>
              </w:rPr>
              <w:t xml:space="preserve">MySQL 8</w:t>
            </w:r>
          </w:p>
        </w:tc>
        <w:tc>
          <w:tcPr>
            <w:tcW w:type="dxa" w:w="1483"/>
            <w:tcMar>
              <w:top w:type="dxa" w:w="50"/>
              <w:left w:type="dxa" w:w="100"/>
              <w:bottom w:type="dxa" w:w="50"/>
              <w:right w:type="dxa" w:w="100"/>
            </w:tcMar>
          </w:tcPr>
          <w:p>
            <w:r>
              <w:rPr>
                <w:rFonts w:ascii="Consolas" w:cs="Consolas" w:eastAsia="Consolas" w:hAnsi="Consolas"/>
                <w:sz w:val="19"/>
                <w:szCs w:val="19"/>
              </w:rPr>
              <w:t xml:space="preserve">MarketInsurance</w:t>
            </w:r>
          </w:p>
        </w:tc>
        <w:tc>
          <w:tcPr>
            <w:tcW w:type="dxa" w:w="3814"/>
            <w:tcMar>
              <w:top w:type="dxa" w:w="50"/>
              <w:left w:type="dxa" w:w="100"/>
              <w:bottom w:type="dxa" w:w="50"/>
              <w:right w:type="dxa" w:w="100"/>
            </w:tcMar>
          </w:tcPr>
          <w:p>
            <w:r>
              <w:rPr>
                <w:sz w:val="19"/>
                <w:szCs w:val="19"/>
              </w:rPr>
              <w:t xml:space="preserve">Modèle </w:t>
            </w:r>
            <w:r>
              <w:rPr>
                <w:b/>
                <w:bCs/>
                <w:sz w:val="19"/>
                <w:szCs w:val="19"/>
              </w:rPr>
              <w:t xml:space="preserve">relationnel</w:t>
            </w:r>
            <w:r>
              <w:rPr>
                <w:sz w:val="19"/>
                <w:szCs w:val="19"/>
              </w:rPr>
              <w:t xml:space="preserve"> naturel pour des données structurées (société × document × KPI), avec contraintes d'unicité utilisées comme garde-fou anti-doublon au niveau BDD (</w:t>
            </w:r>
            <w:r>
              <w:rPr>
                <w:rFonts w:ascii="Consolas" w:cs="Consolas" w:eastAsia="Consolas" w:hAnsi="Consolas"/>
                <w:sz w:val="19"/>
                <w:szCs w:val="19"/>
              </w:rPr>
              <w:t xml:space="preserve">uq_document_tableau_kpi</w:t>
            </w:r>
            <w:r>
              <w:rPr>
                <w:sz w:val="19"/>
                <w:szCs w:val="19"/>
              </w:rPr>
              <w:t xml:space="preserve">)</w:t>
            </w:r>
          </w:p>
        </w:tc>
      </w:tr>
      <w:tr>
        <w:tc>
          <w:tcPr>
            <w:tcW w:type="dxa" w:w="847"/>
            <w:tcMar>
              <w:top w:type="dxa" w:w="50"/>
              <w:left w:type="dxa" w:w="100"/>
              <w:bottom w:type="dxa" w:w="50"/>
              <w:right w:type="dxa" w:w="100"/>
            </w:tcMar>
          </w:tcPr>
          <w:p>
            <w:r>
              <w:rPr>
                <w:sz w:val="19"/>
                <w:szCs w:val="19"/>
              </w:rPr>
              <w:t xml:space="preserve">Accès BDD</w:t>
            </w:r>
          </w:p>
        </w:tc>
        <w:tc>
          <w:tcPr>
            <w:tcW w:type="dxa" w:w="3602"/>
            <w:tcMar>
              <w:top w:type="dxa" w:w="50"/>
              <w:left w:type="dxa" w:w="100"/>
              <w:bottom w:type="dxa" w:w="50"/>
              <w:right w:type="dxa" w:w="100"/>
            </w:tcMar>
          </w:tcPr>
          <w:p>
            <w:r>
              <w:rPr>
                <w:rFonts w:ascii="Consolas" w:cs="Consolas" w:eastAsia="Consolas" w:hAnsi="Consolas"/>
                <w:sz w:val="19"/>
                <w:szCs w:val="19"/>
              </w:rPr>
              <w:t xml:space="preserve">pymysql</w:t>
            </w:r>
            <w:r>
              <w:rPr>
                <w:sz w:val="19"/>
                <w:szCs w:val="19"/>
              </w:rPr>
              <w:t xml:space="preserve"> (pas d'ORM)</w:t>
            </w:r>
          </w:p>
        </w:tc>
        <w:tc>
          <w:tcPr>
            <w:tcW w:type="dxa" w:w="1483"/>
            <w:tcMar>
              <w:top w:type="dxa" w:w="50"/>
              <w:left w:type="dxa" w:w="100"/>
              <w:bottom w:type="dxa" w:w="50"/>
              <w:right w:type="dxa" w:w="100"/>
            </w:tcMar>
          </w:tcPr>
          <w:p>
            <w:r>
              <w:rPr>
                <w:sz w:val="19"/>
                <w:szCs w:val="19"/>
              </w:rPr>
              <w:t xml:space="preserve"/>
            </w:r>
          </w:p>
        </w:tc>
        <w:tc>
          <w:tcPr>
            <w:tcW w:type="dxa" w:w="3814"/>
            <w:tcMar>
              <w:top w:type="dxa" w:w="50"/>
              <w:left w:type="dxa" w:w="100"/>
              <w:bottom w:type="dxa" w:w="50"/>
              <w:right w:type="dxa" w:w="100"/>
            </w:tcMar>
          </w:tcPr>
          <w:p>
            <w:r>
              <w:rPr>
                <w:sz w:val="19"/>
                <w:szCs w:val="19"/>
              </w:rPr>
              <w:t xml:space="preserve">Accès direct pour garder un contrôle total sur les requêtes de migration idempotente (</w:t>
            </w:r>
            <w:r>
              <w:rPr>
                <w:rFonts w:ascii="Consolas" w:cs="Consolas" w:eastAsia="Consolas" w:hAnsi="Consolas"/>
                <w:sz w:val="19"/>
                <w:szCs w:val="19"/>
              </w:rPr>
              <w:t xml:space="preserve">information_schema</w:t>
            </w:r>
            <w:r>
              <w:rPr>
                <w:sz w:val="19"/>
                <w:szCs w:val="19"/>
              </w:rPr>
              <w:t xml:space="preserve">, jamais de </w:t>
            </w:r>
            <w:r>
              <w:rPr>
                <w:rFonts w:ascii="Consolas" w:cs="Consolas" w:eastAsia="Consolas" w:hAnsi="Consolas"/>
                <w:sz w:val="19"/>
                <w:szCs w:val="19"/>
              </w:rPr>
              <w:t xml:space="preserve">DROP TABLE</w:t>
            </w:r>
            <w:r>
              <w:rPr>
                <w:sz w:val="19"/>
                <w:szCs w:val="19"/>
              </w:rPr>
              <w:t xml:space="preserve">) — un ORM aurait masqué ce contrôle fin</w:t>
            </w:r>
          </w:p>
        </w:tc>
      </w:tr>
      <w:tr>
        <w:tc>
          <w:tcPr>
            <w:tcW w:type="dxa" w:w="847"/>
            <w:tcMar>
              <w:top w:type="dxa" w:w="50"/>
              <w:left w:type="dxa" w:w="100"/>
              <w:bottom w:type="dxa" w:w="50"/>
              <w:right w:type="dxa" w:w="100"/>
            </w:tcMar>
          </w:tcPr>
          <w:p>
            <w:r>
              <w:rPr>
                <w:sz w:val="19"/>
                <w:szCs w:val="19"/>
              </w:rPr>
              <w:t xml:space="preserve">Scraping</w:t>
            </w:r>
          </w:p>
        </w:tc>
        <w:tc>
          <w:tcPr>
            <w:tcW w:type="dxa" w:w="3602"/>
            <w:tcMar>
              <w:top w:type="dxa" w:w="50"/>
              <w:left w:type="dxa" w:w="100"/>
              <w:bottom w:type="dxa" w:w="50"/>
              <w:right w:type="dxa" w:w="100"/>
            </w:tcMar>
          </w:tcPr>
          <w:p>
            <w:r>
              <w:rPr>
                <w:rFonts w:ascii="Consolas" w:cs="Consolas" w:eastAsia="Consolas" w:hAnsi="Consolas"/>
                <w:sz w:val="19"/>
                <w:szCs w:val="19"/>
              </w:rPr>
              <w:t xml:space="preserve">selenium</w:t>
            </w:r>
            <w:r>
              <w:rPr>
                <w:sz w:val="19"/>
                <w:szCs w:val="19"/>
              </w:rPr>
              <w:t xml:space="preserve"> (CMF) / </w:t>
            </w:r>
            <w:r>
              <w:rPr>
                <w:rFonts w:ascii="Consolas" w:cs="Consolas" w:eastAsia="Consolas" w:hAnsi="Consolas"/>
                <w:sz w:val="19"/>
                <w:szCs w:val="19"/>
              </w:rPr>
              <w:t xml:space="preserve">requests</w:t>
            </w:r>
            <w:r>
              <w:rPr>
                <w:sz w:val="19"/>
                <w:szCs w:val="19"/>
              </w:rPr>
              <w:t xml:space="preserve">+regex (FTUSA, CGA, BVMT, INS, Atlas Magazine, IlBoursa)</w:t>
            </w:r>
          </w:p>
        </w:tc>
        <w:tc>
          <w:tcPr>
            <w:tcW w:type="dxa" w:w="1483"/>
            <w:tcMar>
              <w:top w:type="dxa" w:w="50"/>
              <w:left w:type="dxa" w:w="100"/>
              <w:bottom w:type="dxa" w:w="50"/>
              <w:right w:type="dxa" w:w="100"/>
            </w:tcMar>
          </w:tcPr>
          <w:p>
            <w:r>
              <w:rPr>
                <w:sz w:val="19"/>
                <w:szCs w:val="19"/>
              </w:rPr>
              <w:t xml:space="preserve"/>
            </w:r>
          </w:p>
        </w:tc>
        <w:tc>
          <w:tcPr>
            <w:tcW w:type="dxa" w:w="3814"/>
            <w:tcMar>
              <w:top w:type="dxa" w:w="50"/>
              <w:left w:type="dxa" w:w="100"/>
              <w:bottom w:type="dxa" w:w="50"/>
              <w:right w:type="dxa" w:w="100"/>
            </w:tcMar>
          </w:tcPr>
          <w:p>
            <w:r>
              <w:rPr>
                <w:sz w:val="19"/>
                <w:szCs w:val="19"/>
              </w:rPr>
              <w:t xml:space="preserve">Selenium réservé au </w:t>
            </w:r>
            <w:r>
              <w:rPr>
                <w:b/>
                <w:bCs/>
                <w:sz w:val="19"/>
                <w:szCs w:val="19"/>
              </w:rPr>
              <w:t xml:space="preserve">seul</w:t>
            </w:r>
            <w:r>
              <w:rPr>
                <w:sz w:val="19"/>
                <w:szCs w:val="19"/>
              </w:rPr>
              <w:t xml:space="preserve"> cas qui l'exige réellement (widget JS dynamique du portail CMF) — </w:t>
            </w:r>
            <w:r>
              <w:rPr>
                <w:rFonts w:ascii="Consolas" w:cs="Consolas" w:eastAsia="Consolas" w:hAnsi="Consolas"/>
                <w:sz w:val="19"/>
                <w:szCs w:val="19"/>
              </w:rPr>
              <w:t xml:space="preserve">requests</w:t>
            </w:r>
            <w:r>
              <w:rPr>
                <w:sz w:val="19"/>
                <w:szCs w:val="19"/>
              </w:rPr>
              <w:t xml:space="preserve"> partout ailleurs, plus rapide et plus simple à maintenir (détail Partie 3)</w:t>
            </w:r>
          </w:p>
        </w:tc>
      </w:tr>
      <w:tr>
        <w:tc>
          <w:tcPr>
            <w:tcW w:type="dxa" w:w="847"/>
            <w:tcMar>
              <w:top w:type="dxa" w:w="50"/>
              <w:left w:type="dxa" w:w="100"/>
              <w:bottom w:type="dxa" w:w="50"/>
              <w:right w:type="dxa" w:w="100"/>
            </w:tcMar>
          </w:tcPr>
          <w:p>
            <w:r>
              <w:rPr>
                <w:sz w:val="19"/>
                <w:szCs w:val="19"/>
              </w:rPr>
              <w:t xml:space="preserve">Extraction PDF</w:t>
            </w:r>
          </w:p>
        </w:tc>
        <w:tc>
          <w:tcPr>
            <w:tcW w:type="dxa" w:w="3602"/>
            <w:tcMar>
              <w:top w:type="dxa" w:w="50"/>
              <w:left w:type="dxa" w:w="100"/>
              <w:bottom w:type="dxa" w:w="50"/>
              <w:right w:type="dxa" w:w="100"/>
            </w:tcMar>
          </w:tcPr>
          <w:p>
            <w:r>
              <w:rPr>
                <w:rFonts w:ascii="Consolas" w:cs="Consolas" w:eastAsia="Consolas" w:hAnsi="Consolas"/>
                <w:sz w:val="19"/>
                <w:szCs w:val="19"/>
              </w:rPr>
              <w:t xml:space="preserve">pdfplumber</w:t>
            </w:r>
          </w:p>
        </w:tc>
        <w:tc>
          <w:tcPr>
            <w:tcW w:type="dxa" w:w="1483"/>
            <w:tcMar>
              <w:top w:type="dxa" w:w="50"/>
              <w:left w:type="dxa" w:w="100"/>
              <w:bottom w:type="dxa" w:w="50"/>
              <w:right w:type="dxa" w:w="100"/>
            </w:tcMar>
          </w:tcPr>
          <w:p>
            <w:r>
              <w:rPr>
                <w:sz w:val="19"/>
                <w:szCs w:val="19"/>
              </w:rPr>
              <w:t xml:space="preserve">≥0.10.0</w:t>
            </w:r>
          </w:p>
        </w:tc>
        <w:tc>
          <w:tcPr>
            <w:tcW w:type="dxa" w:w="3814"/>
            <w:tcMar>
              <w:top w:type="dxa" w:w="50"/>
              <w:left w:type="dxa" w:w="100"/>
              <w:bottom w:type="dxa" w:w="50"/>
              <w:right w:type="dxa" w:w="100"/>
            </w:tcMar>
          </w:tcPr>
          <w:p>
            <w:r>
              <w:rPr>
                <w:sz w:val="19"/>
                <w:szCs w:val="19"/>
              </w:rPr>
              <w:t xml:space="preserve">Donne accès aux mots et à leurs coordonnées (</w:t>
            </w:r>
            <w:r>
              <w:rPr>
                <w:rFonts w:ascii="Consolas" w:cs="Consolas" w:eastAsia="Consolas" w:hAnsi="Consolas"/>
                <w:sz w:val="19"/>
                <w:szCs w:val="19"/>
              </w:rPr>
              <w:t xml:space="preserve">extract_words()</w:t>
            </w:r>
            <w:r>
              <w:rPr>
                <w:sz w:val="19"/>
                <w:szCs w:val="19"/>
              </w:rPr>
              <w:t xml:space="preserve">), ce qui permet de </w:t>
            </w:r>
            <w:r>
              <w:rPr>
                <w:b/>
                <w:bCs/>
                <w:sz w:val="19"/>
                <w:szCs w:val="19"/>
              </w:rPr>
              <w:t xml:space="preserve">reconstruire soi-même</w:t>
            </w:r>
            <w:r>
              <w:rPr>
                <w:sz w:val="19"/>
                <w:szCs w:val="19"/>
              </w:rPr>
              <w:t xml:space="preserve"> les lignes/colonnes plutôt que de dépendre de </w:t>
            </w:r>
            <w:r>
              <w:rPr>
                <w:rFonts w:ascii="Consolas" w:cs="Consolas" w:eastAsia="Consolas" w:hAnsi="Consolas"/>
                <w:sz w:val="19"/>
                <w:szCs w:val="19"/>
              </w:rPr>
              <w:t xml:space="preserve">extract_tables()</w:t>
            </w:r>
            <w:r>
              <w:rPr>
                <w:sz w:val="19"/>
                <w:szCs w:val="19"/>
              </w:rPr>
              <w:t xml:space="preserve">, jugé peu fiable sur les PDF réels (cellules fusionnées, alignements irréguliers)</w:t>
            </w:r>
          </w:p>
        </w:tc>
      </w:tr>
      <w:tr>
        <w:tc>
          <w:tcPr>
            <w:tcW w:type="dxa" w:w="847"/>
            <w:tcMar>
              <w:top w:type="dxa" w:w="50"/>
              <w:left w:type="dxa" w:w="100"/>
              <w:bottom w:type="dxa" w:w="50"/>
              <w:right w:type="dxa" w:w="100"/>
            </w:tcMar>
          </w:tcPr>
          <w:p>
            <w:r>
              <w:rPr>
                <w:sz w:val="19"/>
                <w:szCs w:val="19"/>
              </w:rPr>
              <w:t xml:space="preserve">OCR</w:t>
            </w:r>
          </w:p>
        </w:tc>
        <w:tc>
          <w:tcPr>
            <w:tcW w:type="dxa" w:w="3602"/>
            <w:tcMar>
              <w:top w:type="dxa" w:w="50"/>
              <w:left w:type="dxa" w:w="100"/>
              <w:bottom w:type="dxa" w:w="50"/>
              <w:right w:type="dxa" w:w="100"/>
            </w:tcMar>
          </w:tcPr>
          <w:p>
            <w:r>
              <w:rPr>
                <w:sz w:val="19"/>
                <w:szCs w:val="19"/>
              </w:rPr>
              <w:t xml:space="preserve">Tesseract (</w:t>
            </w:r>
            <w:r>
              <w:rPr>
                <w:rFonts w:ascii="Consolas" w:cs="Consolas" w:eastAsia="Consolas" w:hAnsi="Consolas"/>
                <w:sz w:val="19"/>
                <w:szCs w:val="19"/>
              </w:rPr>
              <w:t xml:space="preserve">pytesseract</w:t>
            </w:r>
            <w:r>
              <w:rPr>
                <w:sz w:val="19"/>
                <w:szCs w:val="19"/>
              </w:rPr>
              <w:t xml:space="preserve">)</w:t>
            </w:r>
          </w:p>
        </w:tc>
        <w:tc>
          <w:tcPr>
            <w:tcW w:type="dxa" w:w="1483"/>
            <w:tcMar>
              <w:top w:type="dxa" w:w="50"/>
              <w:left w:type="dxa" w:w="100"/>
              <w:bottom w:type="dxa" w:w="50"/>
              <w:right w:type="dxa" w:w="100"/>
            </w:tcMar>
          </w:tcPr>
          <w:p>
            <w:r>
              <w:rPr>
                <w:sz w:val="19"/>
                <w:szCs w:val="19"/>
              </w:rPr>
              <w:t xml:space="preserve">modèles </w:t>
            </w:r>
            <w:r>
              <w:rPr>
                <w:rFonts w:ascii="Consolas" w:cs="Consolas" w:eastAsia="Consolas" w:hAnsi="Consolas"/>
                <w:sz w:val="19"/>
                <w:szCs w:val="19"/>
              </w:rPr>
              <w:t xml:space="preserve">fra</w:t>
            </w:r>
            <w:r>
              <w:rPr>
                <w:sz w:val="19"/>
                <w:szCs w:val="19"/>
              </w:rPr>
              <w:t xml:space="preserve">, </w:t>
            </w:r>
            <w:r>
              <w:rPr>
                <w:rFonts w:ascii="Consolas" w:cs="Consolas" w:eastAsia="Consolas" w:hAnsi="Consolas"/>
                <w:sz w:val="19"/>
                <w:szCs w:val="19"/>
              </w:rPr>
              <w:t xml:space="preserve">ara</w:t>
            </w:r>
            <w:r>
              <w:rPr>
                <w:sz w:val="19"/>
                <w:szCs w:val="19"/>
              </w:rPr>
              <w:t xml:space="preserve">, </w:t>
            </w:r>
            <w:r>
              <w:rPr>
                <w:rFonts w:ascii="Consolas" w:cs="Consolas" w:eastAsia="Consolas" w:hAnsi="Consolas"/>
                <w:sz w:val="19"/>
                <w:szCs w:val="19"/>
              </w:rPr>
              <w:t xml:space="preserve">eng</w:t>
            </w:r>
          </w:p>
        </w:tc>
        <w:tc>
          <w:tcPr>
            <w:tcW w:type="dxa" w:w="3814"/>
            <w:tcMar>
              <w:top w:type="dxa" w:w="50"/>
              <w:left w:type="dxa" w:w="100"/>
              <w:bottom w:type="dxa" w:w="50"/>
              <w:right w:type="dxa" w:w="100"/>
            </w:tcMar>
          </w:tcPr>
          <w:p>
            <w:r>
              <w:rPr>
                <w:sz w:val="19"/>
                <w:szCs w:val="19"/>
              </w:rPr>
              <w:t xml:space="preserve">Solution OCR </w:t>
            </w:r>
            <w:r>
              <w:rPr>
                <w:b/>
                <w:bCs/>
                <w:sz w:val="19"/>
                <w:szCs w:val="19"/>
              </w:rPr>
              <w:t xml:space="preserve">gratuite et locale</w:t>
            </w:r>
            <w:r>
              <w:rPr>
                <w:sz w:val="19"/>
                <w:szCs w:val="19"/>
              </w:rPr>
              <w:t xml:space="preserve"> (pas d'appel API externe, donc pas de coût récurrent ni de dépendance réseau), avec support multilingue (français/arabe) nécessaire pour AL_AMANAH_TAKAFUL</w:t>
            </w:r>
          </w:p>
        </w:tc>
      </w:tr>
      <w:tr>
        <w:tc>
          <w:tcPr>
            <w:tcW w:type="dxa" w:w="847"/>
            <w:tcMar>
              <w:top w:type="dxa" w:w="50"/>
              <w:left w:type="dxa" w:w="100"/>
              <w:bottom w:type="dxa" w:w="50"/>
              <w:right w:type="dxa" w:w="100"/>
            </w:tcMar>
          </w:tcPr>
          <w:p>
            <w:r>
              <w:rPr>
                <w:sz w:val="19"/>
                <w:szCs w:val="19"/>
              </w:rPr>
              <w:t xml:space="preserve">Correspondance floue</w:t>
            </w:r>
          </w:p>
        </w:tc>
        <w:tc>
          <w:tcPr>
            <w:tcW w:type="dxa" w:w="3602"/>
            <w:tcMar>
              <w:top w:type="dxa" w:w="50"/>
              <w:left w:type="dxa" w:w="100"/>
              <w:bottom w:type="dxa" w:w="50"/>
              <w:right w:type="dxa" w:w="100"/>
            </w:tcMar>
          </w:tcPr>
          <w:p>
            <w:r>
              <w:rPr>
                <w:rFonts w:ascii="Consolas" w:cs="Consolas" w:eastAsia="Consolas" w:hAnsi="Consolas"/>
                <w:sz w:val="19"/>
                <w:szCs w:val="19"/>
              </w:rPr>
              <w:t xml:space="preserve">rapidfuzz</w:t>
            </w:r>
          </w:p>
        </w:tc>
        <w:tc>
          <w:tcPr>
            <w:tcW w:type="dxa" w:w="1483"/>
            <w:tcMar>
              <w:top w:type="dxa" w:w="50"/>
              <w:left w:type="dxa" w:w="100"/>
              <w:bottom w:type="dxa" w:w="50"/>
              <w:right w:type="dxa" w:w="100"/>
            </w:tcMar>
          </w:tcPr>
          <w:p>
            <w:r>
              <w:rPr>
                <w:sz w:val="19"/>
                <w:szCs w:val="19"/>
              </w:rPr>
              <w:t xml:space="preserve"/>
            </w:r>
          </w:p>
        </w:tc>
        <w:tc>
          <w:tcPr>
            <w:tcW w:type="dxa" w:w="3814"/>
            <w:tcMar>
              <w:top w:type="dxa" w:w="50"/>
              <w:left w:type="dxa" w:w="100"/>
              <w:bottom w:type="dxa" w:w="50"/>
              <w:right w:type="dxa" w:w="100"/>
            </w:tcMar>
          </w:tcPr>
          <w:p>
            <w:r>
              <w:rPr>
                <w:sz w:val="19"/>
                <w:szCs w:val="19"/>
              </w:rPr>
              <w:t xml:space="preserve">Implémentation C++ de la distance de Levenshtein, largement plus rapide que </w:t>
            </w:r>
            <w:r>
              <w:rPr>
                <w:rFonts w:ascii="Consolas" w:cs="Consolas" w:eastAsia="Consolas" w:hAnsi="Consolas"/>
                <w:sz w:val="19"/>
                <w:szCs w:val="19"/>
              </w:rPr>
              <w:t xml:space="preserve">difflib</w:t>
            </w:r>
            <w:r>
              <w:rPr>
                <w:sz w:val="19"/>
                <w:szCs w:val="19"/>
              </w:rPr>
              <w:t xml:space="preserve"> natif Python — utilisé au moment de l'extraction (repli) et pour le surlignage PDF</w:t>
            </w:r>
          </w:p>
        </w:tc>
      </w:tr>
      <w:tr>
        <w:tc>
          <w:tcPr>
            <w:tcW w:type="dxa" w:w="847"/>
            <w:tcMar>
              <w:top w:type="dxa" w:w="50"/>
              <w:left w:type="dxa" w:w="100"/>
              <w:bottom w:type="dxa" w:w="50"/>
              <w:right w:type="dxa" w:w="100"/>
            </w:tcMar>
          </w:tcPr>
          <w:p>
            <w:r>
              <w:rPr>
                <w:sz w:val="19"/>
                <w:szCs w:val="19"/>
              </w:rPr>
              <w:t xml:space="preserve">Export documents</w:t>
            </w:r>
          </w:p>
        </w:tc>
        <w:tc>
          <w:tcPr>
            <w:tcW w:type="dxa" w:w="3602"/>
            <w:tcMar>
              <w:top w:type="dxa" w:w="50"/>
              <w:left w:type="dxa" w:w="100"/>
              <w:bottom w:type="dxa" w:w="50"/>
              <w:right w:type="dxa" w:w="100"/>
            </w:tcMar>
          </w:tcPr>
          <w:p>
            <w:r>
              <w:rPr>
                <w:rFonts w:ascii="Consolas" w:cs="Consolas" w:eastAsia="Consolas" w:hAnsi="Consolas"/>
                <w:sz w:val="19"/>
                <w:szCs w:val="19"/>
              </w:rPr>
              <w:t xml:space="preserve">reportlab</w:t>
            </w:r>
            <w:r>
              <w:rPr>
                <w:sz w:val="19"/>
                <w:szCs w:val="19"/>
              </w:rPr>
              <w:t xml:space="preserve"> (PDF), </w:t>
            </w:r>
            <w:r>
              <w:rPr>
                <w:rFonts w:ascii="Consolas" w:cs="Consolas" w:eastAsia="Consolas" w:hAnsi="Consolas"/>
                <w:sz w:val="19"/>
                <w:szCs w:val="19"/>
              </w:rPr>
              <w:t xml:space="preserve">openpyxl</w:t>
            </w:r>
            <w:r>
              <w:rPr>
                <w:sz w:val="19"/>
                <w:szCs w:val="19"/>
              </w:rPr>
              <w:t xml:space="preserve"> (Excel)</w:t>
            </w:r>
          </w:p>
        </w:tc>
        <w:tc>
          <w:tcPr>
            <w:tcW w:type="dxa" w:w="1483"/>
            <w:tcMar>
              <w:top w:type="dxa" w:w="50"/>
              <w:left w:type="dxa" w:w="100"/>
              <w:bottom w:type="dxa" w:w="50"/>
              <w:right w:type="dxa" w:w="100"/>
            </w:tcMar>
          </w:tcPr>
          <w:p>
            <w:r>
              <w:rPr>
                <w:sz w:val="19"/>
                <w:szCs w:val="19"/>
              </w:rPr>
              <w:t xml:space="preserve"/>
            </w:r>
          </w:p>
        </w:tc>
        <w:tc>
          <w:tcPr>
            <w:tcW w:type="dxa" w:w="3814"/>
            <w:tcMar>
              <w:top w:type="dxa" w:w="50"/>
              <w:left w:type="dxa" w:w="100"/>
              <w:bottom w:type="dxa" w:w="50"/>
              <w:right w:type="dxa" w:w="100"/>
            </w:tcMar>
          </w:tcPr>
          <w:p>
            <w:r>
              <w:rPr>
                <w:sz w:val="19"/>
                <w:szCs w:val="19"/>
              </w:rPr>
              <w:t xml:space="preserve">Standards de facto en Python pour la génération programmatique de PDF/Excel</w:t>
            </w:r>
          </w:p>
        </w:tc>
      </w:tr>
      <w:tr>
        <w:tc>
          <w:tcPr>
            <w:tcW w:type="dxa" w:w="847"/>
            <w:tcMar>
              <w:top w:type="dxa" w:w="50"/>
              <w:left w:type="dxa" w:w="100"/>
              <w:bottom w:type="dxa" w:w="50"/>
              <w:right w:type="dxa" w:w="100"/>
            </w:tcMar>
          </w:tcPr>
          <w:p>
            <w:r>
              <w:rPr>
                <w:sz w:val="19"/>
                <w:szCs w:val="19"/>
              </w:rPr>
              <w:t xml:space="preserve">Frontend</w:t>
            </w:r>
          </w:p>
        </w:tc>
        <w:tc>
          <w:tcPr>
            <w:tcW w:type="dxa" w:w="3602"/>
            <w:tcMar>
              <w:top w:type="dxa" w:w="50"/>
              <w:left w:type="dxa" w:w="100"/>
              <w:bottom w:type="dxa" w:w="50"/>
              <w:right w:type="dxa" w:w="100"/>
            </w:tcMar>
          </w:tcPr>
          <w:p>
            <w:r>
              <w:rPr>
                <w:sz w:val="19"/>
                <w:szCs w:val="19"/>
              </w:rPr>
              <w:t xml:space="preserve">React 19 + Vite</w:t>
            </w:r>
          </w:p>
        </w:tc>
        <w:tc>
          <w:tcPr>
            <w:tcW w:type="dxa" w:w="1483"/>
            <w:tcMar>
              <w:top w:type="dxa" w:w="50"/>
              <w:left w:type="dxa" w:w="100"/>
              <w:bottom w:type="dxa" w:w="50"/>
              <w:right w:type="dxa" w:w="100"/>
            </w:tcMar>
          </w:tcPr>
          <w:p>
            <w:r>
              <w:rPr>
                <w:rFonts w:ascii="Consolas" w:cs="Consolas" w:eastAsia="Consolas" w:hAnsi="Consolas"/>
                <w:sz w:val="19"/>
                <w:szCs w:val="19"/>
              </w:rPr>
              <w:t xml:space="preserve">frontend/package.json</w:t>
            </w:r>
          </w:p>
        </w:tc>
        <w:tc>
          <w:tcPr>
            <w:tcW w:type="dxa" w:w="3814"/>
            <w:tcMar>
              <w:top w:type="dxa" w:w="50"/>
              <w:left w:type="dxa" w:w="100"/>
              <w:bottom w:type="dxa" w:w="50"/>
              <w:right w:type="dxa" w:w="100"/>
            </w:tcMar>
          </w:tcPr>
          <w:p>
            <w:r>
              <w:rPr>
                <w:sz w:val="19"/>
                <w:szCs w:val="19"/>
              </w:rPr>
              <w:t xml:space="preserve">Vite pour un HMR rapide en développement ; React pour son écosystème de composants et sa compatibilité avec </w:t>
            </w:r>
            <w:r>
              <w:rPr>
                <w:rFonts w:ascii="Consolas" w:cs="Consolas" w:eastAsia="Consolas" w:hAnsi="Consolas"/>
                <w:sz w:val="19"/>
                <w:szCs w:val="19"/>
              </w:rPr>
              <w:t xml:space="preserve">react-router-dom</w:t>
            </w:r>
            <w:r>
              <w:rPr>
                <w:sz w:val="19"/>
                <w:szCs w:val="19"/>
              </w:rPr>
              <w:t xml:space="preserve"> v7 (SPA multi-pages)</w:t>
            </w:r>
          </w:p>
        </w:tc>
      </w:tr>
      <w:tr>
        <w:tc>
          <w:tcPr>
            <w:tcW w:type="dxa" w:w="847"/>
            <w:tcMar>
              <w:top w:type="dxa" w:w="50"/>
              <w:left w:type="dxa" w:w="100"/>
              <w:bottom w:type="dxa" w:w="50"/>
              <w:right w:type="dxa" w:w="100"/>
            </w:tcMar>
          </w:tcPr>
          <w:p>
            <w:r>
              <w:rPr>
                <w:sz w:val="19"/>
                <w:szCs w:val="19"/>
              </w:rPr>
              <w:t xml:space="preserve">Graphiques</w:t>
            </w:r>
          </w:p>
        </w:tc>
        <w:tc>
          <w:tcPr>
            <w:tcW w:type="dxa" w:w="3602"/>
            <w:tcMar>
              <w:top w:type="dxa" w:w="50"/>
              <w:left w:type="dxa" w:w="100"/>
              <w:bottom w:type="dxa" w:w="50"/>
              <w:right w:type="dxa" w:w="100"/>
            </w:tcMar>
          </w:tcPr>
          <w:p>
            <w:r>
              <w:rPr>
                <w:sz w:val="19"/>
                <w:szCs w:val="19"/>
              </w:rPr>
              <w:t xml:space="preserve">ApexCharts / </w:t>
            </w:r>
            <w:r>
              <w:rPr>
                <w:rFonts w:ascii="Consolas" w:cs="Consolas" w:eastAsia="Consolas" w:hAnsi="Consolas"/>
                <w:sz w:val="19"/>
                <w:szCs w:val="19"/>
              </w:rPr>
              <w:t xml:space="preserve">react-apexcharts</w:t>
            </w:r>
          </w:p>
        </w:tc>
        <w:tc>
          <w:tcPr>
            <w:tcW w:type="dxa" w:w="1483"/>
            <w:tcMar>
              <w:top w:type="dxa" w:w="50"/>
              <w:left w:type="dxa" w:w="100"/>
              <w:bottom w:type="dxa" w:w="50"/>
              <w:right w:type="dxa" w:w="100"/>
            </w:tcMar>
          </w:tcPr>
          <w:p>
            <w:r>
              <w:rPr>
                <w:sz w:val="19"/>
                <w:szCs w:val="19"/>
              </w:rPr>
              <w:t xml:space="preserve"/>
            </w:r>
          </w:p>
        </w:tc>
        <w:tc>
          <w:tcPr>
            <w:tcW w:type="dxa" w:w="3814"/>
            <w:tcMar>
              <w:top w:type="dxa" w:w="50"/>
              <w:left w:type="dxa" w:w="100"/>
              <w:bottom w:type="dxa" w:w="50"/>
              <w:right w:type="dxa" w:w="100"/>
            </w:tcMar>
          </w:tcPr>
          <w:p>
            <w:r>
              <w:rPr>
                <w:sz w:val="19"/>
                <w:szCs w:val="19"/>
              </w:rPr>
              <w:t xml:space="preserve">Large palette de types de graphiques (line/bar/donut/area/scatter) avec une API déclarative simple, pas besoin de manipuler le DOM SVG à la main comme avec D3</w:t>
            </w:r>
          </w:p>
        </w:tc>
      </w:tr>
      <w:tr>
        <w:tc>
          <w:tcPr>
            <w:tcW w:type="dxa" w:w="847"/>
            <w:tcMar>
              <w:top w:type="dxa" w:w="50"/>
              <w:left w:type="dxa" w:w="100"/>
              <w:bottom w:type="dxa" w:w="50"/>
              <w:right w:type="dxa" w:w="100"/>
            </w:tcMar>
          </w:tcPr>
          <w:p>
            <w:r>
              <w:rPr>
                <w:sz w:val="19"/>
                <w:szCs w:val="19"/>
              </w:rPr>
              <w:t xml:space="preserve">Rendu PDF frontend</w:t>
            </w:r>
          </w:p>
        </w:tc>
        <w:tc>
          <w:tcPr>
            <w:tcW w:type="dxa" w:w="3602"/>
            <w:tcMar>
              <w:top w:type="dxa" w:w="50"/>
              <w:left w:type="dxa" w:w="100"/>
              <w:bottom w:type="dxa" w:w="50"/>
              <w:right w:type="dxa" w:w="100"/>
            </w:tcMar>
          </w:tcPr>
          <w:p>
            <w:r>
              <w:rPr>
                <w:rFonts w:ascii="Consolas" w:cs="Consolas" w:eastAsia="Consolas" w:hAnsi="Consolas"/>
                <w:sz w:val="19"/>
                <w:szCs w:val="19"/>
              </w:rPr>
              <w:t xml:space="preserve">pdfjs-dist</w:t>
            </w:r>
          </w:p>
        </w:tc>
        <w:tc>
          <w:tcPr>
            <w:tcW w:type="dxa" w:w="1483"/>
            <w:tcMar>
              <w:top w:type="dxa" w:w="50"/>
              <w:left w:type="dxa" w:w="100"/>
              <w:bottom w:type="dxa" w:w="50"/>
              <w:right w:type="dxa" w:w="100"/>
            </w:tcMar>
          </w:tcPr>
          <w:p>
            <w:r>
              <w:rPr>
                <w:sz w:val="19"/>
                <w:szCs w:val="19"/>
              </w:rPr>
              <w:t xml:space="preserve"/>
            </w:r>
          </w:p>
        </w:tc>
        <w:tc>
          <w:tcPr>
            <w:tcW w:type="dxa" w:w="3814"/>
            <w:tcMar>
              <w:top w:type="dxa" w:w="50"/>
              <w:left w:type="dxa" w:w="100"/>
              <w:bottom w:type="dxa" w:w="50"/>
              <w:right w:type="dxa" w:w="100"/>
            </w:tcMar>
          </w:tcPr>
          <w:p>
            <w:r>
              <w:rPr>
                <w:sz w:val="19"/>
                <w:szCs w:val="19"/>
              </w:rPr>
              <w:t xml:space="preserve">Bibliothèque officielle Mozilla pour le rendu PDF côté navigateur — seule option mature pour afficher un PDF avec un système de coordonnées exploitable (nécessaire pour le surlignage)</w:t>
            </w:r>
          </w:p>
        </w:tc>
      </w:tr>
      <w:tr>
        <w:tc>
          <w:tcPr>
            <w:tcW w:type="dxa" w:w="847"/>
            <w:tcMar>
              <w:top w:type="dxa" w:w="50"/>
              <w:left w:type="dxa" w:w="100"/>
              <w:bottom w:type="dxa" w:w="50"/>
              <w:right w:type="dxa" w:w="100"/>
            </w:tcMar>
          </w:tcPr>
          <w:p>
            <w:r>
              <w:rPr>
                <w:sz w:val="19"/>
                <w:szCs w:val="19"/>
              </w:rPr>
              <w:t xml:space="preserve">Design</w:t>
            </w:r>
          </w:p>
        </w:tc>
        <w:tc>
          <w:tcPr>
            <w:tcW w:type="dxa" w:w="3602"/>
            <w:tcMar>
              <w:top w:type="dxa" w:w="50"/>
              <w:left w:type="dxa" w:w="100"/>
              <w:bottom w:type="dxa" w:w="50"/>
              <w:right w:type="dxa" w:w="100"/>
            </w:tcMar>
          </w:tcPr>
          <w:p>
            <w:r>
              <w:rPr>
                <w:sz w:val="19"/>
                <w:szCs w:val="19"/>
              </w:rPr>
              <w:t xml:space="preserve">EY Design System</w:t>
            </w:r>
          </w:p>
        </w:tc>
        <w:tc>
          <w:tcPr>
            <w:tcW w:type="dxa" w:w="1483"/>
            <w:tcMar>
              <w:top w:type="dxa" w:w="50"/>
              <w:left w:type="dxa" w:w="100"/>
              <w:bottom w:type="dxa" w:w="50"/>
              <w:right w:type="dxa" w:w="100"/>
            </w:tcMar>
          </w:tcPr>
          <w:p>
            <w:r>
              <w:rPr>
                <w:sz w:val="19"/>
                <w:szCs w:val="19"/>
              </w:rPr>
              <w:t xml:space="preserve">Barlow, </w:t>
            </w:r>
            <w:r>
              <w:rPr>
                <w:rFonts w:ascii="Consolas" w:cs="Consolas" w:eastAsia="Consolas" w:hAnsi="Consolas"/>
                <w:sz w:val="19"/>
                <w:szCs w:val="19"/>
              </w:rPr>
              <w:t xml:space="preserve">#FFE600</w:t>
            </w:r>
            <w:r>
              <w:rPr>
                <w:sz w:val="19"/>
                <w:szCs w:val="19"/>
              </w:rPr>
              <w:t xml:space="preserve">, </w:t>
            </w:r>
            <w:r>
              <w:rPr>
                <w:rFonts w:ascii="Consolas" w:cs="Consolas" w:eastAsia="Consolas" w:hAnsi="Consolas"/>
                <w:sz w:val="19"/>
                <w:szCs w:val="19"/>
              </w:rPr>
              <w:t xml:space="preserve">#2E2E38</w:t>
            </w:r>
          </w:p>
        </w:tc>
        <w:tc>
          <w:tcPr>
            <w:tcW w:type="dxa" w:w="3814"/>
            <w:tcMar>
              <w:top w:type="dxa" w:w="50"/>
              <w:left w:type="dxa" w:w="100"/>
              <w:bottom w:type="dxa" w:w="50"/>
              <w:right w:type="dxa" w:w="100"/>
            </w:tcMar>
          </w:tcPr>
          <w:p>
            <w:r>
              <w:rPr>
                <w:sz w:val="19"/>
                <w:szCs w:val="19"/>
              </w:rPr>
              <w:t xml:space="preserve">Charte graphique imposée par le commanditaire (identité visuelle EY)</w:t>
            </w:r>
          </w:p>
        </w:tc>
      </w:tr>
      <w:tr>
        <w:tc>
          <w:tcPr>
            <w:tcW w:type="dxa" w:w="847"/>
            <w:tcMar>
              <w:top w:type="dxa" w:w="50"/>
              <w:left w:type="dxa" w:w="100"/>
              <w:bottom w:type="dxa" w:w="50"/>
              <w:right w:type="dxa" w:w="100"/>
            </w:tcMar>
          </w:tcPr>
          <w:p>
            <w:r>
              <w:rPr>
                <w:sz w:val="19"/>
                <w:szCs w:val="19"/>
              </w:rPr>
              <w:t xml:space="preserve">Prévision ML</w:t>
            </w:r>
          </w:p>
        </w:tc>
        <w:tc>
          <w:tcPr>
            <w:tcW w:type="dxa" w:w="3602"/>
            <w:tcMar>
              <w:top w:type="dxa" w:w="50"/>
              <w:left w:type="dxa" w:w="100"/>
              <w:bottom w:type="dxa" w:w="50"/>
              <w:right w:type="dxa" w:w="100"/>
            </w:tcMar>
          </w:tcPr>
          <w:p>
            <w:r>
              <w:rPr>
                <w:sz w:val="19"/>
                <w:szCs w:val="19"/>
              </w:rPr>
              <w:t xml:space="preserve">Prophet + XGBoost</w:t>
            </w:r>
          </w:p>
        </w:tc>
        <w:tc>
          <w:tcPr>
            <w:tcW w:type="dxa" w:w="1483"/>
            <w:tcMar>
              <w:top w:type="dxa" w:w="50"/>
              <w:left w:type="dxa" w:w="100"/>
              <w:bottom w:type="dxa" w:w="50"/>
              <w:right w:type="dxa" w:w="100"/>
            </w:tcMar>
          </w:tcPr>
          <w:p>
            <w:r>
              <w:rPr>
                <w:rFonts w:ascii="Consolas" w:cs="Consolas" w:eastAsia="Consolas" w:hAnsi="Consolas"/>
                <w:sz w:val="19"/>
                <w:szCs w:val="19"/>
              </w:rPr>
              <w:t xml:space="preserve">chatbot_portable/requirements.txt</w:t>
            </w:r>
          </w:p>
        </w:tc>
        <w:tc>
          <w:tcPr>
            <w:tcW w:type="dxa" w:w="3814"/>
            <w:tcMar>
              <w:top w:type="dxa" w:w="50"/>
              <w:left w:type="dxa" w:w="100"/>
              <w:bottom w:type="dxa" w:w="50"/>
              <w:right w:type="dxa" w:w="100"/>
            </w:tcMar>
          </w:tcPr>
          <w:p>
            <w:r>
              <w:rPr>
                <w:sz w:val="19"/>
                <w:szCs w:val="19"/>
              </w:rPr>
              <w:t xml:space="preserve">Deux familles de modèles complémentaires : Prophet excelle sur les séries à tendance structurelle longue (primes, PIB), XGBoost sur les séries plus volatiles à base de features (ratios) — la sélection automatique choisit le meilleur par cross-validation plutôt que d'imposer un choix a priori</w:t>
            </w:r>
          </w:p>
        </w:tc>
      </w:tr>
      <w:tr>
        <w:tc>
          <w:tcPr>
            <w:tcW w:type="dxa" w:w="847"/>
            <w:tcMar>
              <w:top w:type="dxa" w:w="50"/>
              <w:left w:type="dxa" w:w="100"/>
              <w:bottom w:type="dxa" w:w="50"/>
              <w:right w:type="dxa" w:w="100"/>
            </w:tcMar>
          </w:tcPr>
          <w:p>
            <w:r>
              <w:rPr>
                <w:sz w:val="19"/>
                <w:szCs w:val="19"/>
              </w:rPr>
              <w:t xml:space="preserve">LLM</w:t>
            </w:r>
          </w:p>
        </w:tc>
        <w:tc>
          <w:tcPr>
            <w:tcW w:type="dxa" w:w="3602"/>
            <w:tcMar>
              <w:top w:type="dxa" w:w="50"/>
              <w:left w:type="dxa" w:w="100"/>
              <w:bottom w:type="dxa" w:w="50"/>
              <w:right w:type="dxa" w:w="100"/>
            </w:tcMar>
          </w:tcPr>
          <w:p>
            <w:r>
              <w:rPr>
                <w:sz w:val="19"/>
                <w:szCs w:val="19"/>
              </w:rPr>
              <w:t xml:space="preserve">Groq (</w:t>
            </w:r>
            <w:r>
              <w:rPr>
                <w:rFonts w:ascii="Consolas" w:cs="Consolas" w:eastAsia="Consolas" w:hAnsi="Consolas"/>
                <w:sz w:val="19"/>
                <w:szCs w:val="19"/>
              </w:rPr>
              <w:t xml:space="preserve">openai/gpt-oss-120b</w:t>
            </w:r>
            <w:r>
              <w:rPr>
                <w:sz w:val="19"/>
                <w:szCs w:val="19"/>
              </w:rPr>
              <w:t xml:space="preserve">)</w:t>
            </w:r>
          </w:p>
        </w:tc>
        <w:tc>
          <w:tcPr>
            <w:tcW w:type="dxa" w:w="1483"/>
            <w:tcMar>
              <w:top w:type="dxa" w:w="50"/>
              <w:left w:type="dxa" w:w="100"/>
              <w:bottom w:type="dxa" w:w="50"/>
              <w:right w:type="dxa" w:w="100"/>
            </w:tcMar>
          </w:tcPr>
          <w:p>
            <w:r>
              <w:rPr>
                <w:rFonts w:ascii="Consolas" w:cs="Consolas" w:eastAsia="Consolas" w:hAnsi="Consolas"/>
                <w:sz w:val="19"/>
                <w:szCs w:val="19"/>
              </w:rPr>
              <w:t xml:space="preserve">groq&gt;=0.9.0</w:t>
            </w:r>
          </w:p>
        </w:tc>
        <w:tc>
          <w:tcPr>
            <w:tcW w:type="dxa" w:w="3814"/>
            <w:tcMar>
              <w:top w:type="dxa" w:w="50"/>
              <w:left w:type="dxa" w:w="100"/>
              <w:bottom w:type="dxa" w:w="50"/>
              <w:right w:type="dxa" w:w="100"/>
            </w:tcMar>
          </w:tcPr>
          <w:p>
            <w:r>
              <w:rPr>
                <w:sz w:val="19"/>
                <w:szCs w:val="19"/>
              </w:rPr>
              <w:t xml:space="preserve">Inference rapide et peu coûteuse par rapport aux API LLM propriétaires classiques — suffisant pour un usage de reformulation/synthèse contrainte par un contexte factuel fourni (pas de génération libre)</w:t>
            </w:r>
          </w:p>
        </w:tc>
      </w:tr>
      <w:tr>
        <w:tc>
          <w:tcPr>
            <w:tcW w:type="dxa" w:w="847"/>
            <w:tcMar>
              <w:top w:type="dxa" w:w="50"/>
              <w:left w:type="dxa" w:w="100"/>
              <w:bottom w:type="dxa" w:w="50"/>
              <w:right w:type="dxa" w:w="100"/>
            </w:tcMar>
          </w:tcPr>
          <w:p>
            <w:r>
              <w:rPr>
                <w:sz w:val="19"/>
                <w:szCs w:val="19"/>
              </w:rPr>
              <w:t xml:space="preserve">Déploiement</w:t>
            </w:r>
          </w:p>
        </w:tc>
        <w:tc>
          <w:tcPr>
            <w:tcW w:type="dxa" w:w="3602"/>
            <w:tcMar>
              <w:top w:type="dxa" w:w="50"/>
              <w:left w:type="dxa" w:w="100"/>
              <w:bottom w:type="dxa" w:w="50"/>
              <w:right w:type="dxa" w:w="100"/>
            </w:tcMar>
          </w:tcPr>
          <w:p>
            <w:r>
              <w:rPr>
                <w:sz w:val="19"/>
                <w:szCs w:val="19"/>
              </w:rPr>
              <w:t xml:space="preserve">Docker Compose (4 services)</w:t>
            </w:r>
          </w:p>
        </w:tc>
        <w:tc>
          <w:tcPr>
            <w:tcW w:type="dxa" w:w="1483"/>
            <w:tcMar>
              <w:top w:type="dxa" w:w="50"/>
              <w:left w:type="dxa" w:w="100"/>
              <w:bottom w:type="dxa" w:w="50"/>
              <w:right w:type="dxa" w:w="100"/>
            </w:tcMar>
          </w:tcPr>
          <w:p>
            <w:r>
              <w:rPr>
                <w:rFonts w:ascii="Consolas" w:cs="Consolas" w:eastAsia="Consolas" w:hAnsi="Consolas"/>
                <w:sz w:val="19"/>
                <w:szCs w:val="19"/>
              </w:rPr>
              <w:t xml:space="preserve">docker-compose.yml</w:t>
            </w:r>
          </w:p>
        </w:tc>
        <w:tc>
          <w:tcPr>
            <w:tcW w:type="dxa" w:w="3814"/>
            <w:tcMar>
              <w:top w:type="dxa" w:w="50"/>
              <w:left w:type="dxa" w:w="100"/>
              <w:bottom w:type="dxa" w:w="50"/>
              <w:right w:type="dxa" w:w="100"/>
            </w:tcMar>
          </w:tcPr>
          <w:p>
            <w:r>
              <w:rPr>
                <w:sz w:val="19"/>
                <w:szCs w:val="19"/>
              </w:rPr>
              <w:t xml:space="preserve">Isolation des 3 runtimes différents (MySQL, API Python, microservice IA Python séparé, frontend statique) avec un seul point d'orchestration</w:t>
            </w:r>
          </w:p>
        </w:tc>
      </w:tr>
    </w:tbl>
    <w:p>
      <w:pPr>
        <w:spacing w:after="160"/>
      </w:pPr>
    </w:p>
    <w:p>
      <w:pPr>
        <w:spacing w:after="140"/>
      </w:pPr>
      <w:r>
        <w:rPr>
          <w:b/>
          <w:bCs/>
        </w:rPr>
        <w:t xml:space="preserve">Sécurité</w:t>
      </w:r>
      <w:r>
        <w:t xml:space="preserve"> : aucune authentification sur l'API (</w:t>
      </w:r>
      <w:r>
        <w:rPr>
          <w:rFonts w:ascii="Consolas" w:cs="Consolas" w:eastAsia="Consolas" w:hAnsi="Consolas"/>
          <w:sz w:val="20"/>
          <w:szCs w:val="20"/>
        </w:rPr>
        <w:t xml:space="preserve">CORS</w:t>
      </w:r>
      <w:r>
        <w:t xml:space="preserve"> ouvert sans restriction d'origine) — cohérent avec un usage </w:t>
      </w:r>
      <w:r>
        <w:rPr>
          <w:b/>
          <w:bCs/>
        </w:rPr>
        <w:t xml:space="preserve">interne</w:t>
      </w:r>
      <w:r>
        <w:t xml:space="preserve">, réseau non exposé publiquement. Seule clé secrète en jeu : </w:t>
      </w:r>
      <w:r>
        <w:rPr>
          <w:rFonts w:ascii="Consolas" w:cs="Consolas" w:eastAsia="Consolas" w:hAnsi="Consolas"/>
          <w:sz w:val="20"/>
          <w:szCs w:val="20"/>
        </w:rPr>
        <w:t xml:space="preserve">GROQ_API_KEY</w:t>
      </w:r>
      <w:r>
        <w:t xml:space="preserve">, jamais exposée au frontend.</w:t>
      </w:r>
    </w:p>
    <w:p>
      <w:pPr>
        <w:pStyle w:val="Heading1"/>
        <w:spacing w:after="140" w:before="280"/>
      </w:pPr>
      <w:r>
        <w:rPr>
          <w:b/>
          <w:bCs/>
          <w:color w:val="2E2E38"/>
        </w:rPr>
        <w:t xml:space="preserve">3. Couche 1 — Collecte des données (scraping)</w:t>
      </w:r>
    </w:p>
    <w:p>
      <w:pPr>
        <w:spacing w:after="140"/>
      </w:pPr>
      <w:r>
        <w:rPr>
          <w:b/>
          <w:bCs/>
        </w:rPr>
        <w:t xml:space="preserve">8 sources d'origine.</w:t>
      </w:r>
      <w:r>
        <w:t xml:space="preserve"> Deux d'entre elles (CGA et FTUSA) alimentent chacune deux circuits différents dans l'application — des rapports chiffrés (KPI) *et* des textes réglementaires — mais restent une seule source d'origine chacune.</w:t>
      </w:r>
    </w:p>
    <w:p>
      <w:pPr>
        <w:spacing w:after="100" w:before="100"/>
        <w:jc w:val="center"/>
      </w:pPr>
      <w:r>
        <w:drawing>
          <wp:inline distT="0" distB="0" distL="0" distR="0">
            <wp:extent cx="619125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4552950"/>
                    </a:xfrm>
                    <a:prstGeom prst="rect">
                      <a:avLst/>
                    </a:prstGeom>
                  </pic:spPr>
                </pic:pic>
              </a:graphicData>
            </a:graphic>
          </wp:inline>
        </w:drawing>
      </w:r>
    </w:p>
    <w:p>
      <w:pPr>
        <w:spacing w:after="160"/>
        <w:jc w:val="center"/>
      </w:pPr>
      <w:r>
        <w:rPr>
          <w:i/>
          <w:iCs/>
          <w:color w:val="777777"/>
          <w:sz w:val="17"/>
          <w:szCs w:val="17"/>
        </w:rPr>
        <w:t xml:space="preserve">Schéma de la couche de scraping</w:t>
      </w:r>
    </w:p>
    <w:p>
      <w:pPr>
        <w:spacing w:after="140"/>
      </w:pPr>
      <w:r>
        <w:t xml:space="preserve">Trois méthodes techniques différentes selon la nature du site, et une chaîne commune de 4 étapes une fois la donnée récupérée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10"/>
        <w:gridCol w:w="2517"/>
        <w:gridCol w:w="4819"/>
      </w:tblGrid>
      <w:tr>
        <w:trPr>
          <w:tblHeader/>
        </w:trPr>
        <w:tc>
          <w:tcPr>
            <w:tcW w:type="dxa" w:w="2410"/>
            <w:shd w:fill="2E2E38" w:val="clear"/>
            <w:tcMar>
              <w:top w:type="dxa" w:w="60"/>
              <w:left w:type="dxa" w:w="100"/>
              <w:bottom w:type="dxa" w:w="60"/>
              <w:right w:type="dxa" w:w="100"/>
            </w:tcMar>
          </w:tcPr>
          <w:p>
            <w:r>
              <w:rPr>
                <w:b/>
                <w:bCs/>
                <w:color w:val="FFFFFF"/>
                <w:sz w:val="19"/>
                <w:szCs w:val="19"/>
              </w:rPr>
              <w:t xml:space="preserve">Méthode</w:t>
            </w:r>
          </w:p>
        </w:tc>
        <w:tc>
          <w:tcPr>
            <w:tcW w:type="dxa" w:w="2517"/>
            <w:shd w:fill="2E2E38" w:val="clear"/>
            <w:tcMar>
              <w:top w:type="dxa" w:w="60"/>
              <w:left w:type="dxa" w:w="100"/>
              <w:bottom w:type="dxa" w:w="60"/>
              <w:right w:type="dxa" w:w="100"/>
            </w:tcMar>
          </w:tcPr>
          <w:p>
            <w:r>
              <w:rPr>
                <w:b/>
                <w:bCs/>
                <w:color w:val="FFFFFF"/>
                <w:sz w:val="19"/>
                <w:szCs w:val="19"/>
              </w:rPr>
              <w:t xml:space="preserve">Sources concernées</w:t>
            </w:r>
          </w:p>
        </w:tc>
        <w:tc>
          <w:tcPr>
            <w:tcW w:type="dxa" w:w="4819"/>
            <w:shd w:fill="2E2E38" w:val="clear"/>
            <w:tcMar>
              <w:top w:type="dxa" w:w="60"/>
              <w:left w:type="dxa" w:w="100"/>
              <w:bottom w:type="dxa" w:w="60"/>
              <w:right w:type="dxa" w:w="100"/>
            </w:tcMar>
          </w:tcPr>
          <w:p>
            <w:r>
              <w:rPr>
                <w:b/>
                <w:bCs/>
                <w:color w:val="FFFFFF"/>
                <w:sz w:val="19"/>
                <w:szCs w:val="19"/>
              </w:rPr>
              <w:t xml:space="preserve">Pourquoi ce choix</w:t>
            </w:r>
          </w:p>
        </w:tc>
      </w:tr>
      <w:tr>
        <w:tc>
          <w:tcPr>
            <w:tcW w:type="dxa" w:w="2410"/>
            <w:tcMar>
              <w:top w:type="dxa" w:w="50"/>
              <w:left w:type="dxa" w:w="100"/>
              <w:bottom w:type="dxa" w:w="50"/>
              <w:right w:type="dxa" w:w="100"/>
            </w:tcMar>
          </w:tcPr>
          <w:p>
            <w:r>
              <w:rPr>
                <w:b/>
                <w:bCs/>
                <w:sz w:val="19"/>
                <w:szCs w:val="19"/>
              </w:rPr>
              <w:t xml:space="preserve">Selenium</w:t>
            </w:r>
            <w:r>
              <w:rPr>
                <w:sz w:val="19"/>
                <w:szCs w:val="19"/>
              </w:rPr>
              <w:t xml:space="preserve"> (navigateur piloté, invisible)</w:t>
            </w:r>
          </w:p>
        </w:tc>
        <w:tc>
          <w:tcPr>
            <w:tcW w:type="dxa" w:w="2517"/>
            <w:tcMar>
              <w:top w:type="dxa" w:w="50"/>
              <w:left w:type="dxa" w:w="100"/>
              <w:bottom w:type="dxa" w:w="50"/>
              <w:right w:type="dxa" w:w="100"/>
            </w:tcMar>
          </w:tcPr>
          <w:p>
            <w:r>
              <w:rPr>
                <w:sz w:val="19"/>
                <w:szCs w:val="19"/>
              </w:rPr>
              <w:t xml:space="preserve">CMF uniquement</w:t>
            </w:r>
          </w:p>
        </w:tc>
        <w:tc>
          <w:tcPr>
            <w:tcW w:type="dxa" w:w="4819"/>
            <w:tcMar>
              <w:top w:type="dxa" w:w="50"/>
              <w:left w:type="dxa" w:w="100"/>
              <w:bottom w:type="dxa" w:w="50"/>
              <w:right w:type="dxa" w:w="100"/>
            </w:tcMar>
          </w:tcPr>
          <w:p>
            <w:r>
              <w:rPr>
                <w:sz w:val="19"/>
                <w:szCs w:val="19"/>
              </w:rPr>
              <w:t xml:space="preserve">Le sélecteur de société sur ce portail est un widget JavaScript dynamique (plugin "Chosen" Drupal) — une simple requête HTTP ne peut pas interagir avec un composant rendu côté client. Repli sur le </w:t>
            </w:r>
            <w:r>
              <w:rPr>
                <w:rFonts w:ascii="Consolas" w:cs="Consolas" w:eastAsia="Consolas" w:hAnsi="Consolas"/>
                <w:sz w:val="19"/>
                <w:szCs w:val="19"/>
              </w:rPr>
              <w:t xml:space="preserve">&lt;select&gt;</w:t>
            </w:r>
            <w:r>
              <w:rPr>
                <w:sz w:val="19"/>
                <w:szCs w:val="19"/>
              </w:rPr>
              <w:t xml:space="preserve"> HTML natif si le widget n'a pas chargé.</w:t>
            </w:r>
          </w:p>
        </w:tc>
      </w:tr>
      <w:tr>
        <w:tc>
          <w:tcPr>
            <w:tcW w:type="dxa" w:w="2410"/>
            <w:tcMar>
              <w:top w:type="dxa" w:w="50"/>
              <w:left w:type="dxa" w:w="100"/>
              <w:bottom w:type="dxa" w:w="50"/>
              <w:right w:type="dxa" w:w="100"/>
            </w:tcMar>
          </w:tcPr>
          <w:p>
            <w:r>
              <w:rPr>
                <w:b/>
                <w:bCs/>
                <w:sz w:val="19"/>
                <w:szCs w:val="19"/>
              </w:rPr>
              <w:t xml:space="preserve">`requests` + regex</w:t>
            </w:r>
            <w:r>
              <w:rPr>
                <w:sz w:val="19"/>
                <w:szCs w:val="19"/>
              </w:rPr>
              <w:t xml:space="preserve"> (requête HTTP directe)</w:t>
            </w:r>
          </w:p>
        </w:tc>
        <w:tc>
          <w:tcPr>
            <w:tcW w:type="dxa" w:w="2517"/>
            <w:tcMar>
              <w:top w:type="dxa" w:w="50"/>
              <w:left w:type="dxa" w:w="100"/>
              <w:bottom w:type="dxa" w:w="50"/>
              <w:right w:type="dxa" w:w="100"/>
            </w:tcMar>
          </w:tcPr>
          <w:p>
            <w:r>
              <w:rPr>
                <w:sz w:val="19"/>
                <w:szCs w:val="19"/>
              </w:rPr>
              <w:t xml:space="preserve">FTUSA, CGA, BVMT, INS, Atlas Magazine, IlBoursa</w:t>
            </w:r>
          </w:p>
        </w:tc>
        <w:tc>
          <w:tcPr>
            <w:tcW w:type="dxa" w:w="4819"/>
            <w:tcMar>
              <w:top w:type="dxa" w:w="50"/>
              <w:left w:type="dxa" w:w="100"/>
              <w:bottom w:type="dxa" w:w="50"/>
              <w:right w:type="dxa" w:w="100"/>
            </w:tcMar>
          </w:tcPr>
          <w:p>
            <w:r>
              <w:rPr>
                <w:sz w:val="19"/>
                <w:szCs w:val="19"/>
              </w:rPr>
              <w:t xml:space="preserve">Pages HTML majoritairement statiques — plus simple, plus rapide et plus robuste que d'ouvrir un navigateur complet pour une page qui ne le nécessite pas.</w:t>
            </w:r>
          </w:p>
        </w:tc>
      </w:tr>
      <w:tr>
        <w:tc>
          <w:tcPr>
            <w:tcW w:type="dxa" w:w="2410"/>
            <w:tcMar>
              <w:top w:type="dxa" w:w="50"/>
              <w:left w:type="dxa" w:w="100"/>
              <w:bottom w:type="dxa" w:w="50"/>
              <w:right w:type="dxa" w:w="100"/>
            </w:tcMar>
          </w:tcPr>
          <w:p>
            <w:r>
              <w:rPr>
                <w:b/>
                <w:bCs/>
                <w:sz w:val="19"/>
                <w:szCs w:val="19"/>
              </w:rPr>
              <w:t xml:space="preserve">Lecture de fichier local</w:t>
            </w:r>
          </w:p>
        </w:tc>
        <w:tc>
          <w:tcPr>
            <w:tcW w:type="dxa" w:w="2517"/>
            <w:tcMar>
              <w:top w:type="dxa" w:w="50"/>
              <w:left w:type="dxa" w:w="100"/>
              <w:bottom w:type="dxa" w:w="50"/>
              <w:right w:type="dxa" w:w="100"/>
            </w:tcMar>
          </w:tcPr>
          <w:p>
            <w:r>
              <w:rPr>
                <w:sz w:val="19"/>
                <w:szCs w:val="19"/>
              </w:rPr>
              <w:t xml:space="preserve">ENQUETE</w:t>
            </w:r>
          </w:p>
        </w:tc>
        <w:tc>
          <w:tcPr>
            <w:tcW w:type="dxa" w:w="4819"/>
            <w:tcMar>
              <w:top w:type="dxa" w:w="50"/>
              <w:left w:type="dxa" w:w="100"/>
              <w:bottom w:type="dxa" w:w="50"/>
              <w:right w:type="dxa" w:w="100"/>
            </w:tcMar>
          </w:tcPr>
          <w:p>
            <w:r>
              <w:rPr>
                <w:sz w:val="19"/>
                <w:szCs w:val="19"/>
              </w:rPr>
              <w:t xml:space="preserve">Ce n'est pas un site web : les données viennent d'un fichier Excel (</w:t>
            </w:r>
            <w:r>
              <w:rPr>
                <w:rFonts w:ascii="Consolas" w:cs="Consolas" w:eastAsia="Consolas" w:hAnsi="Consolas"/>
                <w:sz w:val="19"/>
                <w:szCs w:val="19"/>
              </w:rPr>
              <w:t xml:space="preserve">Survey CX_...xlsx</w:t>
            </w:r>
            <w:r>
              <w:rPr>
                <w:sz w:val="19"/>
                <w:szCs w:val="19"/>
              </w:rPr>
              <w:t xml:space="preserve">) fourni directement — pas de scraping à proprement parler.</w:t>
            </w:r>
          </w:p>
        </w:tc>
      </w:tr>
    </w:tbl>
    <w:p>
      <w:pPr>
        <w:spacing w:after="160"/>
      </w:pPr>
    </w:p>
    <w:p>
      <w:pPr>
        <w:spacing w:after="140"/>
      </w:pPr>
      <w:r>
        <w:rPr>
          <w:b/>
          <w:bCs/>
        </w:rPr>
        <w:t xml:space="preserve">Le déroulé concret pour CMF</w:t>
      </w:r>
      <w:r>
        <w:t xml:space="preserve"> (le scraper le plus complexe, donc le plus représentatif) : ouverture d'un Chrome invisible → sélection de la société dans le menu déroulant → lancement de la recherche → </w:t>
      </w:r>
      <w:r>
        <w:rPr>
          <w:b/>
          <w:bCs/>
        </w:rPr>
        <w:t xml:space="preserve">filtrage</w:t>
      </w:r>
      <w:r>
        <w:t xml:space="preserve"> (voir ci-dessous) → vérification que le lien du PDF répond → </w:t>
      </w:r>
      <w:r>
        <w:rPr>
          <w:b/>
          <w:bCs/>
        </w:rPr>
        <w:t xml:space="preserve">déduplication</w:t>
      </w:r>
      <w:r>
        <w:t xml:space="preserve"> (voir ci-dessous) → enregistrement en base des métadonnées seulement (jamais le PDF lui-même, il sera re-téléchargé à la demande). En cas d'échec en cours de route, le programme relance tout depuis le début (jusqu'à 3 fois) plutôt que de reprendre au milieu — un plantage en cours de route laisse le navigateur dans un état difficile à récupérer proprement.</w:t>
      </w:r>
    </w:p>
    <w:p>
      <w:pPr>
        <w:spacing w:after="140"/>
      </w:pPr>
      <w:r>
        <w:rPr>
          <w:b/>
          <w:bCs/>
        </w:rPr>
        <w:t xml:space="preserve">Extrait de code réel — `scraping/cmf_portal_scraper.py`, méthode `run()` (lignes 310-328)</w:t>
      </w:r>
      <w:r>
        <w:t xml:space="preserve"> : c'est exactement ce mécanisme de nouvelle tentative complète, pas juste de l'étape en échec.</w:t>
      </w:r>
    </w:p>
    <w:p>
      <w:pPr>
        <w:spacing w:after="100" w:before="100"/>
        <w:jc w:val="center"/>
      </w:pPr>
      <w:r>
        <w:drawing>
          <wp:inline distT="0" distB="0" distL="0" distR="0">
            <wp:extent cx="61912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324225"/>
                    </a:xfrm>
                    <a:prstGeom prst="rect">
                      <a:avLst/>
                    </a:prstGeom>
                  </pic:spPr>
                </pic:pic>
              </a:graphicData>
            </a:graphic>
          </wp:inline>
        </w:drawing>
      </w:r>
    </w:p>
    <w:p>
      <w:pPr>
        <w:spacing w:after="160"/>
        <w:jc w:val="center"/>
      </w:pPr>
      <w:r>
        <w:rPr>
          <w:i/>
          <w:iCs/>
          <w:color w:val="777777"/>
          <w:sz w:val="17"/>
          <w:szCs w:val="17"/>
        </w:rPr>
        <w:t xml:space="preserve">Code réel du mécanisme de nouvelle tentative</w:t>
      </w:r>
    </w:p>
    <w:p>
      <w:pPr>
        <w:spacing w:after="140"/>
      </w:pPr>
      <w:r>
        <w:rPr>
          <w:b/>
          <w:bCs/>
        </w:rPr>
        <w:t xml:space="preserve">Filtrage</w:t>
      </w:r>
      <w:r>
        <w:t xml:space="preserve"> : parmi tous les documents qu'une source propose, ne garder que ceux qui sont réellement pertinents. Le critère exact dépend de la source — exemple concret pour CMF ci-dessous.</w:t>
      </w:r>
    </w:p>
    <w:p>
      <w:pPr>
        <w:spacing w:after="100" w:before="100"/>
        <w:jc w:val="center"/>
      </w:pPr>
      <w:r>
        <w:drawing>
          <wp:inline distT="0" distB="0" distL="0" distR="0">
            <wp:extent cx="61912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819525"/>
                    </a:xfrm>
                    <a:prstGeom prst="rect">
                      <a:avLst/>
                    </a:prstGeom>
                  </pic:spPr>
                </pic:pic>
              </a:graphicData>
            </a:graphic>
          </wp:inline>
        </w:drawing>
      </w:r>
    </w:p>
    <w:p>
      <w:pPr>
        <w:spacing w:after="160"/>
        <w:jc w:val="center"/>
      </w:pPr>
      <w:r>
        <w:rPr>
          <w:i/>
          <w:iCs/>
          <w:color w:val="777777"/>
          <w:sz w:val="17"/>
          <w:szCs w:val="17"/>
        </w:rPr>
        <w:t xml:space="preserve">Exemple de filtrage — cas du scraper CMF</w:t>
      </w:r>
    </w:p>
    <w:p>
      <w:pPr>
        <w:spacing w:after="140"/>
      </w:pPr>
      <w:r>
        <w:rPr>
          <w:b/>
          <w:bCs/>
        </w:rPr>
        <w:t xml:space="preserve">Déduplication</w:t>
      </w:r>
      <w:r>
        <w:t xml:space="preserve"> : avant d'enregistrer un document, le programme vérifie dans la base de données si un document identique (même société, même source, même année) existe déjà. Si oui, rien n'est fait ; si non, il est enregistré. Ça évite qu'un même rapport soit dupliqué en base à chaque passage du scraper.</w:t>
      </w:r>
    </w:p>
    <w:p>
      <w:pPr>
        <w:spacing w:after="140"/>
      </w:pPr>
      <w:r>
        <w:rPr>
          <w:b/>
          <w:bCs/>
        </w:rPr>
        <w:t xml:space="preserve">Extrait de code réel — `scraping/cmf_portal_scraper.py`, méthode `extract_and_store()` (lignes 281-298)</w:t>
      </w:r>
      <w:r>
        <w:t xml:space="preserve"> : </w:t>
      </w:r>
      <w:r>
        <w:rPr>
          <w:rFonts w:ascii="Consolas" w:cs="Consolas" w:eastAsia="Consolas" w:hAnsi="Consolas"/>
          <w:sz w:val="20"/>
          <w:szCs w:val="20"/>
        </w:rPr>
        <w:t xml:space="preserve">document_exists()</w:t>
      </w:r>
      <w:r>
        <w:t xml:space="preserve"> (ligne 289) est l'appel qui fait exactement cette vérification ; </w:t>
      </w:r>
      <w:r>
        <w:rPr>
          <w:rFonts w:ascii="Consolas" w:cs="Consolas" w:eastAsia="Consolas" w:hAnsi="Consolas"/>
          <w:sz w:val="20"/>
          <w:szCs w:val="20"/>
        </w:rPr>
        <w:t xml:space="preserve">save_document()</w:t>
      </w:r>
      <w:r>
        <w:t xml:space="preserve"> (ligne 296) n'enregistre que le nom, l'année et le lien — jamais le fichier PDF.</w:t>
      </w:r>
    </w:p>
    <w:p>
      <w:pPr>
        <w:spacing w:after="100" w:before="100"/>
        <w:jc w:val="center"/>
      </w:pPr>
      <w:r>
        <w:drawing>
          <wp:inline distT="0" distB="0" distL="0" distR="0">
            <wp:extent cx="61912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228975"/>
                    </a:xfrm>
                    <a:prstGeom prst="rect">
                      <a:avLst/>
                    </a:prstGeom>
                  </pic:spPr>
                </pic:pic>
              </a:graphicData>
            </a:graphic>
          </wp:inline>
        </w:drawing>
      </w:r>
    </w:p>
    <w:p>
      <w:pPr>
        <w:spacing w:after="160"/>
        <w:jc w:val="center"/>
      </w:pPr>
      <w:r>
        <w:rPr>
          <w:i/>
          <w:iCs/>
          <w:color w:val="777777"/>
          <w:sz w:val="17"/>
          <w:szCs w:val="17"/>
        </w:rPr>
        <w:t xml:space="preserve">Code réel de la déduplication et de l'enregistrement</w:t>
      </w:r>
    </w:p>
    <w:p>
      <w:pPr>
        <w:spacing w:after="140"/>
      </w:pPr>
      <w:r>
        <w:rPr>
          <w:b/>
          <w:bCs/>
        </w:rPr>
        <w:t xml:space="preserve">Résilience réseau</w:t>
      </w:r>
      <w:r>
        <w:t xml:space="preserve"> : tous les scrapers </w:t>
      </w:r>
      <w:r>
        <w:rPr>
          <w:rFonts w:ascii="Consolas" w:cs="Consolas" w:eastAsia="Consolas" w:hAnsi="Consolas"/>
          <w:sz w:val="20"/>
          <w:szCs w:val="20"/>
        </w:rPr>
        <w:t xml:space="preserve">requests</w:t>
      </w:r>
      <w:r>
        <w:t xml:space="preserve"> partagent un mécanisme de nouvelle tentative (3 essais, pause de 1,5 seconde entre chaque) car les sites cibles répondent parfois par un simple délai d'attente dépassé sans raison particulière.</w:t>
      </w:r>
    </w:p>
    <w:p>
      <w:pPr>
        <w:spacing w:after="140"/>
      </w:pPr>
      <w:r>
        <w:rPr>
          <w:b/>
          <w:bCs/>
        </w:rPr>
        <w:t xml:space="preserve">Détails propres à certaines sources</w:t>
      </w:r>
      <w:r>
        <w:t xml:space="preserve"> :</w:t>
      </w:r>
    </w:p>
    <w:p>
      <w:pPr>
        <w:pStyle w:val="ListParagraph"/>
        <w:numPr>
          <w:ilvl w:val="0"/>
          <w:numId w:val="1"/>
        </w:numPr>
        <w:spacing w:after="80"/>
      </w:pPr>
      <w:r>
        <w:rPr>
          <w:b/>
          <w:bCs/>
        </w:rPr>
        <w:t xml:space="preserve">FTUSA</w:t>
      </w:r>
      <w:r>
        <w:t xml:space="preserve"> : l'année d'un rapport est détectée en lisant le </w:t>
      </w:r>
      <w:r>
        <w:rPr>
          <w:b/>
          <w:bCs/>
        </w:rPr>
        <w:t xml:space="preserve">contenu</w:t>
      </w:r>
      <w:r>
        <w:t xml:space="preserve"> du PDF plutôt que son nom de fichier — jugé trop peu fiable sur 25 ans d'archives (ex. fichiers nommés </w:t>
      </w:r>
      <w:r>
        <w:rPr>
          <w:rFonts w:ascii="Consolas" w:cs="Consolas" w:eastAsia="Consolas" w:hAnsi="Consolas"/>
          <w:sz w:val="20"/>
          <w:szCs w:val="20"/>
        </w:rPr>
        <w:t xml:space="preserve">Rapport-FTUSA-DEFINITIF.pdf</w:t>
      </w:r>
      <w:r>
        <w:t xml:space="preserve">).</w:t>
      </w:r>
    </w:p>
    <w:p>
      <w:pPr>
        <w:pStyle w:val="ListParagraph"/>
        <w:numPr>
          <w:ilvl w:val="0"/>
          <w:numId w:val="1"/>
        </w:numPr>
        <w:spacing w:after="80"/>
      </w:pPr>
      <w:r>
        <w:rPr>
          <w:b/>
          <w:bCs/>
        </w:rPr>
        <w:t xml:space="preserve">BVMT</w:t>
      </w:r>
      <w:r>
        <w:t xml:space="preserve"> : la liste des sociétés cotées en bourse est découverte dynamiquement plutôt que codée en dur — évite une maintenance manuelle si une société entre ou sort de la cote.</w:t>
      </w:r>
    </w:p>
    <w:p>
      <w:pPr>
        <w:pStyle w:val="ListParagraph"/>
        <w:numPr>
          <w:ilvl w:val="0"/>
          <w:numId w:val="1"/>
        </w:numPr>
        <w:spacing w:after="80"/>
      </w:pPr>
      <w:r>
        <w:rPr>
          <w:b/>
          <w:bCs/>
        </w:rPr>
        <w:t xml:space="preserve">CGA / FTUSA (réglementaire)</w:t>
      </w:r>
      <w:r>
        <w:t xml:space="preserve"> : ce deuxième circuit (lois, décrets, circulaires côté CGA ; codes professionnels côté FTUSA) alimente la page "Veille réglementaire", avec un cache mémoire (1h) et une détection de nouveauté propre (</w:t>
      </w:r>
      <w:r>
        <w:rPr>
          <w:rFonts w:ascii="Consolas" w:cs="Consolas" w:eastAsia="Consolas" w:hAnsi="Consolas"/>
          <w:sz w:val="20"/>
          <w:szCs w:val="20"/>
        </w:rPr>
        <w:t xml:space="preserve">actualites_vues</w:t>
      </w:r>
      <w:r>
        <w:t xml:space="preserve">/</w:t>
      </w:r>
      <w:r>
        <w:rPr>
          <w:rFonts w:ascii="Consolas" w:cs="Consolas" w:eastAsia="Consolas" w:hAnsi="Consolas"/>
          <w:sz w:val="20"/>
          <w:szCs w:val="20"/>
        </w:rPr>
        <w:t xml:space="preserve">reglementation_vues</w:t>
      </w:r>
      <w:r>
        <w:t xml:space="preserve">), indépendante des tables </w:t>
      </w:r>
      <w:r>
        <w:rPr>
          <w:rFonts w:ascii="Consolas" w:cs="Consolas" w:eastAsia="Consolas" w:hAnsi="Consolas"/>
          <w:sz w:val="20"/>
          <w:szCs w:val="20"/>
        </w:rPr>
        <w:t xml:space="preserve">documents</w:t>
      </w:r>
      <w:r>
        <w:t xml:space="preserve">/</w:t>
      </w:r>
      <w:r>
        <w:rPr>
          <w:rFonts w:ascii="Consolas" w:cs="Consolas" w:eastAsia="Consolas" w:hAnsi="Consolas"/>
          <w:sz w:val="20"/>
          <w:szCs w:val="20"/>
        </w:rPr>
        <w:t xml:space="preserve">kpi_values</w:t>
      </w:r>
      <w:r>
        <w:t xml:space="preserve"> utilisées par le reste du pipeline.</w:t>
      </w:r>
    </w:p>
    <w:p>
      <w:pPr>
        <w:pStyle w:val="ListParagraph"/>
        <w:numPr>
          <w:ilvl w:val="0"/>
          <w:numId w:val="1"/>
        </w:numPr>
        <w:spacing w:after="80"/>
      </w:pPr>
      <w:r>
        <w:rPr>
          <w:b/>
          <w:bCs/>
        </w:rPr>
        <w:t xml:space="preserve">Atlas Magazine / IlBoursa</w:t>
      </w:r>
      <w:r>
        <w:t xml:space="preserve"> : scraping via BeautifulSoup, exécuté en parallèle (</w:t>
      </w:r>
      <w:r>
        <w:rPr>
          <w:rFonts w:ascii="Consolas" w:cs="Consolas" w:eastAsia="Consolas" w:hAnsi="Consolas"/>
          <w:sz w:val="20"/>
          <w:szCs w:val="20"/>
        </w:rPr>
        <w:t xml:space="preserve">ThreadPoolExecutor</w:t>
      </w:r>
      <w:r>
        <w:t xml:space="preserve">) pour aller plus vite ; alimentent la page Actualités, pas les KPI.</w:t>
      </w:r>
    </w:p>
    <w:p>
      <w:pPr>
        <w:pStyle w:val="Heading2"/>
        <w:spacing w:after="140" w:before="280"/>
      </w:pPr>
      <w:r>
        <w:rPr>
          <w:b/>
          <w:bCs/>
          <w:color w:val="555555"/>
        </w:rPr>
        <w:t xml:space="preserve">Reconnaissance automatique des sociétés — </w:t>
      </w:r>
      <w:r>
        <w:rPr>
          <w:rFonts w:ascii="Consolas" w:cs="Consolas" w:eastAsia="Consolas" w:hAnsi="Consolas"/>
          <w:b/>
          <w:bCs/>
          <w:color w:val="555555"/>
          <w:sz w:val="20"/>
          <w:szCs w:val="20"/>
        </w:rPr>
        <w:t xml:space="preserve">config/company_registry.py</w:t>
      </w:r>
    </w:p>
    <w:p>
      <w:pPr>
        <w:spacing w:after="140"/>
      </w:pPr>
      <w:r>
        <w:t xml:space="preserve">Problème concret : quand un scraper lit un nom sur un site (ex. "Assurances Maghrebia Vie"), comment reconnaître automatiquement qu'il s'agit du code interne </w:t>
      </w:r>
      <w:r>
        <w:rPr>
          <w:rFonts w:ascii="Consolas" w:cs="Consolas" w:eastAsia="Consolas" w:hAnsi="Consolas"/>
          <w:sz w:val="20"/>
          <w:szCs w:val="20"/>
        </w:rPr>
        <w:t xml:space="preserve">MAGHREBIA_VIE</w:t>
      </w:r>
      <w:r>
        <w:t xml:space="preserve"> et pas de </w:t>
      </w:r>
      <w:r>
        <w:rPr>
          <w:rFonts w:ascii="Consolas" w:cs="Consolas" w:eastAsia="Consolas" w:hAnsi="Consolas"/>
          <w:sz w:val="20"/>
          <w:szCs w:val="20"/>
        </w:rPr>
        <w:t xml:space="preserve">MAGHREBIA</w:t>
      </w:r>
      <w:r>
        <w:t xml:space="preserve"> (la maison-mère) ?</w:t>
      </w:r>
    </w:p>
    <w:p>
      <w:pPr>
        <w:spacing w:after="140"/>
      </w:pPr>
      <w:r>
        <w:rPr>
          <w:rFonts w:ascii="Consolas" w:cs="Consolas" w:eastAsia="Consolas" w:hAnsi="Consolas"/>
          <w:sz w:val="20"/>
          <w:szCs w:val="20"/>
        </w:rPr>
        <w:t xml:space="preserve">COMPANY_REGISTRY</w:t>
      </w:r>
      <w:r>
        <w:t xml:space="preserve"> (24 sociétés, </w:t>
      </w:r>
      <w:r>
        <w:rPr>
          <w:rFonts w:ascii="Consolas" w:cs="Consolas" w:eastAsia="Consolas" w:hAnsi="Consolas"/>
          <w:sz w:val="20"/>
          <w:szCs w:val="20"/>
        </w:rPr>
        <w:t xml:space="preserve">{cmf_name, aliases}</w:t>
      </w:r>
      <w:r>
        <w:t xml:space="preserve">) + </w:t>
      </w:r>
      <w:r>
        <w:rPr>
          <w:rFonts w:ascii="Consolas" w:cs="Consolas" w:eastAsia="Consolas" w:hAnsi="Consolas"/>
          <w:sz w:val="20"/>
          <w:szCs w:val="20"/>
        </w:rPr>
        <w:t xml:space="preserve">find_code_by_name()</w:t>
      </w:r>
      <w:r>
        <w:t xml:space="preserve"> : rapprochement par </w:t>
      </w:r>
      <w:r>
        <w:rPr>
          <w:b/>
          <w:bCs/>
        </w:rPr>
        <w:t xml:space="preserve">similarité de Jaccard pondérée</w:t>
      </w:r>
      <w:r>
        <w:t xml:space="preserve"> — chaque mot d'un alias est pondéré par l'inverse du nombre de sociétés qui le partagent. Un mot générique comme "ASSURANCES" (présent dans presque tous les noms) compte très peu ; un mot rare et distinctif comme "VIE" ou "MAGHREBIA" compte beaucoup plus. Sans cette pondération, deux sociétés au nom proche obtiendraient un score de correspondance quasi identique face à un même texte source.</w:t>
      </w:r>
    </w:p>
    <w:p>
      <w:pPr>
        <w:spacing w:after="140"/>
      </w:pPr>
      <w:r>
        <w:t xml:space="preserve">Bug réel corrigé grâce à cette pondération : "El Amana Takaful" était mal reconnu et confondu avec la société "AMI" (dont un alias est "El Ittihad") — les deux ne partageaient que le mot "EL", bien trop générique pour être un indice de correspondance fiable.</w:t>
      </w:r>
    </w:p>
    <w:p>
      <w:pPr>
        <w:pStyle w:val="Heading1"/>
        <w:spacing w:after="140" w:before="280"/>
      </w:pPr>
      <w:r>
        <w:rPr>
          <w:b/>
          <w:bCs/>
          <w:color w:val="2E2E38"/>
        </w:rPr>
        <w:t xml:space="preserve">4. Couche 2 — Persistance (base de données)</w:t>
      </w:r>
    </w:p>
    <w:p>
      <w:pPr>
        <w:spacing w:after="140"/>
      </w:pPr>
      <w:r>
        <w:rPr>
          <w:b/>
          <w:bCs/>
        </w:rPr>
        <w:t xml:space="preserve">MySQL 8</w:t>
      </w:r>
      <w:r>
        <w:t xml:space="preserve">, base </w:t>
      </w:r>
      <w:r>
        <w:rPr>
          <w:rFonts w:ascii="Consolas" w:cs="Consolas" w:eastAsia="Consolas" w:hAnsi="Consolas"/>
          <w:sz w:val="20"/>
          <w:szCs w:val="20"/>
        </w:rPr>
        <w:t xml:space="preserve">MarketInsurance</w:t>
      </w:r>
      <w:r>
        <w:t xml:space="preserve">, 6 tables (</w:t>
      </w:r>
      <w:r>
        <w:rPr>
          <w:rFonts w:ascii="Consolas" w:cs="Consolas" w:eastAsia="Consolas" w:hAnsi="Consolas"/>
          <w:sz w:val="20"/>
          <w:szCs w:val="20"/>
        </w:rPr>
        <w:t xml:space="preserve">database/schema.sql</w:t>
      </w:r>
      <w:r>
        <w:t xml:space="preserve">), accès via </w:t>
      </w:r>
      <w:r>
        <w:rPr>
          <w:rFonts w:ascii="Consolas" w:cs="Consolas" w:eastAsia="Consolas" w:hAnsi="Consolas"/>
          <w:sz w:val="20"/>
          <w:szCs w:val="20"/>
        </w:rPr>
        <w:t xml:space="preserve">pymysql</w:t>
      </w:r>
      <w:r>
        <w:t xml:space="preserve"> sans ORM (</w:t>
      </w:r>
      <w:r>
        <w:rPr>
          <w:rFonts w:ascii="Consolas" w:cs="Consolas" w:eastAsia="Consolas" w:hAnsi="Consolas"/>
          <w:sz w:val="20"/>
          <w:szCs w:val="20"/>
        </w:rPr>
        <w:t xml:space="preserve">database/repository.py</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1"/>
        <w:gridCol w:w="2236"/>
        <w:gridCol w:w="5159"/>
      </w:tblGrid>
      <w:tr>
        <w:trPr>
          <w:tblHeader/>
        </w:trPr>
        <w:tc>
          <w:tcPr>
            <w:tcW w:type="dxa" w:w="2351"/>
            <w:shd w:fill="2E2E38" w:val="clear"/>
            <w:tcMar>
              <w:top w:type="dxa" w:w="60"/>
              <w:left w:type="dxa" w:w="100"/>
              <w:bottom w:type="dxa" w:w="60"/>
              <w:right w:type="dxa" w:w="100"/>
            </w:tcMar>
          </w:tcPr>
          <w:p>
            <w:r>
              <w:rPr>
                <w:b/>
                <w:bCs/>
                <w:color w:val="FFFFFF"/>
                <w:sz w:val="19"/>
                <w:szCs w:val="19"/>
              </w:rPr>
              <w:t xml:space="preserve">Table</w:t>
            </w:r>
          </w:p>
        </w:tc>
        <w:tc>
          <w:tcPr>
            <w:tcW w:type="dxa" w:w="2236"/>
            <w:shd w:fill="2E2E38" w:val="clear"/>
            <w:tcMar>
              <w:top w:type="dxa" w:w="60"/>
              <w:left w:type="dxa" w:w="100"/>
              <w:bottom w:type="dxa" w:w="60"/>
              <w:right w:type="dxa" w:w="100"/>
            </w:tcMar>
          </w:tcPr>
          <w:p>
            <w:r>
              <w:rPr>
                <w:b/>
                <w:bCs/>
                <w:color w:val="FFFFFF"/>
                <w:sz w:val="19"/>
                <w:szCs w:val="19"/>
              </w:rPr>
              <w:t xml:space="preserve">Rôle</w:t>
            </w:r>
          </w:p>
        </w:tc>
        <w:tc>
          <w:tcPr>
            <w:tcW w:type="dxa" w:w="5159"/>
            <w:shd w:fill="2E2E38" w:val="clear"/>
            <w:tcMar>
              <w:top w:type="dxa" w:w="60"/>
              <w:left w:type="dxa" w:w="100"/>
              <w:bottom w:type="dxa" w:w="60"/>
              <w:right w:type="dxa" w:w="100"/>
            </w:tcMar>
          </w:tcPr>
          <w:p>
            <w:r>
              <w:rPr>
                <w:b/>
                <w:bCs/>
                <w:color w:val="FFFFFF"/>
                <w:sz w:val="19"/>
                <w:szCs w:val="19"/>
              </w:rPr>
              <w:t xml:space="preserve">Point clé</w:t>
            </w:r>
          </w:p>
        </w:tc>
      </w:tr>
      <w:tr>
        <w:tc>
          <w:tcPr>
            <w:tcW w:type="dxa" w:w="2351"/>
            <w:tcMar>
              <w:top w:type="dxa" w:w="50"/>
              <w:left w:type="dxa" w:w="100"/>
              <w:bottom w:type="dxa" w:w="50"/>
              <w:right w:type="dxa" w:w="100"/>
            </w:tcMar>
          </w:tcPr>
          <w:p>
            <w:r>
              <w:rPr>
                <w:rFonts w:ascii="Consolas" w:cs="Consolas" w:eastAsia="Consolas" w:hAnsi="Consolas"/>
                <w:sz w:val="19"/>
                <w:szCs w:val="19"/>
              </w:rPr>
              <w:t xml:space="preserve">sources</w:t>
            </w:r>
          </w:p>
        </w:tc>
        <w:tc>
          <w:tcPr>
            <w:tcW w:type="dxa" w:w="2236"/>
            <w:tcMar>
              <w:top w:type="dxa" w:w="50"/>
              <w:left w:type="dxa" w:w="100"/>
              <w:bottom w:type="dxa" w:w="50"/>
              <w:right w:type="dxa" w:w="100"/>
            </w:tcMar>
          </w:tcPr>
          <w:p>
            <w:r>
              <w:rPr>
                <w:sz w:val="19"/>
                <w:szCs w:val="19"/>
              </w:rPr>
              <w:t xml:space="preserve">CMF/FTUSA/CGA/INS/BVMT/ENQUETE</w:t>
            </w:r>
          </w:p>
        </w:tc>
        <w:tc>
          <w:tcPr>
            <w:tcW w:type="dxa" w:w="5159"/>
            <w:tcMar>
              <w:top w:type="dxa" w:w="50"/>
              <w:left w:type="dxa" w:w="100"/>
              <w:bottom w:type="dxa" w:w="50"/>
              <w:right w:type="dxa" w:w="100"/>
            </w:tcMar>
          </w:tcPr>
          <w:p>
            <w:r>
              <w:rPr>
                <w:sz w:val="19"/>
                <w:szCs w:val="19"/>
              </w:rPr>
              <w:t xml:space="preserve">Créée dynamiquement (</w:t>
            </w:r>
            <w:r>
              <w:rPr>
                <w:rFonts w:ascii="Consolas" w:cs="Consolas" w:eastAsia="Consolas" w:hAnsi="Consolas"/>
                <w:sz w:val="19"/>
                <w:szCs w:val="19"/>
              </w:rPr>
              <w:t xml:space="preserve">get_or_create_source</w:t>
            </w:r>
            <w:r>
              <w:rPr>
                <w:sz w:val="19"/>
                <w:szCs w:val="19"/>
              </w:rPr>
              <w:t xml:space="preserve">)</w:t>
            </w:r>
          </w:p>
        </w:tc>
      </w:tr>
      <w:tr>
        <w:tc>
          <w:tcPr>
            <w:tcW w:type="dxa" w:w="2351"/>
            <w:tcMar>
              <w:top w:type="dxa" w:w="50"/>
              <w:left w:type="dxa" w:w="100"/>
              <w:bottom w:type="dxa" w:w="50"/>
              <w:right w:type="dxa" w:w="100"/>
            </w:tcMar>
          </w:tcPr>
          <w:p>
            <w:r>
              <w:rPr>
                <w:rFonts w:ascii="Consolas" w:cs="Consolas" w:eastAsia="Consolas" w:hAnsi="Consolas"/>
                <w:sz w:val="19"/>
                <w:szCs w:val="19"/>
              </w:rPr>
              <w:t xml:space="preserve">cmf</w:t>
            </w:r>
          </w:p>
        </w:tc>
        <w:tc>
          <w:tcPr>
            <w:tcW w:type="dxa" w:w="2236"/>
            <w:tcMar>
              <w:top w:type="dxa" w:w="50"/>
              <w:left w:type="dxa" w:w="100"/>
              <w:bottom w:type="dxa" w:w="50"/>
              <w:right w:type="dxa" w:w="100"/>
            </w:tcMar>
          </w:tcPr>
          <w:p>
            <w:r>
              <w:rPr>
                <w:sz w:val="19"/>
                <w:szCs w:val="19"/>
              </w:rPr>
              <w:t xml:space="preserve">Référentiel des 24 sociétés</w:t>
            </w:r>
          </w:p>
        </w:tc>
        <w:tc>
          <w:tcPr>
            <w:tcW w:type="dxa" w:w="5159"/>
            <w:tcMar>
              <w:top w:type="dxa" w:w="50"/>
              <w:left w:type="dxa" w:w="100"/>
              <w:bottom w:type="dxa" w:w="50"/>
              <w:right w:type="dxa" w:w="100"/>
            </w:tcMar>
          </w:tcPr>
          <w:p>
            <w:r>
              <w:rPr>
                <w:sz w:val="19"/>
                <w:szCs w:val="19"/>
              </w:rPr>
              <w:t xml:space="preserve">Nom historique (hérité de l'époque "CMF only")</w:t>
            </w:r>
          </w:p>
        </w:tc>
      </w:tr>
      <w:tr>
        <w:tc>
          <w:tcPr>
            <w:tcW w:type="dxa" w:w="2351"/>
            <w:tcMar>
              <w:top w:type="dxa" w:w="50"/>
              <w:left w:type="dxa" w:w="100"/>
              <w:bottom w:type="dxa" w:w="50"/>
              <w:right w:type="dxa" w:w="100"/>
            </w:tcMar>
          </w:tcPr>
          <w:p>
            <w:r>
              <w:rPr>
                <w:rFonts w:ascii="Consolas" w:cs="Consolas" w:eastAsia="Consolas" w:hAnsi="Consolas"/>
                <w:sz w:val="19"/>
                <w:szCs w:val="19"/>
              </w:rPr>
              <w:t xml:space="preserve">documents</w:t>
            </w:r>
          </w:p>
        </w:tc>
        <w:tc>
          <w:tcPr>
            <w:tcW w:type="dxa" w:w="2236"/>
            <w:tcMar>
              <w:top w:type="dxa" w:w="50"/>
              <w:left w:type="dxa" w:w="100"/>
              <w:bottom w:type="dxa" w:w="50"/>
              <w:right w:type="dxa" w:w="100"/>
            </w:tcMar>
          </w:tcPr>
          <w:p>
            <w:r>
              <w:rPr>
                <w:sz w:val="19"/>
                <w:szCs w:val="19"/>
              </w:rPr>
              <w:t xml:space="preserve">1 ligne par PDF/fichier collecté</w:t>
            </w:r>
          </w:p>
        </w:tc>
        <w:tc>
          <w:tcPr>
            <w:tcW w:type="dxa" w:w="5159"/>
            <w:tcMar>
              <w:top w:type="dxa" w:w="50"/>
              <w:left w:type="dxa" w:w="100"/>
              <w:bottom w:type="dxa" w:w="50"/>
              <w:right w:type="dxa" w:w="100"/>
            </w:tcMar>
          </w:tcPr>
          <w:p>
            <w:r>
              <w:rPr>
                <w:rFonts w:ascii="Consolas" w:cs="Consolas" w:eastAsia="Consolas" w:hAnsi="Consolas"/>
                <w:sz w:val="19"/>
                <w:szCs w:val="19"/>
              </w:rPr>
              <w:t xml:space="preserve">cmf_id</w:t>
            </w:r>
            <w:r>
              <w:rPr>
                <w:sz w:val="19"/>
                <w:szCs w:val="19"/>
              </w:rPr>
              <w:t xml:space="preserve"> </w:t>
            </w:r>
            <w:r>
              <w:rPr>
                <w:b/>
                <w:bCs/>
                <w:sz w:val="19"/>
                <w:szCs w:val="19"/>
              </w:rPr>
              <w:t xml:space="preserve">nullable</w:t>
            </w:r>
            <w:r>
              <w:rPr>
                <w:sz w:val="19"/>
                <w:szCs w:val="19"/>
              </w:rPr>
              <w:t xml:space="preserve"> pour les documents sectoriels (FTUSA/CGA/INS n'ont pas de société associée) ; clé unique </w:t>
            </w:r>
            <w:r>
              <w:rPr>
                <w:rFonts w:ascii="Consolas" w:cs="Consolas" w:eastAsia="Consolas" w:hAnsi="Consolas"/>
                <w:sz w:val="19"/>
                <w:szCs w:val="19"/>
              </w:rPr>
              <w:t xml:space="preserve">(source_id, cmf_id, annee)</w:t>
            </w:r>
          </w:p>
        </w:tc>
      </w:tr>
      <w:tr>
        <w:tc>
          <w:tcPr>
            <w:tcW w:type="dxa" w:w="2351"/>
            <w:tcMar>
              <w:top w:type="dxa" w:w="50"/>
              <w:left w:type="dxa" w:w="100"/>
              <w:bottom w:type="dxa" w:w="50"/>
              <w:right w:type="dxa" w:w="100"/>
            </w:tcMar>
          </w:tcPr>
          <w:p>
            <w:r>
              <w:rPr>
                <w:rFonts w:ascii="Consolas" w:cs="Consolas" w:eastAsia="Consolas" w:hAnsi="Consolas"/>
                <w:sz w:val="19"/>
                <w:szCs w:val="19"/>
              </w:rPr>
              <w:t xml:space="preserve">kpi_values</w:t>
            </w:r>
          </w:p>
        </w:tc>
        <w:tc>
          <w:tcPr>
            <w:tcW w:type="dxa" w:w="2236"/>
            <w:tcMar>
              <w:top w:type="dxa" w:w="50"/>
              <w:left w:type="dxa" w:w="100"/>
              <w:bottom w:type="dxa" w:w="50"/>
              <w:right w:type="dxa" w:w="100"/>
            </w:tcMar>
          </w:tcPr>
          <w:p>
            <w:r>
              <w:rPr>
                <w:sz w:val="19"/>
                <w:szCs w:val="19"/>
              </w:rPr>
              <w:t xml:space="preserve">Valeurs extraites</w:t>
            </w:r>
          </w:p>
        </w:tc>
        <w:tc>
          <w:tcPr>
            <w:tcW w:type="dxa" w:w="5159"/>
            <w:tcMar>
              <w:top w:type="dxa" w:w="50"/>
              <w:left w:type="dxa" w:w="100"/>
              <w:bottom w:type="dxa" w:w="50"/>
              <w:right w:type="dxa" w:w="100"/>
            </w:tcMar>
          </w:tcPr>
          <w:p>
            <w:r>
              <w:rPr>
                <w:sz w:val="19"/>
                <w:szCs w:val="19"/>
              </w:rPr>
              <w:t xml:space="preserve">Clé unique </w:t>
            </w:r>
            <w:r>
              <w:rPr>
                <w:rFonts w:ascii="Consolas" w:cs="Consolas" w:eastAsia="Consolas" w:hAnsi="Consolas"/>
                <w:sz w:val="19"/>
                <w:szCs w:val="19"/>
              </w:rPr>
              <w:t xml:space="preserve">(document_id, tableau, kpi)</w:t>
            </w:r>
            <w:r>
              <w:rPr>
                <w:sz w:val="19"/>
                <w:szCs w:val="19"/>
              </w:rPr>
              <w:t xml:space="preserve"> — </w:t>
            </w:r>
            <w:r>
              <w:rPr>
                <w:b/>
                <w:bCs/>
                <w:sz w:val="19"/>
                <w:szCs w:val="19"/>
              </w:rPr>
              <w:t xml:space="preserve">`tableau` fait partie de la clé</w:t>
            </w:r>
            <w:r>
              <w:rPr>
                <w:sz w:val="19"/>
                <w:szCs w:val="19"/>
              </w:rPr>
              <w:t xml:space="preserve"> pour qu'un même nom de KPI produit par deux tableaux différents (ex. Bilan vs Calcul interne) ne s'écrase jamais silencieusement</w:t>
            </w:r>
          </w:p>
        </w:tc>
      </w:tr>
      <w:tr>
        <w:tc>
          <w:tcPr>
            <w:tcW w:type="dxa" w:w="2351"/>
            <w:tcMar>
              <w:top w:type="dxa" w:w="50"/>
              <w:left w:type="dxa" w:w="100"/>
              <w:bottom w:type="dxa" w:w="50"/>
              <w:right w:type="dxa" w:w="100"/>
            </w:tcMar>
          </w:tcPr>
          <w:p>
            <w:r>
              <w:rPr>
                <w:rFonts w:ascii="Consolas" w:cs="Consolas" w:eastAsia="Consolas" w:hAnsi="Consolas"/>
                <w:sz w:val="19"/>
                <w:szCs w:val="19"/>
              </w:rPr>
              <w:t xml:space="preserve">anomalies_detectees</w:t>
            </w:r>
          </w:p>
        </w:tc>
        <w:tc>
          <w:tcPr>
            <w:tcW w:type="dxa" w:w="2236"/>
            <w:tcMar>
              <w:top w:type="dxa" w:w="50"/>
              <w:left w:type="dxa" w:w="100"/>
              <w:bottom w:type="dxa" w:w="50"/>
              <w:right w:type="dxa" w:w="100"/>
            </w:tcMar>
          </w:tcPr>
          <w:p>
            <w:r>
              <w:rPr>
                <w:sz w:val="19"/>
                <w:szCs w:val="19"/>
              </w:rPr>
              <w:t xml:space="preserve">Anomalies + historique du score qualité</w:t>
            </w:r>
          </w:p>
        </w:tc>
        <w:tc>
          <w:tcPr>
            <w:tcW w:type="dxa" w:w="5159"/>
            <w:tcMar>
              <w:top w:type="dxa" w:w="50"/>
              <w:left w:type="dxa" w:w="100"/>
              <w:bottom w:type="dxa" w:w="50"/>
              <w:right w:type="dxa" w:w="100"/>
            </w:tcMar>
          </w:tcPr>
          <w:p>
            <w:r>
              <w:rPr>
                <w:sz w:val="19"/>
                <w:szCs w:val="19"/>
              </w:rPr>
              <w:t xml:space="preserve">Table à double usage : anomalies ponctuelles ET instantanés de tendance qualité</w:t>
            </w:r>
          </w:p>
        </w:tc>
      </w:tr>
      <w:tr>
        <w:tc>
          <w:tcPr>
            <w:tcW w:type="dxa" w:w="2351"/>
            <w:tcMar>
              <w:top w:type="dxa" w:w="50"/>
              <w:left w:type="dxa" w:w="100"/>
              <w:bottom w:type="dxa" w:w="50"/>
              <w:right w:type="dxa" w:w="100"/>
            </w:tcMar>
          </w:tcPr>
          <w:p>
            <w:r>
              <w:rPr>
                <w:rFonts w:ascii="Consolas" w:cs="Consolas" w:eastAsia="Consolas" w:hAnsi="Consolas"/>
                <w:sz w:val="19"/>
                <w:szCs w:val="19"/>
              </w:rPr>
              <w:t xml:space="preserve">notifications</w:t>
            </w:r>
          </w:p>
        </w:tc>
        <w:tc>
          <w:tcPr>
            <w:tcW w:type="dxa" w:w="2236"/>
            <w:tcMar>
              <w:top w:type="dxa" w:w="50"/>
              <w:left w:type="dxa" w:w="100"/>
              <w:bottom w:type="dxa" w:w="50"/>
              <w:right w:type="dxa" w:w="100"/>
            </w:tcMar>
          </w:tcPr>
          <w:p>
            <w:r>
              <w:rPr>
                <w:sz w:val="19"/>
                <w:szCs w:val="19"/>
              </w:rPr>
              <w:t xml:space="preserve">Cloche in-app</w:t>
            </w:r>
          </w:p>
        </w:tc>
        <w:tc>
          <w:tcPr>
            <w:tcW w:type="dxa" w:w="5159"/>
            <w:tcMar>
              <w:top w:type="dxa" w:w="50"/>
              <w:left w:type="dxa" w:w="100"/>
              <w:bottom w:type="dxa" w:w="50"/>
              <w:right w:type="dxa" w:w="100"/>
            </w:tcMar>
          </w:tcPr>
          <w:p>
            <w:r>
              <w:rPr>
                <w:sz w:val="19"/>
                <w:szCs w:val="19"/>
              </w:rPr>
              <w:t xml:space="preserve">Types : nouveau_document, anomalie_critique, echec_pipeline, nouvelle_actualite, nouvelle_reglementation</w:t>
            </w:r>
          </w:p>
        </w:tc>
      </w:tr>
      <w:tr>
        <w:tc>
          <w:tcPr>
            <w:tcW w:type="dxa" w:w="2351"/>
            <w:tcMar>
              <w:top w:type="dxa" w:w="50"/>
              <w:left w:type="dxa" w:w="100"/>
              <w:bottom w:type="dxa" w:w="50"/>
              <w:right w:type="dxa" w:w="100"/>
            </w:tcMar>
          </w:tcPr>
          <w:p>
            <w:r>
              <w:rPr>
                <w:rFonts w:ascii="Consolas" w:cs="Consolas" w:eastAsia="Consolas" w:hAnsi="Consolas"/>
                <w:sz w:val="19"/>
                <w:szCs w:val="19"/>
              </w:rPr>
              <w:t xml:space="preserve">actualites_vues</w:t>
            </w:r>
            <w:r>
              <w:rPr>
                <w:sz w:val="19"/>
                <w:szCs w:val="19"/>
              </w:rPr>
              <w:t xml:space="preserve"> / </w:t>
            </w:r>
            <w:r>
              <w:rPr>
                <w:rFonts w:ascii="Consolas" w:cs="Consolas" w:eastAsia="Consolas" w:hAnsi="Consolas"/>
                <w:sz w:val="19"/>
                <w:szCs w:val="19"/>
              </w:rPr>
              <w:t xml:space="preserve">reglementation_vues</w:t>
            </w:r>
          </w:p>
        </w:tc>
        <w:tc>
          <w:tcPr>
            <w:tcW w:type="dxa" w:w="2236"/>
            <w:tcMar>
              <w:top w:type="dxa" w:w="50"/>
              <w:left w:type="dxa" w:w="100"/>
              <w:bottom w:type="dxa" w:w="50"/>
              <w:right w:type="dxa" w:w="100"/>
            </w:tcMar>
          </w:tcPr>
          <w:p>
            <w:r>
              <w:rPr>
                <w:sz w:val="19"/>
                <w:szCs w:val="19"/>
              </w:rPr>
              <w:t xml:space="preserve">Déduplication veille</w:t>
            </w:r>
          </w:p>
        </w:tc>
        <w:tc>
          <w:tcPr>
            <w:tcW w:type="dxa" w:w="5159"/>
            <w:tcMar>
              <w:top w:type="dxa" w:w="50"/>
              <w:left w:type="dxa" w:w="100"/>
              <w:bottom w:type="dxa" w:w="50"/>
              <w:right w:type="dxa" w:w="100"/>
            </w:tcMar>
          </w:tcPr>
          <w:p>
            <w:r>
              <w:rPr>
                <w:sz w:val="19"/>
                <w:szCs w:val="19"/>
              </w:rPr>
              <w:t xml:space="preserve">Clé = URL/identifiant, garde "premier passage" anti-avalanche</w:t>
            </w:r>
          </w:p>
        </w:tc>
      </w:tr>
    </w:tbl>
    <w:p>
      <w:pPr>
        <w:spacing w:after="160"/>
      </w:pPr>
    </w:p>
    <w:p>
      <w:pPr>
        <w:spacing w:after="140"/>
      </w:pPr>
      <w:r>
        <w:rPr>
          <w:b/>
          <w:bCs/>
        </w:rPr>
        <w:t xml:space="preserve">Pourquoi MySQL plutôt que PostgreSQL/SQLite</w:t>
      </w:r>
      <w:r>
        <w:t xml:space="preserve"> : volume modéré (~300 documents, ~14 000 valeurs de KPI) ne justifiant pas les fonctionnalités avancées de Postgres ; MySQL reste un choix standard, bien supporté par </w:t>
      </w:r>
      <w:r>
        <w:rPr>
          <w:rFonts w:ascii="Consolas" w:cs="Consolas" w:eastAsia="Consolas" w:hAnsi="Consolas"/>
          <w:sz w:val="20"/>
          <w:szCs w:val="20"/>
        </w:rPr>
        <w:t xml:space="preserve">pymysql</w:t>
      </w:r>
      <w:r>
        <w:t xml:space="preserve">, et suffisant pour ce volume avec de simples index/contraintes uniques.</w:t>
      </w:r>
    </w:p>
    <w:p>
      <w:pPr>
        <w:spacing w:after="140"/>
      </w:pPr>
      <w:r>
        <w:rPr>
          <w:b/>
          <w:bCs/>
        </w:rPr>
        <w:t xml:space="preserve">Migrations idempotentes</w:t>
      </w:r>
      <w:r>
        <w:t xml:space="preserve"> (</w:t>
      </w:r>
      <w:r>
        <w:rPr>
          <w:rFonts w:ascii="Consolas" w:cs="Consolas" w:eastAsia="Consolas" w:hAnsi="Consolas"/>
          <w:sz w:val="20"/>
          <w:szCs w:val="20"/>
        </w:rPr>
        <w:t xml:space="preserve">init_schema()</w:t>
      </w:r>
      <w:r>
        <w:t xml:space="preserve">, appelée à chaque démarrage de l'API) : basées sur </w:t>
      </w:r>
      <w:r>
        <w:rPr>
          <w:rFonts w:ascii="Consolas" w:cs="Consolas" w:eastAsia="Consolas" w:hAnsi="Consolas"/>
          <w:sz w:val="20"/>
          <w:szCs w:val="20"/>
        </w:rPr>
        <w:t xml:space="preserve">information_schema</w:t>
      </w:r>
      <w:r>
        <w:t xml:space="preserve">/</w:t>
      </w:r>
      <w:r>
        <w:rPr>
          <w:rFonts w:ascii="Consolas" w:cs="Consolas" w:eastAsia="Consolas" w:hAnsi="Consolas"/>
          <w:sz w:val="20"/>
          <w:szCs w:val="20"/>
        </w:rPr>
        <w:t xml:space="preserve">SHOW INDEX</w:t>
      </w:r>
      <w:r>
        <w:t xml:space="preserve">, jamais de </w:t>
      </w:r>
      <w:r>
        <w:rPr>
          <w:rFonts w:ascii="Consolas" w:cs="Consolas" w:eastAsia="Consolas" w:hAnsi="Consolas"/>
          <w:sz w:val="20"/>
          <w:szCs w:val="20"/>
        </w:rPr>
        <w:t xml:space="preserve">DROP TABLE</w:t>
      </w:r>
      <w:r>
        <w:t xml:space="preserve"> — permet de faire évoluer le schéma sans script de migration séparé à exécuter manuellement. Un vrai bug de production (juillet 2026) a été corrigé ici : une migration devait retirer une clé étrangère </w:t>
      </w:r>
      <w:r>
        <w:rPr>
          <w:b/>
          <w:bCs/>
        </w:rPr>
        <w:t xml:space="preserve">avant</w:t>
      </w:r>
      <w:r>
        <w:t xml:space="preserve"> de supprimer l'ancien index unique qui la supportait (erreur MySQL "Cannot drop index ... needed in a foreign key constraint").</w:t>
      </w:r>
    </w:p>
    <w:p>
      <w:pPr>
        <w:spacing w:after="140"/>
      </w:pPr>
      <w:r>
        <w:rPr>
          <w:b/>
          <w:bCs/>
        </w:rPr>
        <w:t xml:space="preserve">Principe non négociable, répété dans tout le code</w:t>
      </w:r>
      <w:r>
        <w:t xml:space="preserve"> : *aucune valeur manquante n'est jamais reconstituée* — pas d'interpolation, pas de report d'année précédente, pas de moyenne sectorielle. Un KPI absent reste </w:t>
      </w:r>
      <w:r>
        <w:rPr>
          <w:rFonts w:ascii="Consolas" w:cs="Consolas" w:eastAsia="Consolas" w:hAnsi="Consolas"/>
          <w:sz w:val="20"/>
          <w:szCs w:val="20"/>
        </w:rPr>
        <w:t xml:space="preserve">NULL</w:t>
      </w:r>
      <w:r>
        <w:t xml:space="preserve"> jusqu'au frontend, qui affiche "N/D".</w:t>
      </w:r>
    </w:p>
    <w:p>
      <w:pPr>
        <w:pStyle w:val="Heading1"/>
        <w:spacing w:after="140" w:before="280"/>
      </w:pPr>
      <w:r>
        <w:rPr>
          <w:b/>
          <w:bCs/>
          <w:color w:val="2E2E38"/>
        </w:rPr>
        <w:t xml:space="preserve">5. Couche 3 — Extraction PDF</w:t>
      </w:r>
    </w:p>
    <w:p>
      <w:pPr>
        <w:spacing w:after="140"/>
      </w:pPr>
      <w:r>
        <w:rPr>
          <w:b/>
          <w:bCs/>
        </w:rPr>
        <w:t xml:space="preserve">C'est le cœur technique et le plus différenciant du projet</w:t>
      </w:r>
      <w:r>
        <w:t xml:space="preserve"> : transformer des PDF hétérogènes (natifs propres, scannés, pivotés, corrompus, en arabe) en valeurs numériques fiables.</w:t>
      </w:r>
    </w:p>
    <w:p>
      <w:pPr>
        <w:pStyle w:val="Heading2"/>
        <w:spacing w:after="140" w:before="280"/>
      </w:pPr>
      <w:r>
        <w:rPr>
          <w:b/>
          <w:bCs/>
          <w:color w:val="555555"/>
        </w:rPr>
        <w:t xml:space="preserve">5.1 Principe fondateur et choix d'outil</w:t>
      </w:r>
    </w:p>
    <w:p>
      <w:pPr>
        <w:spacing w:after="140"/>
      </w:pPr>
      <w:r>
        <w:rPr>
          <w:b/>
          <w:bCs/>
        </w:rPr>
        <w:t xml:space="preserve">Choix : ne jamais utiliser `pdfplumber.extract_tables()`.</w:t>
      </w:r>
      <w:r>
        <w:t xml:space="preserve"> Jugé peu fiable sur les PDF réels (cellules fusionnées, alignements variables selon la société). À la place, reconstruction manuelle des lignes/colonnes à partir de </w:t>
      </w:r>
      <w:r>
        <w:rPr>
          <w:rFonts w:ascii="Consolas" w:cs="Consolas" w:eastAsia="Consolas" w:hAnsi="Consolas"/>
          <w:sz w:val="20"/>
          <w:szCs w:val="20"/>
        </w:rPr>
        <w:t xml:space="preserve">page.extract_words()</w:t>
      </w:r>
      <w:r>
        <w:t xml:space="preserve"> (mots + coordonnées x/y) :</w:t>
      </w:r>
    </w:p>
    <w:p>
      <w:pPr>
        <w:pStyle w:val="ListParagraph"/>
        <w:numPr>
          <w:ilvl w:val="0"/>
          <w:numId w:val="1"/>
        </w:numPr>
        <w:spacing w:after="80"/>
      </w:pPr>
      <w:r>
        <w:rPr>
          <w:rFonts w:ascii="Consolas" w:cs="Consolas" w:eastAsia="Consolas" w:hAnsi="Consolas"/>
          <w:sz w:val="20"/>
          <w:szCs w:val="20"/>
        </w:rPr>
        <w:t xml:space="preserve">_cluster_lines()</w:t>
      </w:r>
      <w:r>
        <w:t xml:space="preserve"> regroupe les mots dont le </w:t>
      </w:r>
      <w:r>
        <w:rPr>
          <w:rFonts w:ascii="Consolas" w:cs="Consolas" w:eastAsia="Consolas" w:hAnsi="Consolas"/>
          <w:sz w:val="20"/>
          <w:szCs w:val="20"/>
        </w:rPr>
        <w:t xml:space="preserve">top</w:t>
      </w:r>
      <w:r>
        <w:t xml:space="preserve"> diffère de moins de 5pt → lignes visuelles.</w:t>
      </w:r>
    </w:p>
    <w:p>
      <w:pPr>
        <w:pStyle w:val="ListParagraph"/>
        <w:numPr>
          <w:ilvl w:val="0"/>
          <w:numId w:val="1"/>
        </w:numPr>
        <w:spacing w:after="80"/>
      </w:pPr>
      <w:r>
        <w:rPr>
          <w:rFonts w:ascii="Consolas" w:cs="Consolas" w:eastAsia="Consolas" w:hAnsi="Consolas"/>
          <w:sz w:val="20"/>
          <w:szCs w:val="20"/>
        </w:rPr>
        <w:t xml:space="preserve">_extract_numeric_clusters()</w:t>
      </w:r>
      <w:r>
        <w:t xml:space="preserve"> regroupe les tokens numériques consécutifs (écart &lt;4pt) → colonnes.</w:t>
      </w:r>
    </w:p>
    <w:p>
      <w:pPr>
        <w:spacing w:after="140"/>
      </w:pPr>
      <w:r>
        <w:rPr>
          <w:b/>
          <w:bCs/>
        </w:rPr>
        <w:t xml:space="preserve">Règle d'or</w:t>
      </w:r>
      <w:r>
        <w:t xml:space="preserve"> : "aucune donnée plutôt qu'une donnée fausse" — chaque extracteur applique des garde-fous de plausibilité (bornes min/max) plutôt que de faire confiance aveuglément à l'OCR.</w:t>
      </w:r>
    </w:p>
    <w:p>
      <w:pPr>
        <w:pStyle w:val="Heading2"/>
        <w:spacing w:after="140" w:before="280"/>
      </w:pPr>
      <w:r>
        <w:rPr>
          <w:b/>
          <w:bCs/>
          <w:color w:val="555555"/>
        </w:rPr>
        <w:t xml:space="preserve">5.2 Bascule texte natif ↔ OCR — </w:t>
      </w:r>
      <w:r>
        <w:rPr>
          <w:rFonts w:ascii="Consolas" w:cs="Consolas" w:eastAsia="Consolas" w:hAnsi="Consolas"/>
          <w:b/>
          <w:bCs/>
          <w:color w:val="555555"/>
          <w:sz w:val="20"/>
          <w:szCs w:val="20"/>
        </w:rPr>
        <w:t xml:space="preserve">_OcrFallbackPage</w:t>
      </w:r>
    </w:p>
    <w:p>
      <w:pPr>
        <w:spacing w:after="140"/>
      </w:pPr>
      <w:r>
        <w:t xml:space="preserve">Enveloppe transparente autour d'une page pdfplumber, qui décide </w:t>
      </w:r>
      <w:r>
        <w:rPr>
          <w:b/>
          <w:bCs/>
        </w:rPr>
        <w:t xml:space="preserve">dynamiquement par page</w:t>
      </w:r>
      <w:r>
        <w:t xml:space="preserve"> :</w:t>
      </w:r>
    </w:p>
    <w:p>
      <w:pPr>
        <w:pStyle w:val="ListParagraph"/>
        <w:numPr>
          <w:ilvl w:val="0"/>
          <w:numId w:val="1"/>
        </w:numPr>
        <w:spacing w:after="80"/>
      </w:pPr>
      <w:r>
        <w:t xml:space="preserve">Texte natif si présent et suffisamment long (seuil 20 caractères).</w:t>
      </w:r>
    </w:p>
    <w:p>
      <w:pPr>
        <w:pStyle w:val="ListParagraph"/>
        <w:numPr>
          <w:ilvl w:val="0"/>
          <w:numId w:val="1"/>
        </w:numPr>
        <w:spacing w:after="80"/>
      </w:pPr>
      <w:r>
        <w:t xml:space="preserve">Sinon, bascule OCR.</w:t>
      </w:r>
    </w:p>
    <w:p>
      <w:pPr>
        <w:pStyle w:val="ListParagraph"/>
        <w:numPr>
          <w:ilvl w:val="0"/>
          <w:numId w:val="1"/>
        </w:numPr>
        <w:spacing w:after="80"/>
      </w:pPr>
      <w:r>
        <w:t xml:space="preserve">Un mode </w:t>
      </w:r>
      <w:r>
        <w:rPr>
          <w:rFonts w:ascii="Consolas" w:cs="Consolas" w:eastAsia="Consolas" w:hAnsi="Consolas"/>
          <w:sz w:val="20"/>
          <w:szCs w:val="20"/>
        </w:rPr>
        <w:t xml:space="preserve">force=True</w:t>
      </w:r>
      <w:r>
        <w:t xml:space="preserve"> (2ᵉ passe, seulement si un KPI-clé manque encore) </w:t>
      </w:r>
      <w:r>
        <w:rPr>
          <w:b/>
          <w:bCs/>
        </w:rPr>
        <w:t xml:space="preserve">impose l'OCR même si du texte natif existe</w:t>
      </w:r>
      <w:r>
        <w:t xml:space="preserve"> — nécessaire pour le cas d'une page dont le texte est vectoriel mais l'</w:t>
      </w:r>
      <w:r>
        <w:rPr>
          <w:b/>
          <w:bCs/>
        </w:rPr>
        <w:t xml:space="preserve">encodage de police corrompu</w:t>
      </w:r>
      <w:r>
        <w:t xml:space="preserve"> (ex. BH 2020 : "3992 196 2r9o 892 rSol 3o4" — assez long pour passer le seuil de 20 caractères, mais inexploitable numériquement).</w:t>
      </w:r>
    </w:p>
    <w:p>
      <w:pPr>
        <w:spacing w:after="140"/>
      </w:pPr>
      <w:r>
        <w:rPr>
          <w:b/>
          <w:bCs/>
        </w:rPr>
        <w:t xml:space="preserve">Pourquoi Tesseract et pas une API OCR cloud (Google Vision, AWS Textract, etc.)</w:t>
      </w:r>
      <w:r>
        <w:t xml:space="preserve"> : solution locale, gratuite, sans dépendance réseau ni coût récurrent, avec les modèles linguistiques requis (français + arabe) disponibles nativement.</w:t>
      </w:r>
    </w:p>
    <w:p>
      <w:pPr>
        <w:spacing w:after="140"/>
      </w:pPr>
      <w:r>
        <w:rPr>
          <w:b/>
          <w:bCs/>
        </w:rPr>
        <w:t xml:space="preserve">Paramétrage OCR</w:t>
      </w:r>
      <w:r>
        <w:t xml:space="preserve"> : résolution </w:t>
      </w:r>
      <w:r>
        <w:rPr>
          <w:b/>
          <w:bCs/>
        </w:rPr>
        <w:t xml:space="preserve">300 dpi</w:t>
      </w:r>
      <w:r>
        <w:t xml:space="preserve">, </w:t>
      </w:r>
      <w:r>
        <w:rPr>
          <w:rFonts w:ascii="Consolas" w:cs="Consolas" w:eastAsia="Consolas" w:hAnsi="Consolas"/>
          <w:sz w:val="20"/>
          <w:szCs w:val="20"/>
        </w:rPr>
        <w:t xml:space="preserve">--psm 6</w:t>
      </w:r>
      <w:r>
        <w:t xml:space="preserve"> ("bloc de texte uniforme") — le mode par défaut (</w:t>
      </w:r>
      <w:r>
        <w:rPr>
          <w:rFonts w:ascii="Consolas" w:cs="Consolas" w:eastAsia="Consolas" w:hAnsi="Consolas"/>
          <w:sz w:val="20"/>
          <w:szCs w:val="20"/>
        </w:rPr>
        <w:t xml:space="preserve">psm 3</w:t>
      </w:r>
      <w:r>
        <w:t xml:space="preserve">) fusionnait des mots adjacents sur les tableaux denses (constaté sur STAR 2025), cassant la reconnaissance du libellé.</w:t>
      </w:r>
    </w:p>
    <w:p>
      <w:pPr>
        <w:pStyle w:val="Heading2"/>
        <w:spacing w:after="140" w:before="280"/>
      </w:pPr>
      <w:r>
        <w:rPr>
          <w:b/>
          <w:bCs/>
          <w:color w:val="555555"/>
        </w:rPr>
        <w:t xml:space="preserve">5.3 Extracteurs spécialisés par tableau (</w:t>
      </w:r>
      <w:r>
        <w:rPr>
          <w:rFonts w:ascii="Consolas" w:cs="Consolas" w:eastAsia="Consolas" w:hAnsi="Consolas"/>
          <w:b/>
          <w:bCs/>
          <w:color w:val="555555"/>
          <w:sz w:val="20"/>
          <w:szCs w:val="20"/>
        </w:rPr>
        <w:t xml:space="preserve">extraction/</w:t>
      </w:r>
      <w:r>
        <w:rPr>
          <w:b/>
          <w:bCs/>
          <w:color w:val="555555"/>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3"/>
        <w:gridCol w:w="1742"/>
        <w:gridCol w:w="4901"/>
      </w:tblGrid>
      <w:tr>
        <w:trPr>
          <w:tblHeader/>
        </w:trPr>
        <w:tc>
          <w:tcPr>
            <w:tcW w:type="dxa" w:w="3103"/>
            <w:shd w:fill="2E2E38" w:val="clear"/>
            <w:tcMar>
              <w:top w:type="dxa" w:w="60"/>
              <w:left w:type="dxa" w:w="100"/>
              <w:bottom w:type="dxa" w:w="60"/>
              <w:right w:type="dxa" w:w="100"/>
            </w:tcMar>
          </w:tcPr>
          <w:p>
            <w:r>
              <w:rPr>
                <w:b/>
                <w:bCs/>
                <w:color w:val="FFFFFF"/>
                <w:sz w:val="19"/>
                <w:szCs w:val="19"/>
              </w:rPr>
              <w:t xml:space="preserve">Extracteur</w:t>
            </w:r>
          </w:p>
        </w:tc>
        <w:tc>
          <w:tcPr>
            <w:tcW w:type="dxa" w:w="1742"/>
            <w:shd w:fill="2E2E38" w:val="clear"/>
            <w:tcMar>
              <w:top w:type="dxa" w:w="60"/>
              <w:left w:type="dxa" w:w="100"/>
              <w:bottom w:type="dxa" w:w="60"/>
              <w:right w:type="dxa" w:w="100"/>
            </w:tcMar>
          </w:tcPr>
          <w:p>
            <w:r>
              <w:rPr>
                <w:b/>
                <w:bCs/>
                <w:color w:val="FFFFFF"/>
                <w:sz w:val="19"/>
                <w:szCs w:val="19"/>
              </w:rPr>
              <w:t xml:space="preserve">Tableau source</w:t>
            </w:r>
          </w:p>
        </w:tc>
        <w:tc>
          <w:tcPr>
            <w:tcW w:type="dxa" w:w="4901"/>
            <w:shd w:fill="2E2E38" w:val="clear"/>
            <w:tcMar>
              <w:top w:type="dxa" w:w="60"/>
              <w:left w:type="dxa" w:w="100"/>
              <w:bottom w:type="dxa" w:w="60"/>
              <w:right w:type="dxa" w:w="100"/>
            </w:tcMar>
          </w:tcPr>
          <w:p>
            <w:r>
              <w:rPr>
                <w:b/>
                <w:bCs/>
                <w:color w:val="FFFFFF"/>
                <w:sz w:val="19"/>
                <w:szCs w:val="19"/>
              </w:rPr>
              <w:t xml:space="preserve">Particularité</w:t>
            </w:r>
          </w:p>
        </w:tc>
      </w:tr>
      <w:tr>
        <w:tc>
          <w:tcPr>
            <w:tcW w:type="dxa" w:w="3103"/>
            <w:tcMar>
              <w:top w:type="dxa" w:w="50"/>
              <w:left w:type="dxa" w:w="100"/>
              <w:bottom w:type="dxa" w:w="50"/>
              <w:right w:type="dxa" w:w="100"/>
            </w:tcMar>
          </w:tcPr>
          <w:p>
            <w:r>
              <w:rPr>
                <w:rFonts w:ascii="Consolas" w:cs="Consolas" w:eastAsia="Consolas" w:hAnsi="Consolas"/>
                <w:sz w:val="19"/>
                <w:szCs w:val="19"/>
              </w:rPr>
              <w:t xml:space="preserve">bilan_kpi_extractor.py</w:t>
            </w:r>
          </w:p>
        </w:tc>
        <w:tc>
          <w:tcPr>
            <w:tcW w:type="dxa" w:w="1742"/>
            <w:tcMar>
              <w:top w:type="dxa" w:w="50"/>
              <w:left w:type="dxa" w:w="100"/>
              <w:bottom w:type="dxa" w:w="50"/>
              <w:right w:type="dxa" w:w="100"/>
            </w:tcMar>
          </w:tcPr>
          <w:p>
            <w:r>
              <w:rPr>
                <w:sz w:val="19"/>
                <w:szCs w:val="19"/>
              </w:rPr>
              <w:t xml:space="preserve">Bilan Actif/Passif</w:t>
            </w:r>
          </w:p>
        </w:tc>
        <w:tc>
          <w:tcPr>
            <w:tcW w:type="dxa" w:w="4901"/>
            <w:tcMar>
              <w:top w:type="dxa" w:w="50"/>
              <w:left w:type="dxa" w:w="100"/>
              <w:bottom w:type="dxa" w:w="50"/>
              <w:right w:type="dxa" w:w="100"/>
            </w:tcMar>
          </w:tcPr>
          <w:p>
            <w:r>
              <w:rPr>
                <w:sz w:val="19"/>
                <w:szCs w:val="19"/>
              </w:rPr>
              <w:t xml:space="preserve">Repérage par codes réglementaires du plan comptable tunisien (AC1-AC7/PA1-PA7) comme ancres fiables</w:t>
            </w:r>
          </w:p>
        </w:tc>
      </w:tr>
      <w:tr>
        <w:tc>
          <w:tcPr>
            <w:tcW w:type="dxa" w:w="3103"/>
            <w:tcMar>
              <w:top w:type="dxa" w:w="50"/>
              <w:left w:type="dxa" w:w="100"/>
              <w:bottom w:type="dxa" w:w="50"/>
              <w:right w:type="dxa" w:w="100"/>
            </w:tcMar>
          </w:tcPr>
          <w:p>
            <w:r>
              <w:rPr>
                <w:rFonts w:ascii="Consolas" w:cs="Consolas" w:eastAsia="Consolas" w:hAnsi="Consolas"/>
                <w:sz w:val="19"/>
                <w:szCs w:val="19"/>
              </w:rPr>
              <w:t xml:space="preserve">annexe12_kpi_extractor.py</w:t>
            </w:r>
            <w:r>
              <w:rPr>
                <w:sz w:val="19"/>
                <w:szCs w:val="19"/>
              </w:rPr>
              <w:t xml:space="preserve"> / </w:t>
            </w:r>
            <w:r>
              <w:rPr>
                <w:rFonts w:ascii="Consolas" w:cs="Consolas" w:eastAsia="Consolas" w:hAnsi="Consolas"/>
                <w:sz w:val="19"/>
                <w:szCs w:val="19"/>
              </w:rPr>
              <w:t xml:space="preserve">annexe13_kpi_extractor.py</w:t>
            </w:r>
          </w:p>
        </w:tc>
        <w:tc>
          <w:tcPr>
            <w:tcW w:type="dxa" w:w="1742"/>
            <w:tcMar>
              <w:top w:type="dxa" w:w="50"/>
              <w:left w:type="dxa" w:w="100"/>
              <w:bottom w:type="dxa" w:w="50"/>
              <w:right w:type="dxa" w:w="100"/>
            </w:tcMar>
          </w:tcPr>
          <w:p>
            <w:r>
              <w:rPr>
                <w:sz w:val="19"/>
                <w:szCs w:val="19"/>
              </w:rPr>
              <w:t xml:space="preserve">Résultat technique Vie / Non-Vie</w:t>
            </w:r>
          </w:p>
        </w:tc>
        <w:tc>
          <w:tcPr>
            <w:tcW w:type="dxa" w:w="4901"/>
            <w:tcMar>
              <w:top w:type="dxa" w:w="50"/>
              <w:left w:type="dxa" w:w="100"/>
              <w:bottom w:type="dxa" w:w="50"/>
              <w:right w:type="dxa" w:w="100"/>
            </w:tcMar>
          </w:tcPr>
          <w:p>
            <w:r>
              <w:rPr>
                <w:sz w:val="19"/>
                <w:szCs w:val="19"/>
              </w:rPr>
              <w:t xml:space="preserve">Bug corrigé (2026-08-17) : sur pages à 4 colonnes, la dernière colonne est l'année </w:t>
            </w:r>
            <w:r>
              <w:rPr>
                <w:b/>
                <w:bCs/>
                <w:sz w:val="19"/>
                <w:szCs w:val="19"/>
              </w:rPr>
              <w:t xml:space="preserve">précédente</w:t>
            </w:r>
            <w:r>
              <w:rPr>
                <w:sz w:val="19"/>
                <w:szCs w:val="19"/>
              </w:rPr>
              <w:t xml:space="preserve">, pas courante</w:t>
            </w:r>
          </w:p>
        </w:tc>
      </w:tr>
      <w:tr>
        <w:tc>
          <w:tcPr>
            <w:tcW w:type="dxa" w:w="3103"/>
            <w:tcMar>
              <w:top w:type="dxa" w:w="50"/>
              <w:left w:type="dxa" w:w="100"/>
              <w:bottom w:type="dxa" w:w="50"/>
              <w:right w:type="dxa" w:w="100"/>
            </w:tcMar>
          </w:tcPr>
          <w:p>
            <w:r>
              <w:rPr>
                <w:rFonts w:ascii="Consolas" w:cs="Consolas" w:eastAsia="Consolas" w:hAnsi="Consolas"/>
                <w:sz w:val="19"/>
                <w:szCs w:val="19"/>
              </w:rPr>
              <w:t xml:space="preserve">resultat_kpi_extractor.py</w:t>
            </w:r>
          </w:p>
        </w:tc>
        <w:tc>
          <w:tcPr>
            <w:tcW w:type="dxa" w:w="1742"/>
            <w:tcMar>
              <w:top w:type="dxa" w:w="50"/>
              <w:left w:type="dxa" w:w="100"/>
              <w:bottom w:type="dxa" w:w="50"/>
              <w:right w:type="dxa" w:w="100"/>
            </w:tcMar>
          </w:tcPr>
          <w:p>
            <w:r>
              <w:rPr>
                <w:sz w:val="19"/>
                <w:szCs w:val="19"/>
              </w:rPr>
              <w:t xml:space="preserve">État de résultat</w:t>
            </w:r>
          </w:p>
        </w:tc>
        <w:tc>
          <w:tcPr>
            <w:tcW w:type="dxa" w:w="4901"/>
            <w:tcMar>
              <w:top w:type="dxa" w:w="50"/>
              <w:left w:type="dxa" w:w="100"/>
              <w:bottom w:type="dxa" w:w="50"/>
              <w:right w:type="dxa" w:w="100"/>
            </w:tcMar>
          </w:tcPr>
          <w:p>
            <w:r>
              <w:rPr>
                <w:sz w:val="19"/>
                <w:szCs w:val="19"/>
              </w:rPr>
              <w:t xml:space="preserve">Désambiguïsation Vie/Non-Vie par </w:t>
            </w:r>
            <w:r>
              <w:rPr>
                <w:b/>
                <w:bCs/>
                <w:sz w:val="19"/>
                <w:szCs w:val="19"/>
              </w:rPr>
              <w:t xml:space="preserve">code de ligne</w:t>
            </w:r>
            <w:r>
              <w:rPr>
                <w:sz w:val="19"/>
                <w:szCs w:val="19"/>
              </w:rPr>
              <w:t xml:space="preserve"> (CHV/CHNV) plutôt que titre de page (5 formulations différentes selon la société)</w:t>
            </w:r>
          </w:p>
        </w:tc>
      </w:tr>
      <w:tr>
        <w:tc>
          <w:tcPr>
            <w:tcW w:type="dxa" w:w="3103"/>
            <w:tcMar>
              <w:top w:type="dxa" w:w="50"/>
              <w:left w:type="dxa" w:w="100"/>
              <w:bottom w:type="dxa" w:w="50"/>
              <w:right w:type="dxa" w:w="100"/>
            </w:tcMar>
          </w:tcPr>
          <w:p>
            <w:r>
              <w:rPr>
                <w:rFonts w:ascii="Consolas" w:cs="Consolas" w:eastAsia="Consolas" w:hAnsi="Consolas"/>
                <w:sz w:val="19"/>
                <w:szCs w:val="19"/>
              </w:rPr>
              <w:t xml:space="preserve">cga_kpi_extractor.py</w:t>
            </w:r>
          </w:p>
        </w:tc>
        <w:tc>
          <w:tcPr>
            <w:tcW w:type="dxa" w:w="1742"/>
            <w:tcMar>
              <w:top w:type="dxa" w:w="50"/>
              <w:left w:type="dxa" w:w="100"/>
              <w:bottom w:type="dxa" w:w="50"/>
              <w:right w:type="dxa" w:w="100"/>
            </w:tcMar>
          </w:tcPr>
          <w:p>
            <w:r>
              <w:rPr>
                <w:sz w:val="19"/>
                <w:szCs w:val="19"/>
              </w:rPr>
              <w:t xml:space="preserve">Rapport CGA</w:t>
            </w:r>
          </w:p>
        </w:tc>
        <w:tc>
          <w:tcPr>
            <w:tcW w:type="dxa" w:w="4901"/>
            <w:tcMar>
              <w:top w:type="dxa" w:w="50"/>
              <w:left w:type="dxa" w:w="100"/>
              <w:bottom w:type="dxa" w:w="50"/>
              <w:right w:type="dxa" w:w="100"/>
            </w:tcMar>
          </w:tcPr>
          <w:p>
            <w:r>
              <w:rPr>
                <w:sz w:val="19"/>
                <w:szCs w:val="19"/>
              </w:rPr>
              <w:t xml:space="preserve">Gère du texte tourné à 90° via une matrice de police (pas l'attribut </w:t>
            </w:r>
            <w:r>
              <w:rPr>
                <w:rFonts w:ascii="Consolas" w:cs="Consolas" w:eastAsia="Consolas" w:hAnsi="Consolas"/>
                <w:sz w:val="19"/>
                <w:szCs w:val="19"/>
              </w:rPr>
              <w:t xml:space="preserve">/Rotate</w:t>
            </w:r>
            <w:r>
              <w:rPr>
                <w:sz w:val="19"/>
                <w:szCs w:val="19"/>
              </w:rPr>
              <w:t xml:space="preserve">)</w:t>
            </w:r>
          </w:p>
        </w:tc>
      </w:tr>
      <w:tr>
        <w:tc>
          <w:tcPr>
            <w:tcW w:type="dxa" w:w="3103"/>
            <w:tcMar>
              <w:top w:type="dxa" w:w="50"/>
              <w:left w:type="dxa" w:w="100"/>
              <w:bottom w:type="dxa" w:w="50"/>
              <w:right w:type="dxa" w:w="100"/>
            </w:tcMar>
          </w:tcPr>
          <w:p>
            <w:r>
              <w:rPr>
                <w:rFonts w:ascii="Consolas" w:cs="Consolas" w:eastAsia="Consolas" w:hAnsi="Consolas"/>
                <w:sz w:val="19"/>
                <w:szCs w:val="19"/>
              </w:rPr>
              <w:t xml:space="preserve">calculated_kpi_extractor.py</w:t>
            </w:r>
          </w:p>
        </w:tc>
        <w:tc>
          <w:tcPr>
            <w:tcW w:type="dxa" w:w="1742"/>
            <w:tcMar>
              <w:top w:type="dxa" w:w="50"/>
              <w:left w:type="dxa" w:w="100"/>
              <w:bottom w:type="dxa" w:w="50"/>
              <w:right w:type="dxa" w:w="100"/>
            </w:tcMar>
          </w:tcPr>
          <w:p>
            <w:r>
              <w:rPr>
                <w:sz w:val="19"/>
                <w:szCs w:val="19"/>
              </w:rPr>
              <w:t xml:space="preserve">— (calcul, pas extraction)</w:t>
            </w:r>
          </w:p>
        </w:tc>
        <w:tc>
          <w:tcPr>
            <w:tcW w:type="dxa" w:w="4901"/>
            <w:tcMar>
              <w:top w:type="dxa" w:w="50"/>
              <w:left w:type="dxa" w:w="100"/>
              <w:bottom w:type="dxa" w:w="50"/>
              <w:right w:type="dxa" w:w="100"/>
            </w:tcMar>
          </w:tcPr>
          <w:p>
            <w:r>
              <w:rPr>
                <w:sz w:val="19"/>
                <w:szCs w:val="19"/>
              </w:rPr>
              <w:t xml:space="preserve">Ratios dérivés depuis les valeurs déjà en base</w:t>
            </w:r>
          </w:p>
        </w:tc>
      </w:tr>
      <w:tr>
        <w:tc>
          <w:tcPr>
            <w:tcW w:type="dxa" w:w="3103"/>
            <w:tcMar>
              <w:top w:type="dxa" w:w="50"/>
              <w:left w:type="dxa" w:w="100"/>
              <w:bottom w:type="dxa" w:w="50"/>
              <w:right w:type="dxa" w:w="100"/>
            </w:tcMar>
          </w:tcPr>
          <w:p>
            <w:r>
              <w:rPr>
                <w:rFonts w:ascii="Consolas" w:cs="Consolas" w:eastAsia="Consolas" w:hAnsi="Consolas"/>
                <w:sz w:val="19"/>
                <w:szCs w:val="19"/>
              </w:rPr>
              <w:t xml:space="preserve">takaful_kpi_extractor.py</w:t>
            </w:r>
          </w:p>
        </w:tc>
        <w:tc>
          <w:tcPr>
            <w:tcW w:type="dxa" w:w="1742"/>
            <w:tcMar>
              <w:top w:type="dxa" w:w="50"/>
              <w:left w:type="dxa" w:w="100"/>
              <w:bottom w:type="dxa" w:w="50"/>
              <w:right w:type="dxa" w:w="100"/>
            </w:tcMar>
          </w:tcPr>
          <w:p>
            <w:r>
              <w:rPr>
                <w:sz w:val="19"/>
                <w:szCs w:val="19"/>
              </w:rPr>
              <w:t xml:space="preserve">Bilan Takaful (FR + AR)</w:t>
            </w:r>
          </w:p>
        </w:tc>
        <w:tc>
          <w:tcPr>
            <w:tcW w:type="dxa" w:w="4901"/>
            <w:tcMar>
              <w:top w:type="dxa" w:w="50"/>
              <w:left w:type="dxa" w:w="100"/>
              <w:bottom w:type="dxa" w:w="50"/>
              <w:right w:type="dxa" w:w="100"/>
            </w:tcMar>
          </w:tcPr>
          <w:p>
            <w:r>
              <w:rPr>
                <w:sz w:val="19"/>
                <w:szCs w:val="19"/>
              </w:rPr>
              <w:t xml:space="preserve">Détection automatique format "ancien"/"nouveau" (NCT 43) ; extracteur arabe séparé</w:t>
            </w:r>
          </w:p>
        </w:tc>
      </w:tr>
      <w:tr>
        <w:tc>
          <w:tcPr>
            <w:tcW w:type="dxa" w:w="3103"/>
            <w:tcMar>
              <w:top w:type="dxa" w:w="50"/>
              <w:left w:type="dxa" w:w="100"/>
              <w:bottom w:type="dxa" w:w="50"/>
              <w:right w:type="dxa" w:w="100"/>
            </w:tcMar>
          </w:tcPr>
          <w:p>
            <w:r>
              <w:rPr>
                <w:rFonts w:ascii="Consolas" w:cs="Consolas" w:eastAsia="Consolas" w:hAnsi="Consolas"/>
                <w:sz w:val="19"/>
                <w:szCs w:val="19"/>
              </w:rPr>
              <w:t xml:space="preserve">arabic_ocr_extractor.py</w:t>
            </w:r>
          </w:p>
        </w:tc>
        <w:tc>
          <w:tcPr>
            <w:tcW w:type="dxa" w:w="1742"/>
            <w:tcMar>
              <w:top w:type="dxa" w:w="50"/>
              <w:left w:type="dxa" w:w="100"/>
              <w:bottom w:type="dxa" w:w="50"/>
              <w:right w:type="dxa" w:w="100"/>
            </w:tcMar>
          </w:tcPr>
          <w:p>
            <w:r>
              <w:rPr>
                <w:sz w:val="19"/>
                <w:szCs w:val="19"/>
              </w:rPr>
              <w:t xml:space="preserve">AL_AMANAH_TAKAFUL (arabe)</w:t>
            </w:r>
          </w:p>
        </w:tc>
        <w:tc>
          <w:tcPr>
            <w:tcW w:type="dxa" w:w="4901"/>
            <w:tcMar>
              <w:top w:type="dxa" w:w="50"/>
              <w:left w:type="dxa" w:w="100"/>
              <w:bottom w:type="dxa" w:w="50"/>
              <w:right w:type="dxa" w:w="100"/>
            </w:tcMar>
          </w:tcPr>
          <w:p>
            <w:r>
              <w:rPr>
                <w:sz w:val="19"/>
                <w:szCs w:val="19"/>
              </w:rPr>
              <w:t xml:space="preserve">Lecture RTL, normalisation Unicode NFKC, repli OCR bilingue arabe→anglais pour les chiffres</w:t>
            </w:r>
          </w:p>
        </w:tc>
      </w:tr>
      <w:tr>
        <w:tc>
          <w:tcPr>
            <w:tcW w:type="dxa" w:w="3103"/>
            <w:tcMar>
              <w:top w:type="dxa" w:w="50"/>
              <w:left w:type="dxa" w:w="100"/>
              <w:bottom w:type="dxa" w:w="50"/>
              <w:right w:type="dxa" w:w="100"/>
            </w:tcMar>
          </w:tcPr>
          <w:p>
            <w:r>
              <w:rPr>
                <w:rFonts w:ascii="Consolas" w:cs="Consolas" w:eastAsia="Consolas" w:hAnsi="Consolas"/>
                <w:sz w:val="19"/>
                <w:szCs w:val="19"/>
              </w:rPr>
              <w:t xml:space="preserve">enquete_extractor.py</w:t>
            </w:r>
          </w:p>
        </w:tc>
        <w:tc>
          <w:tcPr>
            <w:tcW w:type="dxa" w:w="1742"/>
            <w:tcMar>
              <w:top w:type="dxa" w:w="50"/>
              <w:left w:type="dxa" w:w="100"/>
              <w:bottom w:type="dxa" w:w="50"/>
              <w:right w:type="dxa" w:w="100"/>
            </w:tcMar>
          </w:tcPr>
          <w:p>
            <w:r>
              <w:rPr>
                <w:sz w:val="19"/>
                <w:szCs w:val="19"/>
              </w:rPr>
              <w:t xml:space="preserve">Excel enquête</w:t>
            </w:r>
          </w:p>
        </w:tc>
        <w:tc>
          <w:tcPr>
            <w:tcW w:type="dxa" w:w="4901"/>
            <w:tcMar>
              <w:top w:type="dxa" w:w="50"/>
              <w:left w:type="dxa" w:w="100"/>
              <w:bottom w:type="dxa" w:w="50"/>
              <w:right w:type="dxa" w:w="100"/>
            </w:tcMar>
          </w:tcPr>
          <w:p>
            <w:r>
              <w:rPr>
                <w:sz w:val="19"/>
                <w:szCs w:val="19"/>
              </w:rPr>
              <w:t xml:space="preserve">Lecture pandas, pas de PDF</w:t>
            </w:r>
          </w:p>
        </w:tc>
      </w:tr>
    </w:tbl>
    <w:p>
      <w:pPr>
        <w:spacing w:after="160"/>
      </w:pPr>
    </w:p>
    <w:p>
      <w:pPr>
        <w:spacing w:after="140"/>
      </w:pPr>
      <w:r>
        <w:rPr>
          <w:b/>
          <w:bCs/>
        </w:rPr>
        <w:t xml:space="preserve">Pourquoi `rapidfuzz` pour la correspondance floue</w:t>
      </w:r>
      <w:r>
        <w:t xml:space="preserve"> : un libellé peut être légèrement dégradé par l'OCR (ex. "Chargesd'acqusion gestonnetes" au lieu de "Charges d'acquisition et de gestion nettes"). </w:t>
      </w:r>
      <w:r>
        <w:rPr>
          <w:rFonts w:ascii="Consolas" w:cs="Consolas" w:eastAsia="Consolas" w:hAnsi="Consolas"/>
          <w:sz w:val="20"/>
          <w:szCs w:val="20"/>
        </w:rPr>
        <w:t xml:space="preserve">rapidfuzz.fuzz.ratio</w:t>
      </w:r>
      <w:r>
        <w:t xml:space="preserve"> (implémentation C++, rapide) calcule un score de similarité, avec un seuil strict (</w:t>
      </w:r>
      <w:r>
        <w:rPr>
          <w:b/>
          <w:bCs/>
        </w:rPr>
        <w:t xml:space="preserve">82%</w:t>
      </w:r>
      <w:r>
        <w:t xml:space="preserve">) pour ne pas accrocher une ligne voisine par erreur.</w:t>
      </w:r>
    </w:p>
    <w:p>
      <w:pPr>
        <w:pStyle w:val="Heading2"/>
        <w:spacing w:after="140" w:before="280"/>
      </w:pPr>
      <w:r>
        <w:rPr>
          <w:b/>
          <w:bCs/>
          <w:color w:val="555555"/>
        </w:rPr>
        <w:t xml:space="preserve">5.4 Surlignage PDF — </w:t>
      </w:r>
      <w:r>
        <w:rPr>
          <w:rFonts w:ascii="Consolas" w:cs="Consolas" w:eastAsia="Consolas" w:hAnsi="Consolas"/>
          <w:b/>
          <w:bCs/>
          <w:color w:val="555555"/>
          <w:sz w:val="20"/>
          <w:szCs w:val="20"/>
        </w:rPr>
        <w:t xml:space="preserve">api/services/pdf_cell_coords.py</w:t>
      </w:r>
    </w:p>
    <w:p>
      <w:pPr>
        <w:spacing w:after="140"/>
      </w:pPr>
      <w:r>
        <w:t xml:space="preserve">Ne calcule pas de valeur : localise, pour un (ligne, colonne) déjà connu, la </w:t>
      </w:r>
      <w:r>
        <w:rPr>
          <w:b/>
          <w:bCs/>
        </w:rPr>
        <w:t xml:space="preserve">bbox</w:t>
      </w:r>
      <w:r>
        <w:t xml:space="preserve"> de la cellule dans le PDF, pour dessiner un rectangle de surlignage côté frontend. </w:t>
      </w:r>
      <w:r>
        <w:rPr>
          <w:b/>
          <w:bCs/>
        </w:rPr>
        <w:t xml:space="preserve">4 passes de correspondance successives</w:t>
      </w:r>
      <w:r>
        <w:t xml:space="preserve"> (sous-chaîne exacte → mot-par-mot → titres repliés sur 2 lignes → correspondance floue), avec exclusion systématique des lignes de titre de page (</w:t>
      </w:r>
      <w:r>
        <w:rPr>
          <w:rFonts w:ascii="Consolas" w:cs="Consolas" w:eastAsia="Consolas" w:hAnsi="Consolas"/>
          <w:sz w:val="20"/>
          <w:szCs w:val="20"/>
        </w:rPr>
        <w:t xml:space="preserve">_TITLE_ROW_RE</w:t>
      </w:r>
      <w:r>
        <w:t xml:space="preserve">) qui contiennent presque toujours le nom du KPI cherché — faux positif systémique découvert sur STAR 2025.</w:t>
      </w:r>
    </w:p>
    <w:p>
      <w:pPr>
        <w:spacing w:after="140"/>
      </w:pPr>
      <w:r>
        <w:rPr>
          <w:b/>
          <w:bCs/>
        </w:rPr>
        <w:t xml:space="preserve">Rotation de page</w:t>
      </w:r>
      <w:r>
        <w:t xml:space="preserve"> : pdfplumber travaille en coordonnées visuelles post-rotation, pdf.js (frontend) attend des coordonnées natives pré-rotation — </w:t>
      </w:r>
      <w:r>
        <w:rPr>
          <w:rFonts w:ascii="Consolas" w:cs="Consolas" w:eastAsia="Consolas" w:hAnsi="Consolas"/>
          <w:sz w:val="20"/>
          <w:szCs w:val="20"/>
        </w:rPr>
        <w:t xml:space="preserve">_rotate_to_native()</w:t>
      </w:r>
      <w:r>
        <w:t xml:space="preserve"> fait la conversion. Vérifié en simulant la vraie séquence </w:t>
      </w:r>
      <w:r>
        <w:rPr>
          <w:rFonts w:ascii="Consolas" w:cs="Consolas" w:eastAsia="Consolas" w:hAnsi="Consolas"/>
          <w:sz w:val="20"/>
          <w:szCs w:val="20"/>
        </w:rPr>
        <w:t xml:space="preserve">getViewport()</w:t>
      </w:r>
      <w:r>
        <w:t xml:space="preserve">/</w:t>
      </w:r>
      <w:r>
        <w:rPr>
          <w:rFonts w:ascii="Consolas" w:cs="Consolas" w:eastAsia="Consolas" w:hAnsi="Consolas"/>
          <w:sz w:val="20"/>
          <w:szCs w:val="20"/>
        </w:rPr>
        <w:t xml:space="preserve">convertToViewportPoint()</w:t>
      </w:r>
      <w:r>
        <w:t xml:space="preserve"> en Node.js avec </w:t>
      </w:r>
      <w:r>
        <w:rPr>
          <w:rFonts w:ascii="Consolas" w:cs="Consolas" w:eastAsia="Consolas" w:hAnsi="Consolas"/>
          <w:sz w:val="20"/>
          <w:szCs w:val="20"/>
        </w:rPr>
        <w:t xml:space="preserve">pdfjs-dist</w:t>
      </w:r>
      <w:r>
        <w:t xml:space="preserve">, pas seulement supposé en Python.</w:t>
      </w:r>
    </w:p>
    <w:p>
      <w:pPr>
        <w:pStyle w:val="Heading2"/>
        <w:spacing w:after="140" w:before="280"/>
      </w:pPr>
      <w:r>
        <w:rPr>
          <w:b/>
          <w:bCs/>
          <w:color w:val="555555"/>
        </w:rPr>
        <w:t xml:space="preserve">5.5 Documentation empirique — </w:t>
      </w:r>
      <w:r>
        <w:rPr>
          <w:rFonts w:ascii="Consolas" w:cs="Consolas" w:eastAsia="Consolas" w:hAnsi="Consolas"/>
          <w:b/>
          <w:bCs/>
          <w:color w:val="555555"/>
          <w:sz w:val="20"/>
          <w:szCs w:val="20"/>
        </w:rPr>
        <w:t xml:space="preserve">extraction/CAS_PARTICULIERS*.md</w:t>
      </w:r>
    </w:p>
    <w:p>
      <w:pPr>
        <w:spacing w:after="140"/>
      </w:pPr>
      <w:r>
        <w:t xml:space="preserve">11 fichiers, ~1080 lignes, structurés en tableaux "Cas résolus"/"Cas non résolus" par société/année, avec la méthode de vérification systématiquement documentée. C'est la trace écrite de la méthode empirique du projet : *ouvrir le vrai PDF avant de coder un motif, jamais deviner*.</w:t>
      </w:r>
    </w:p>
    <w:p>
      <w:pPr>
        <w:pStyle w:val="Heading1"/>
        <w:spacing w:after="140" w:before="280"/>
      </w:pPr>
      <w:r>
        <w:rPr>
          <w:b/>
          <w:bCs/>
          <w:color w:val="2E2E38"/>
        </w:rPr>
        <w:t xml:space="preserve">6. Couche 4 — Calcul des KPI et ratios</w:t>
      </w:r>
    </w:p>
    <w:p>
      <w:pPr>
        <w:spacing w:after="140"/>
      </w:pPr>
      <w:r>
        <w:rPr>
          <w:rFonts w:ascii="Consolas" w:cs="Consolas" w:eastAsia="Consolas" w:hAnsi="Consolas"/>
          <w:sz w:val="20"/>
          <w:szCs w:val="20"/>
        </w:rPr>
        <w:t xml:space="preserve">extraction/calculated_kpi_extractor.py</w:t>
      </w:r>
      <w:r>
        <w:t xml:space="preserve"> (calcul en base, à partir de valeurs déjà extraites) + </w:t>
      </w:r>
      <w:r>
        <w:rPr>
          <w:rFonts w:ascii="Consolas" w:cs="Consolas" w:eastAsia="Consolas" w:hAnsi="Consolas"/>
          <w:sz w:val="20"/>
          <w:szCs w:val="20"/>
        </w:rPr>
        <w:t xml:space="preserve">api/services/kpi_builder.py</w:t>
      </w:r>
      <w:r>
        <w:t xml:space="preserve"> (calcul/repli à la lecture, pour l'affichage).</w:t>
      </w:r>
    </w:p>
    <w:p>
      <w:pPr>
        <w:spacing w:after="140"/>
      </w:pPr>
      <w:r>
        <w:rPr>
          <w:b/>
          <w:bCs/>
        </w:rPr>
        <w:t xml:space="preserve">Formules principales</w:t>
      </w:r>
      <w:r>
        <w:t xml:space="preserve"> :</w:t>
      </w:r>
    </w:p>
    <w:p>
      <w:pPr>
        <w:pStyle w:val="ListParagraph"/>
        <w:numPr>
          <w:ilvl w:val="0"/>
          <w:numId w:val="1"/>
        </w:numPr>
        <w:spacing w:after="80"/>
      </w:pPr>
      <w:r>
        <w:t xml:space="preserve">ROA (%) = Résultat Net / Total actif × 100</w:t>
      </w:r>
    </w:p>
    <w:p>
      <w:pPr>
        <w:pStyle w:val="ListParagraph"/>
        <w:numPr>
          <w:ilvl w:val="0"/>
          <w:numId w:val="1"/>
        </w:numPr>
        <w:spacing w:after="80"/>
      </w:pPr>
      <w:r>
        <w:t xml:space="preserve">ROE (%) = Résultat Net / Capitaux propres × 100</w:t>
      </w:r>
    </w:p>
    <w:p>
      <w:pPr>
        <w:pStyle w:val="ListParagraph"/>
        <w:numPr>
          <w:ilvl w:val="0"/>
          <w:numId w:val="1"/>
        </w:numPr>
        <w:spacing w:after="80"/>
      </w:pPr>
      <w:r>
        <w:t xml:space="preserve">Ratio de sinistralité RSP (%) = |Charges de prestations| / Primes émises × 100</w:t>
      </w:r>
    </w:p>
    <w:p>
      <w:pPr>
        <w:pStyle w:val="ListParagraph"/>
        <w:numPr>
          <w:ilvl w:val="0"/>
          <w:numId w:val="1"/>
        </w:numPr>
        <w:spacing w:after="80"/>
      </w:pPr>
      <w:r>
        <w:t xml:space="preserve">Ratio de frais RF (%) = |Charges d'acquisition et de gestion| / Primes émises × 100</w:t>
      </w:r>
    </w:p>
    <w:p>
      <w:pPr>
        <w:pStyle w:val="ListParagraph"/>
        <w:numPr>
          <w:ilvl w:val="0"/>
          <w:numId w:val="1"/>
        </w:numPr>
        <w:spacing w:after="80"/>
      </w:pPr>
      <w:r>
        <w:t xml:space="preserve">Ratio combiné RC (%) = RSP + RF</w:t>
      </w:r>
    </w:p>
    <w:p>
      <w:pPr>
        <w:pStyle w:val="ListParagraph"/>
        <w:numPr>
          <w:ilvl w:val="0"/>
          <w:numId w:val="1"/>
        </w:numPr>
        <w:spacing w:after="80"/>
      </w:pPr>
      <w:r>
        <w:t xml:space="preserve">Part de marché (%) = Primes société / Total primes sectoriel (FTUSA) × 100</w:t>
      </w:r>
    </w:p>
    <w:p>
      <w:pPr>
        <w:pStyle w:val="ListParagraph"/>
        <w:numPr>
          <w:ilvl w:val="0"/>
          <w:numId w:val="1"/>
        </w:numPr>
        <w:spacing w:after="80"/>
      </w:pPr>
      <w:r>
        <w:t xml:space="preserve">Taux de pénétration = Primes totales / PIB × 100 ; Densité = Primes totales / Population</w:t>
      </w:r>
    </w:p>
    <w:p>
      <w:pPr>
        <w:spacing w:after="140"/>
      </w:pPr>
      <w:r>
        <w:rPr>
          <w:b/>
          <w:bCs/>
        </w:rPr>
        <w:t xml:space="preserve">Pourquoi un double niveau de calcul (écriture ET lecture)</w:t>
      </w:r>
      <w:r>
        <w:t xml:space="preserve"> : à l'écriture (</w:t>
      </w:r>
      <w:r>
        <w:rPr>
          <w:rFonts w:ascii="Consolas" w:cs="Consolas" w:eastAsia="Consolas" w:hAnsi="Consolas"/>
          <w:sz w:val="20"/>
          <w:szCs w:val="20"/>
        </w:rPr>
        <w:t xml:space="preserve">calculated_kpi_extractor.py</w:t>
      </w:r>
      <w:r>
        <w:t xml:space="preserve">), les ratios sont calculés une fois et persistés, avec un garde-fou de plausibilité (2%-1000%). À la lecture (</w:t>
      </w:r>
      <w:r>
        <w:rPr>
          <w:rFonts w:ascii="Consolas" w:cs="Consolas" w:eastAsia="Consolas" w:hAnsi="Consolas"/>
          <w:sz w:val="20"/>
          <w:szCs w:val="20"/>
        </w:rPr>
        <w:t xml:space="preserve">kpi_builder.py</w:t>
      </w:r>
      <w:r>
        <w:t xml:space="preserve">), une chaîne de repli recalcule un ratio manquant depuis les composantes brutes si besoin — pour que deux pages différentes de l'application (Analyse Comparative, Vue par Assurance) n'affichent jamais deux valeurs différentes pour le même KPI (bug réel corrigé le 2026-08-17).</w:t>
      </w:r>
    </w:p>
    <w:p>
      <w:pPr>
        <w:spacing w:after="140"/>
      </w:pPr>
      <w:r>
        <w:rPr>
          <w:b/>
          <w:bCs/>
        </w:rPr>
        <w:t xml:space="preserve">Garde-fous notables</w:t>
      </w:r>
      <w:r>
        <w:t xml:space="preserve"> : détection de "doublure" (RC≈RF à moins de 0,5 point → probablement la même ligne PDF lue deux fois), </w:t>
      </w:r>
      <w:r>
        <w:rPr>
          <w:rFonts w:ascii="Consolas" w:cs="Consolas" w:eastAsia="Consolas" w:hAnsi="Consolas"/>
          <w:sz w:val="20"/>
          <w:szCs w:val="20"/>
        </w:rPr>
        <w:t xml:space="preserve">segment_mismatch</w:t>
      </w:r>
      <w:r>
        <w:t xml:space="preserve"> (numérateur et dénominateur d'un ratio doivent couvrir le même segment Vie/Non-Vie — bug réel trouvé sur BIAT), identité comptable Total actif ≥ Capitaux propres.</w:t>
      </w:r>
    </w:p>
    <w:p>
      <w:pPr>
        <w:pStyle w:val="Heading1"/>
        <w:spacing w:after="140" w:before="280"/>
      </w:pPr>
      <w:r>
        <w:rPr>
          <w:b/>
          <w:bCs/>
          <w:color w:val="2E2E38"/>
        </w:rPr>
        <w:t xml:space="preserve">7. Couche 5 — Orchestration (pipeline planifié)</w:t>
      </w:r>
    </w:p>
    <w:p>
      <w:pPr>
        <w:spacing w:after="140"/>
      </w:pPr>
      <w:r>
        <w:rPr>
          <w:rFonts w:ascii="Consolas" w:cs="Consolas" w:eastAsia="Consolas" w:hAnsi="Consolas"/>
          <w:sz w:val="20"/>
          <w:szCs w:val="20"/>
        </w:rPr>
        <w:t xml:space="preserve">pipelines/run_pipeline.py</w:t>
      </w:r>
      <w:r>
        <w:t xml:space="preserve"> :</w:t>
      </w:r>
    </w:p>
    <w:p>
      <w:pPr>
        <w:pStyle w:val="ListParagraph"/>
        <w:numPr>
          <w:ilvl w:val="0"/>
          <w:numId w:val="1"/>
        </w:numPr>
        <w:spacing w:after="80"/>
      </w:pPr>
      <w:r>
        <w:t xml:space="preserve">Exécute les 5 sources de scraping avec </w:t>
      </w:r>
      <w:r>
        <w:rPr>
          <w:b/>
          <w:bCs/>
        </w:rPr>
        <w:t xml:space="preserve">retry 3 tentatives, backoff exponentiel 2/4/8s</w:t>
      </w:r>
      <w:r>
        <w:t xml:space="preserve"> — une source en échec n'interrompt pas les autres.</w:t>
      </w:r>
    </w:p>
    <w:p>
      <w:pPr>
        <w:pStyle w:val="ListParagraph"/>
        <w:numPr>
          <w:ilvl w:val="0"/>
          <w:numId w:val="1"/>
        </w:numPr>
        <w:spacing w:after="80"/>
      </w:pPr>
      <w:r>
        <w:t xml:space="preserve">Calcule et </w:t>
      </w:r>
      <w:r>
        <w:rPr>
          <w:b/>
          <w:bCs/>
        </w:rPr>
        <w:t xml:space="preserve">persiste un instantané</w:t>
      </w:r>
      <w:r>
        <w:t xml:space="preserve"> du score qualité (historique de tendance).</w:t>
      </w:r>
    </w:p>
    <w:p>
      <w:pPr>
        <w:pStyle w:val="ListParagraph"/>
        <w:numPr>
          <w:ilvl w:val="0"/>
          <w:numId w:val="1"/>
        </w:numPr>
        <w:spacing w:after="80"/>
      </w:pPr>
      <w:r>
        <w:t xml:space="preserve">Détecte les nouveautés de veille (actualités/réglementation).</w:t>
      </w:r>
    </w:p>
    <w:p>
      <w:pPr>
        <w:pStyle w:val="ListParagraph"/>
        <w:numPr>
          <w:ilvl w:val="0"/>
          <w:numId w:val="1"/>
        </w:numPr>
        <w:spacing w:after="80"/>
      </w:pPr>
      <w:r>
        <w:t xml:space="preserve">Génère un rapport HTML par exécution + notifications in-app.</w:t>
      </w:r>
    </w:p>
    <w:p>
      <w:pPr>
        <w:pStyle w:val="ListParagraph"/>
        <w:numPr>
          <w:ilvl w:val="0"/>
          <w:numId w:val="1"/>
        </w:numPr>
        <w:spacing w:after="80"/>
      </w:pPr>
      <w:r>
        <w:t xml:space="preserve">Webhook Slack optionnel en cas d'échec.</w:t>
      </w:r>
    </w:p>
    <w:p>
      <w:pPr>
        <w:spacing w:after="140"/>
      </w:pPr>
      <w:r>
        <w:rPr>
          <w:b/>
          <w:bCs/>
        </w:rPr>
        <w:t xml:space="preserve">Déclenchement</w:t>
      </w:r>
      <w:r>
        <w:t xml:space="preserve"> : Windows Task Scheduler, hebdomadaire (dimanche 2h).</w:t>
      </w:r>
    </w:p>
    <w:p>
      <w:pPr>
        <w:spacing w:after="140"/>
      </w:pPr>
      <w:r>
        <w:rPr>
          <w:b/>
          <w:bCs/>
        </w:rPr>
        <w:t xml:space="preserve">Problème réel et solution retenue</w:t>
      </w:r>
      <w:r>
        <w:t xml:space="preserve"> : la tâche planifiée s'est révélée peu fiable (mode "Interactive uniquement", jamais exécutée en pratique faute de session active). </w:t>
      </w:r>
      <w:r>
        <w:rPr>
          <w:b/>
          <w:bCs/>
        </w:rPr>
        <w:t xml:space="preserve">Solution</w:t>
      </w:r>
      <w:r>
        <w:t xml:space="preserve"> : </w:t>
      </w:r>
      <w:r>
        <w:rPr>
          <w:rFonts w:ascii="Consolas" w:cs="Consolas" w:eastAsia="Consolas" w:hAnsi="Consolas"/>
          <w:sz w:val="20"/>
          <w:szCs w:val="20"/>
        </w:rPr>
        <w:t xml:space="preserve">check_and_notify_veille()</w:t>
      </w:r>
      <w:r>
        <w:t xml:space="preserve"> — version allégée du pipeline (juste la veille) exécutée par un </w:t>
      </w:r>
      <w:r>
        <w:rPr>
          <w:b/>
          <w:bCs/>
        </w:rPr>
        <w:t xml:space="preserve">thread de fond dans le process Flask lui-même</w:t>
      </w:r>
      <w:r>
        <w:t xml:space="preserve"> (</w:t>
      </w:r>
      <w:r>
        <w:rPr>
          <w:rFonts w:ascii="Consolas" w:cs="Consolas" w:eastAsia="Consolas" w:hAnsi="Consolas"/>
          <w:sz w:val="20"/>
          <w:szCs w:val="20"/>
        </w:rPr>
        <w:t xml:space="preserve">_start_veille_watcher</w:t>
      </w:r>
      <w:r>
        <w:t xml:space="preserve">), toutes les 30 minutes, démarré automatiquement au chargement de l'API. La tâche planifiée Windows reste utilisée uniquement pour la collecte CMF complète (plus lourde, moins critique en fraîcheur).</w:t>
      </w:r>
    </w:p>
    <w:p>
      <w:pPr>
        <w:spacing w:after="140"/>
      </w:pPr>
      <w:r>
        <w:rPr>
          <w:b/>
          <w:bCs/>
        </w:rPr>
        <w:t xml:space="preserve">Pourquoi cette solution plutôt qu'un vrai scheduler externe (Celery, cron Linux, etc.)</w:t>
      </w:r>
      <w:r>
        <w:t xml:space="preserve"> : contrainte d'environnement (déploiement local Windows, pas de serveur Linux dédié) — un thread de fond dans le process applicatif déjà actif est la solution la plus simple et robuste dans ce contexte, sans infrastructure supplémentaire.</w:t>
      </w:r>
    </w:p>
    <w:p>
      <w:pPr>
        <w:pStyle w:val="Heading1"/>
        <w:spacing w:after="140" w:before="280"/>
      </w:pPr>
      <w:r>
        <w:rPr>
          <w:b/>
          <w:bCs/>
          <w:color w:val="2E2E38"/>
        </w:rPr>
        <w:t xml:space="preserve">8. Couche 6 — Backend API</w:t>
      </w:r>
    </w:p>
    <w:p>
      <w:pPr>
        <w:spacing w:after="140"/>
      </w:pPr>
      <w:r>
        <w:rPr>
          <w:rFonts w:ascii="Consolas" w:cs="Consolas" w:eastAsia="Consolas" w:hAnsi="Consolas"/>
          <w:sz w:val="20"/>
          <w:szCs w:val="20"/>
        </w:rPr>
        <w:t xml:space="preserve">api/app.py</w:t>
      </w:r>
      <w:r>
        <w:t xml:space="preserve"> (point d'entrée) + 8 blueprints (</w:t>
      </w:r>
      <w:r>
        <w:rPr>
          <w:rFonts w:ascii="Consolas" w:cs="Consolas" w:eastAsia="Consolas" w:hAnsi="Consolas"/>
          <w:sz w:val="20"/>
          <w:szCs w:val="20"/>
        </w:rPr>
        <w:t xml:space="preserve">api/routes/</w:t>
      </w:r>
      <w:r>
        <w:t xml:space="preserve">) + services métier (</w:t>
      </w:r>
      <w:r>
        <w:rPr>
          <w:rFonts w:ascii="Consolas" w:cs="Consolas" w:eastAsia="Consolas" w:hAnsi="Consolas"/>
          <w:sz w:val="20"/>
          <w:szCs w:val="20"/>
        </w:rPr>
        <w:t xml:space="preserve">api/services/</w:t>
      </w:r>
      <w:r>
        <w:t xml:space="preserve">).</w:t>
      </w:r>
    </w:p>
    <w:p>
      <w:pPr>
        <w:spacing w:after="140"/>
      </w:pPr>
      <w:r>
        <w:rPr>
          <w:b/>
          <w:bCs/>
        </w:rPr>
        <w:t xml:space="preserve">Inventaire des endpoints par domaine</w:t>
      </w: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tblHeader/>
        </w:trPr>
        <w:tc>
          <w:tcPr>
            <w:tcW w:type="dxa" w:w="1392"/>
            <w:shd w:fill="2E2E38" w:val="clear"/>
            <w:tcMar>
              <w:top w:type="dxa" w:w="60"/>
              <w:left w:type="dxa" w:w="100"/>
              <w:bottom w:type="dxa" w:w="60"/>
              <w:right w:type="dxa" w:w="100"/>
            </w:tcMar>
          </w:tcPr>
          <w:p>
            <w:r>
              <w:rPr>
                <w:b/>
                <w:bCs/>
                <w:color w:val="FFFFFF"/>
                <w:sz w:val="19"/>
                <w:szCs w:val="19"/>
              </w:rPr>
              <w:t xml:space="preserve">Blueprint</w:t>
            </w:r>
          </w:p>
        </w:tc>
        <w:tc>
          <w:tcPr>
            <w:tcW w:type="dxa" w:w="8354"/>
            <w:shd w:fill="2E2E38" w:val="clear"/>
            <w:tcMar>
              <w:top w:type="dxa" w:w="60"/>
              <w:left w:type="dxa" w:w="100"/>
              <w:bottom w:type="dxa" w:w="60"/>
              <w:right w:type="dxa" w:w="100"/>
            </w:tcMar>
          </w:tcPr>
          <w:p>
            <w:r>
              <w:rPr>
                <w:b/>
                <w:bCs/>
                <w:color w:val="FFFFFF"/>
                <w:sz w:val="19"/>
                <w:szCs w:val="19"/>
              </w:rPr>
              <w:t xml:space="preserve">Rôle</w:t>
            </w:r>
          </w:p>
        </w:tc>
      </w:tr>
      <w:tr>
        <w:tc>
          <w:tcPr>
            <w:tcW w:type="dxa" w:w="1392"/>
            <w:tcMar>
              <w:top w:type="dxa" w:w="50"/>
              <w:left w:type="dxa" w:w="100"/>
              <w:bottom w:type="dxa" w:w="50"/>
              <w:right w:type="dxa" w:w="100"/>
            </w:tcMar>
          </w:tcPr>
          <w:p>
            <w:r>
              <w:rPr>
                <w:rFonts w:ascii="Consolas" w:cs="Consolas" w:eastAsia="Consolas" w:hAnsi="Consolas"/>
                <w:sz w:val="19"/>
                <w:szCs w:val="19"/>
              </w:rPr>
              <w:t xml:space="preserve">apercu_marche</w:t>
            </w:r>
          </w:p>
        </w:tc>
        <w:tc>
          <w:tcPr>
            <w:tcW w:type="dxa" w:w="8354"/>
            <w:tcMar>
              <w:top w:type="dxa" w:w="50"/>
              <w:left w:type="dxa" w:w="100"/>
              <w:bottom w:type="dxa" w:w="50"/>
              <w:right w:type="dxa" w:w="100"/>
            </w:tcMar>
          </w:tcPr>
          <w:p>
            <w:r>
              <w:rPr>
                <w:sz w:val="19"/>
                <w:szCs w:val="19"/>
              </w:rPr>
              <w:t xml:space="preserve">Données macro sectorielles (profil pays, évolution primes, distribution géographique des agences)</w:t>
            </w:r>
          </w:p>
        </w:tc>
      </w:tr>
      <w:tr>
        <w:tc>
          <w:tcPr>
            <w:tcW w:type="dxa" w:w="1392"/>
            <w:tcMar>
              <w:top w:type="dxa" w:w="50"/>
              <w:left w:type="dxa" w:w="100"/>
              <w:bottom w:type="dxa" w:w="50"/>
              <w:right w:type="dxa" w:w="100"/>
            </w:tcMar>
          </w:tcPr>
          <w:p>
            <w:r>
              <w:rPr>
                <w:rFonts w:ascii="Consolas" w:cs="Consolas" w:eastAsia="Consolas" w:hAnsi="Consolas"/>
                <w:sz w:val="19"/>
                <w:szCs w:val="19"/>
              </w:rPr>
              <w:t xml:space="preserve">comparative</w:t>
            </w:r>
          </w:p>
        </w:tc>
        <w:tc>
          <w:tcPr>
            <w:tcW w:type="dxa" w:w="8354"/>
            <w:tcMar>
              <w:top w:type="dxa" w:w="50"/>
              <w:left w:type="dxa" w:w="100"/>
              <w:bottom w:type="dxa" w:w="50"/>
              <w:right w:type="dxa" w:w="100"/>
            </w:tcMar>
          </w:tcPr>
          <w:p>
            <w:r>
              <w:rPr>
                <w:sz w:val="19"/>
                <w:szCs w:val="19"/>
              </w:rPr>
              <w:t xml:space="preserve">Benchmarking inter-compagnies</w:t>
            </w:r>
          </w:p>
        </w:tc>
      </w:tr>
      <w:tr>
        <w:tc>
          <w:tcPr>
            <w:tcW w:type="dxa" w:w="1392"/>
            <w:tcMar>
              <w:top w:type="dxa" w:w="50"/>
              <w:left w:type="dxa" w:w="100"/>
              <w:bottom w:type="dxa" w:w="50"/>
              <w:right w:type="dxa" w:w="100"/>
            </w:tcMar>
          </w:tcPr>
          <w:p>
            <w:r>
              <w:rPr>
                <w:rFonts w:ascii="Consolas" w:cs="Consolas" w:eastAsia="Consolas" w:hAnsi="Consolas"/>
                <w:sz w:val="19"/>
                <w:szCs w:val="19"/>
              </w:rPr>
              <w:t xml:space="preserve">vue_assurance</w:t>
            </w:r>
          </w:p>
        </w:tc>
        <w:tc>
          <w:tcPr>
            <w:tcW w:type="dxa" w:w="8354"/>
            <w:tcMar>
              <w:top w:type="dxa" w:w="50"/>
              <w:left w:type="dxa" w:w="100"/>
              <w:bottom w:type="dxa" w:w="50"/>
              <w:right w:type="dxa" w:w="100"/>
            </w:tcMar>
          </w:tcPr>
          <w:p>
            <w:r>
              <w:rPr>
                <w:sz w:val="19"/>
                <w:szCs w:val="19"/>
              </w:rPr>
              <w:t xml:space="preserve">Fiche détaillée par compagnie</w:t>
            </w:r>
          </w:p>
        </w:tc>
      </w:tr>
      <w:tr>
        <w:tc>
          <w:tcPr>
            <w:tcW w:type="dxa" w:w="1392"/>
            <w:tcMar>
              <w:top w:type="dxa" w:w="50"/>
              <w:left w:type="dxa" w:w="100"/>
              <w:bottom w:type="dxa" w:w="50"/>
              <w:right w:type="dxa" w:w="100"/>
            </w:tcMar>
          </w:tcPr>
          <w:p>
            <w:r>
              <w:rPr>
                <w:rFonts w:ascii="Consolas" w:cs="Consolas" w:eastAsia="Consolas" w:hAnsi="Consolas"/>
                <w:sz w:val="19"/>
                <w:szCs w:val="19"/>
              </w:rPr>
              <w:t xml:space="preserve">enquete</w:t>
            </w:r>
          </w:p>
        </w:tc>
        <w:tc>
          <w:tcPr>
            <w:tcW w:type="dxa" w:w="8354"/>
            <w:tcMar>
              <w:top w:type="dxa" w:w="50"/>
              <w:left w:type="dxa" w:w="100"/>
              <w:bottom w:type="dxa" w:w="50"/>
              <w:right w:type="dxa" w:w="100"/>
            </w:tcMar>
          </w:tcPr>
          <w:p>
            <w:r>
              <w:rPr>
                <w:sz w:val="19"/>
                <w:szCs w:val="19"/>
              </w:rPr>
              <w:t xml:space="preserve">Données d'enquête de marché (Excel)</w:t>
            </w:r>
          </w:p>
        </w:tc>
      </w:tr>
      <w:tr>
        <w:tc>
          <w:tcPr>
            <w:tcW w:type="dxa" w:w="1392"/>
            <w:tcMar>
              <w:top w:type="dxa" w:w="50"/>
              <w:left w:type="dxa" w:w="100"/>
              <w:bottom w:type="dxa" w:w="50"/>
              <w:right w:type="dxa" w:w="100"/>
            </w:tcMar>
          </w:tcPr>
          <w:p>
            <w:r>
              <w:rPr>
                <w:rFonts w:ascii="Consolas" w:cs="Consolas" w:eastAsia="Consolas" w:hAnsi="Consolas"/>
                <w:sz w:val="19"/>
                <w:szCs w:val="19"/>
              </w:rPr>
              <w:t xml:space="preserve">veille</w:t>
            </w:r>
          </w:p>
        </w:tc>
        <w:tc>
          <w:tcPr>
            <w:tcW w:type="dxa" w:w="8354"/>
            <w:tcMar>
              <w:top w:type="dxa" w:w="50"/>
              <w:left w:type="dxa" w:w="100"/>
              <w:bottom w:type="dxa" w:w="50"/>
              <w:right w:type="dxa" w:w="100"/>
            </w:tcMar>
          </w:tcPr>
          <w:p>
            <w:r>
              <w:rPr>
                <w:sz w:val="19"/>
                <w:szCs w:val="19"/>
              </w:rPr>
              <w:t xml:space="preserve">Actualités + réglementation (scraping live, cache 1h)</w:t>
            </w:r>
          </w:p>
        </w:tc>
      </w:tr>
      <w:tr>
        <w:tc>
          <w:tcPr>
            <w:tcW w:type="dxa" w:w="1392"/>
            <w:tcMar>
              <w:top w:type="dxa" w:w="50"/>
              <w:left w:type="dxa" w:w="100"/>
              <w:bottom w:type="dxa" w:w="50"/>
              <w:right w:type="dxa" w:w="100"/>
            </w:tcMar>
          </w:tcPr>
          <w:p>
            <w:r>
              <w:rPr>
                <w:rFonts w:ascii="Consolas" w:cs="Consolas" w:eastAsia="Consolas" w:hAnsi="Consolas"/>
                <w:sz w:val="19"/>
                <w:szCs w:val="19"/>
              </w:rPr>
              <w:t xml:space="preserve">qualite</w:t>
            </w:r>
          </w:p>
        </w:tc>
        <w:tc>
          <w:tcPr>
            <w:tcW w:type="dxa" w:w="8354"/>
            <w:tcMar>
              <w:top w:type="dxa" w:w="50"/>
              <w:left w:type="dxa" w:w="100"/>
              <w:bottom w:type="dxa" w:w="50"/>
              <w:right w:type="dxa" w:w="100"/>
            </w:tcMar>
          </w:tcPr>
          <w:p>
            <w:r>
              <w:rPr>
                <w:sz w:val="19"/>
                <w:szCs w:val="19"/>
              </w:rPr>
              <w:t xml:space="preserve">Qualité des données, traçabilité PDF (surlignage), rapport IA</w:t>
            </w:r>
          </w:p>
        </w:tc>
      </w:tr>
      <w:tr>
        <w:tc>
          <w:tcPr>
            <w:tcW w:type="dxa" w:w="1392"/>
            <w:tcMar>
              <w:top w:type="dxa" w:w="50"/>
              <w:left w:type="dxa" w:w="100"/>
              <w:bottom w:type="dxa" w:w="50"/>
              <w:right w:type="dxa" w:w="100"/>
            </w:tcMar>
          </w:tcPr>
          <w:p>
            <w:r>
              <w:rPr>
                <w:rFonts w:ascii="Consolas" w:cs="Consolas" w:eastAsia="Consolas" w:hAnsi="Consolas"/>
                <w:sz w:val="19"/>
                <w:szCs w:val="19"/>
              </w:rPr>
              <w:t xml:space="preserve">export</w:t>
            </w:r>
          </w:p>
        </w:tc>
        <w:tc>
          <w:tcPr>
            <w:tcW w:type="dxa" w:w="8354"/>
            <w:tcMar>
              <w:top w:type="dxa" w:w="50"/>
              <w:left w:type="dxa" w:w="100"/>
              <w:bottom w:type="dxa" w:w="50"/>
              <w:right w:type="dxa" w:w="100"/>
            </w:tcMar>
          </w:tcPr>
          <w:p>
            <w:r>
              <w:rPr>
                <w:sz w:val="19"/>
                <w:szCs w:val="19"/>
              </w:rPr>
              <w:t xml:space="preserve">Génération PDF/Excel</w:t>
            </w:r>
          </w:p>
        </w:tc>
      </w:tr>
      <w:tr>
        <w:tc>
          <w:tcPr>
            <w:tcW w:type="dxa" w:w="1392"/>
            <w:tcMar>
              <w:top w:type="dxa" w:w="50"/>
              <w:left w:type="dxa" w:w="100"/>
              <w:bottom w:type="dxa" w:w="50"/>
              <w:right w:type="dxa" w:w="100"/>
            </w:tcMar>
          </w:tcPr>
          <w:p>
            <w:r>
              <w:rPr>
                <w:rFonts w:ascii="Consolas" w:cs="Consolas" w:eastAsia="Consolas" w:hAnsi="Consolas"/>
                <w:sz w:val="19"/>
                <w:szCs w:val="19"/>
              </w:rPr>
              <w:t xml:space="preserve">notifications</w:t>
            </w:r>
          </w:p>
        </w:tc>
        <w:tc>
          <w:tcPr>
            <w:tcW w:type="dxa" w:w="8354"/>
            <w:tcMar>
              <w:top w:type="dxa" w:w="50"/>
              <w:left w:type="dxa" w:w="100"/>
              <w:bottom w:type="dxa" w:w="50"/>
              <w:right w:type="dxa" w:w="100"/>
            </w:tcMar>
          </w:tcPr>
          <w:p>
            <w:r>
              <w:rPr>
                <w:sz w:val="19"/>
                <w:szCs w:val="19"/>
              </w:rPr>
              <w:t xml:space="preserve">Cloche in-app</w:t>
            </w:r>
          </w:p>
        </w:tc>
      </w:tr>
    </w:tbl>
    <w:p>
      <w:pPr>
        <w:spacing w:after="160"/>
      </w:pPr>
    </w:p>
    <w:p>
      <w:pPr>
        <w:spacing w:after="140"/>
      </w:pPr>
      <w:r>
        <w:rPr>
          <w:b/>
          <w:bCs/>
        </w:rPr>
        <w:t xml:space="preserve">Services clés</w:t>
      </w:r>
      <w:r>
        <w:t xml:space="preserve"> : </w:t>
      </w:r>
      <w:r>
        <w:rPr>
          <w:rFonts w:ascii="Consolas" w:cs="Consolas" w:eastAsia="Consolas" w:hAnsi="Consolas"/>
          <w:sz w:val="20"/>
          <w:szCs w:val="20"/>
        </w:rPr>
        <w:t xml:space="preserve">kpi_builder.py</w:t>
      </w:r>
      <w:r>
        <w:t xml:space="preserve"> (construction des lignes KPI avec repli), </w:t>
      </w:r>
      <w:r>
        <w:rPr>
          <w:rFonts w:ascii="Consolas" w:cs="Consolas" w:eastAsia="Consolas" w:hAnsi="Consolas"/>
          <w:sz w:val="20"/>
          <w:szCs w:val="20"/>
        </w:rPr>
        <w:t xml:space="preserve">quality.py</w:t>
      </w:r>
      <w:r>
        <w:t xml:space="preserve"> (score qualité, </w:t>
      </w:r>
      <w:r>
        <w:rPr>
          <w:rFonts w:ascii="Consolas" w:cs="Consolas" w:eastAsia="Consolas" w:hAnsi="Consolas"/>
          <w:sz w:val="20"/>
          <w:szCs w:val="20"/>
        </w:rPr>
        <w:t xml:space="preserve">PROBLEMATIC_CODES</w:t>
      </w:r>
      <w:r>
        <w:t xml:space="preserve">), </w:t>
      </w:r>
      <w:r>
        <w:rPr>
          <w:rFonts w:ascii="Consolas" w:cs="Consolas" w:eastAsia="Consolas" w:hAnsi="Consolas"/>
          <w:sz w:val="20"/>
          <w:szCs w:val="20"/>
        </w:rPr>
        <w:t xml:space="preserve">anomalies_service.py</w:t>
      </w:r>
      <w:r>
        <w:t xml:space="preserve"> (détection d'anomalies + rapport IA avec garde-fou anti-hallucination), </w:t>
      </w:r>
      <w:r>
        <w:rPr>
          <w:rFonts w:ascii="Consolas" w:cs="Consolas" w:eastAsia="Consolas" w:hAnsi="Consolas"/>
          <w:sz w:val="20"/>
          <w:szCs w:val="20"/>
        </w:rPr>
        <w:t xml:space="preserve">pipeline_audit.py</w:t>
      </w:r>
      <w:r>
        <w:t xml:space="preserve"> (diagnostic de cause), </w:t>
      </w:r>
      <w:r>
        <w:rPr>
          <w:rFonts w:ascii="Consolas" w:cs="Consolas" w:eastAsia="Consolas" w:hAnsi="Consolas"/>
          <w:sz w:val="20"/>
          <w:szCs w:val="20"/>
        </w:rPr>
        <w:t xml:space="preserve">pdf_export.py</w:t>
      </w:r>
      <w:r>
        <w:t xml:space="preserve">/</w:t>
      </w:r>
      <w:r>
        <w:rPr>
          <w:rFonts w:ascii="Consolas" w:cs="Consolas" w:eastAsia="Consolas" w:hAnsi="Consolas"/>
          <w:sz w:val="20"/>
          <w:szCs w:val="20"/>
        </w:rPr>
        <w:t xml:space="preserve">excel_export.py</w:t>
      </w:r>
      <w:r>
        <w:t xml:space="preserve"> (exports — réutilisent directement les fonctions-vues Flask existantes pour ne jamais dupliquer une règle métier).</w:t>
      </w:r>
    </w:p>
    <w:p>
      <w:pPr>
        <w:spacing w:after="140"/>
      </w:pPr>
      <w:r>
        <w:rPr>
          <w:b/>
          <w:bCs/>
        </w:rPr>
        <w:t xml:space="preserve">Pourquoi pas d'authentification</w:t>
      </w:r>
      <w:r>
        <w:t xml:space="preserve"> : usage strictement interne (réseau EY), pas d'exposition publique prévue — un choix pragmatique pour un PFE/outil interne, à documenter comme limite assumée si le sujet est déployé plus largement.</w:t>
      </w:r>
    </w:p>
    <w:p>
      <w:pPr>
        <w:spacing w:after="140"/>
      </w:pPr>
      <w:r>
        <w:rPr>
          <w:b/>
          <w:bCs/>
        </w:rPr>
        <w:t xml:space="preserve">`use_reloader=False`</w:t>
      </w:r>
      <w:r>
        <w:t xml:space="preserve"> : le rechargeur automatique Flask casse la connexion MySQL au redémarrage sur cette machine Windows (cause exacte non identifiée, 100% reproductible) → toute modification backend nécessite un redémarrage manuel.</w:t>
      </w:r>
    </w:p>
    <w:p>
      <w:pPr>
        <w:pStyle w:val="Heading1"/>
        <w:spacing w:after="140" w:before="280"/>
      </w:pPr>
      <w:r>
        <w:rPr>
          <w:b/>
          <w:bCs/>
          <w:color w:val="2E2E38"/>
        </w:rPr>
        <w:t xml:space="preserve">9. Couche 7 — Frontend</w:t>
      </w:r>
    </w:p>
    <w:p>
      <w:pPr>
        <w:spacing w:after="140"/>
      </w:pPr>
      <w:r>
        <w:t xml:space="preserve">React 19 + Vite, </w:t>
      </w:r>
      <w:r>
        <w:rPr>
          <w:rFonts w:ascii="Consolas" w:cs="Consolas" w:eastAsia="Consolas" w:hAnsi="Consolas"/>
          <w:sz w:val="20"/>
          <w:szCs w:val="20"/>
        </w:rPr>
        <w:t xml:space="preserve">react-router-dom</w:t>
      </w:r>
      <w:r>
        <w:t xml:space="preserve"> v7, ApexCharts, </w:t>
      </w:r>
      <w:r>
        <w:rPr>
          <w:rFonts w:ascii="Consolas" w:cs="Consolas" w:eastAsia="Consolas" w:hAnsi="Consolas"/>
          <w:sz w:val="20"/>
          <w:szCs w:val="20"/>
        </w:rPr>
        <w:t xml:space="preserve">pdfjs-dist</w:t>
      </w:r>
      <w:r>
        <w:t xml:space="preserve">. </w:t>
      </w:r>
      <w:r>
        <w:rPr>
          <w:b/>
          <w:bCs/>
        </w:rPr>
        <w:t xml:space="preserve">13 pages routées</w:t>
      </w:r>
      <w:r>
        <w:t xml:space="preserve">, dont 3 non liées dans la navbar (</w:t>
      </w:r>
      <w:r>
        <w:rPr>
          <w:rFonts w:ascii="Consolas" w:cs="Consolas" w:eastAsia="Consolas" w:hAnsi="Consolas"/>
          <w:sz w:val="20"/>
          <w:szCs w:val="20"/>
        </w:rPr>
        <w:t xml:space="preserve">/positionnement</w:t>
      </w:r>
      <w:r>
        <w:t xml:space="preserve">, </w:t>
      </w:r>
      <w:r>
        <w:rPr>
          <w:rFonts w:ascii="Consolas" w:cs="Consolas" w:eastAsia="Consolas" w:hAnsi="Consolas"/>
          <w:sz w:val="20"/>
          <w:szCs w:val="20"/>
        </w:rPr>
        <w:t xml:space="preserve">/kpi-detail</w:t>
      </w:r>
      <w:r>
        <w:t xml:space="preserve">, </w:t>
      </w:r>
      <w:r>
        <w:rPr>
          <w:rFonts w:ascii="Consolas" w:cs="Consolas" w:eastAsia="Consolas" w:hAnsi="Consolas"/>
          <w:sz w:val="20"/>
          <w:szCs w:val="20"/>
        </w:rPr>
        <w:t xml:space="preserve">/rapport-pipeline</w:t>
      </w:r>
      <w:r>
        <w:t xml:space="preserve"> — accès direct par URL).</w:t>
      </w:r>
    </w:p>
    <w:p>
      <w:pPr>
        <w:spacing w:after="140"/>
      </w:pPr>
      <w:r>
        <w:rPr>
          <w:b/>
          <w:bCs/>
        </w:rPr>
        <w:t xml:space="preserve">Pourquoi React + Vite plutôt qu'un autre framework</w:t>
      </w:r>
      <w:r>
        <w:t xml:space="preserve"> : écosystème mature pour une SPA avec beaucoup d'état d'interface (filtres, sélecteurs), Vite offrant un cycle de développement rapide (HMR) adapté à des itérations fréquentes sur les pages de visualisation.</w:t>
      </w:r>
    </w:p>
    <w:p>
      <w:pPr>
        <w:spacing w:after="140"/>
      </w:pPr>
      <w:r>
        <w:rPr>
          <w:b/>
          <w:bCs/>
        </w:rPr>
        <w:t xml:space="preserve">Pourquoi ApexCharts plutôt que D3/Chart.js/Recharts</w:t>
      </w:r>
      <w:r>
        <w:t xml:space="preserve"> : API déclarative haut niveau couvrant tous les types de graphiques nécessaires (line/bar/donut/area/scatter) sans avoir à manipuler le rendu SVG bas niveau — accélère le développement au prix d'une personnalisation plus limitée que D3.</w:t>
      </w:r>
    </w:p>
    <w:p>
      <w:pPr>
        <w:spacing w:after="140"/>
      </w:pPr>
      <w:r>
        <w:rPr>
          <w:b/>
          <w:bCs/>
        </w:rPr>
        <w:t xml:space="preserve">Mécanisme le plus complexe du frontend : `KpiDetail.jsx` (zoom + surlignage PDF)</w:t>
      </w:r>
    </w:p>
    <w:p>
      <w:pPr>
        <w:pStyle w:val="ListParagraph"/>
        <w:numPr>
          <w:ilvl w:val="0"/>
          <w:numId w:val="1"/>
        </w:numPr>
        <w:spacing w:after="80"/>
      </w:pPr>
      <w:r>
        <w:t xml:space="preserve">Rendu PDF via </w:t>
      </w:r>
      <w:r>
        <w:rPr>
          <w:rFonts w:ascii="Consolas" w:cs="Consolas" w:eastAsia="Consolas" w:hAnsi="Consolas"/>
          <w:sz w:val="20"/>
          <w:szCs w:val="20"/>
        </w:rPr>
        <w:t xml:space="preserve">pdfjs-dist</w:t>
      </w:r>
      <w:r>
        <w:t xml:space="preserve">, deux canvas superposés (rendu + overlay de surlignage transparent aux clics).</w:t>
      </w:r>
    </w:p>
    <w:p>
      <w:pPr>
        <w:pStyle w:val="ListParagraph"/>
        <w:numPr>
          <w:ilvl w:val="0"/>
          <w:numId w:val="1"/>
        </w:numPr>
        <w:spacing w:after="80"/>
      </w:pPr>
      <w:r>
        <w:t xml:space="preserve">Cache du document parsé — seul un changement de société/année reparse le PDF ; zoom/page ne fait que recalculer le viewport.</w:t>
      </w:r>
    </w:p>
    <w:p>
      <w:pPr>
        <w:pStyle w:val="ListParagraph"/>
        <w:numPr>
          <w:ilvl w:val="0"/>
          <w:numId w:val="1"/>
        </w:numPr>
        <w:spacing w:after="80"/>
      </w:pPr>
      <w:r>
        <w:t xml:space="preserve">Conversion de coordonnées via l'API native pdf.js </w:t>
      </w:r>
      <w:r>
        <w:rPr>
          <w:rFonts w:ascii="Consolas" w:cs="Consolas" w:eastAsia="Consolas" w:hAnsi="Consolas"/>
          <w:sz w:val="20"/>
          <w:szCs w:val="20"/>
        </w:rPr>
        <w:t xml:space="preserve">convertToViewportPoint()</w:t>
      </w:r>
      <w:r>
        <w:t xml:space="preserve">, qui gère automatiquement échelle et rotation — pas de logique de conversion manuelle côté frontend.</w:t>
      </w:r>
    </w:p>
    <w:p>
      <w:pPr>
        <w:pStyle w:val="ListParagraph"/>
        <w:numPr>
          <w:ilvl w:val="0"/>
          <w:numId w:val="1"/>
        </w:numPr>
        <w:spacing w:after="80"/>
      </w:pPr>
      <w:r>
        <w:t xml:space="preserve">3 endpoints selon le contexte : </w:t>
      </w:r>
      <w:r>
        <w:rPr>
          <w:rFonts w:ascii="Consolas" w:cs="Consolas" w:eastAsia="Consolas" w:hAnsi="Consolas"/>
          <w:sz w:val="20"/>
          <w:szCs w:val="20"/>
        </w:rPr>
        <w:t xml:space="preserve">pdf-cell-coords</w:t>
      </w:r>
      <w:r>
        <w:t xml:space="preserve"> (société standard), </w:t>
      </w:r>
      <w:r>
        <w:rPr>
          <w:rFonts w:ascii="Consolas" w:cs="Consolas" w:eastAsia="Consolas" w:hAnsi="Consolas"/>
          <w:sz w:val="20"/>
          <w:szCs w:val="20"/>
        </w:rPr>
        <w:t xml:space="preserve">sector-pdf-cell</w:t>
      </w:r>
      <w:r>
        <w:t xml:space="preserve"> (FTUSA/CGA), </w:t>
      </w:r>
      <w:r>
        <w:rPr>
          <w:rFonts w:ascii="Consolas" w:cs="Consolas" w:eastAsia="Consolas" w:hAnsi="Consolas"/>
          <w:sz w:val="20"/>
          <w:szCs w:val="20"/>
        </w:rPr>
        <w:t xml:space="preserve">arabic-pdf-cell</w:t>
      </w:r>
      <w:r>
        <w:t xml:space="preserve"> (AL_AMANAH_TAKAFUL).</w:t>
      </w:r>
    </w:p>
    <w:p>
      <w:pPr>
        <w:spacing w:after="140"/>
      </w:pPr>
      <w:r>
        <w:rPr>
          <w:b/>
          <w:bCs/>
        </w:rPr>
        <w:t xml:space="preserve">Design system EY</w:t>
      </w:r>
      <w:r>
        <w:t xml:space="preserve"> : palette </w:t>
      </w:r>
      <w:r>
        <w:rPr>
          <w:rFonts w:ascii="Consolas" w:cs="Consolas" w:eastAsia="Consolas" w:hAnsi="Consolas"/>
          <w:sz w:val="20"/>
          <w:szCs w:val="20"/>
        </w:rPr>
        <w:t xml:space="preserve">#FFE600</w:t>
      </w:r>
      <w:r>
        <w:t xml:space="preserve"> (jaune)/</w:t>
      </w:r>
      <w:r>
        <w:rPr>
          <w:rFonts w:ascii="Consolas" w:cs="Consolas" w:eastAsia="Consolas" w:hAnsi="Consolas"/>
          <w:sz w:val="20"/>
          <w:szCs w:val="20"/>
        </w:rPr>
        <w:t xml:space="preserve">#2E2E38</w:t>
      </w:r>
      <w:r>
        <w:t xml:space="preserve"> (anthracite), police Barlow — imposée par la charte EY, mais redéfinie manuellement dans une dizaine de fichiers plutôt que centralisée dans un thème unique (point d'amélioration possible, pas bloquant).</w:t>
      </w:r>
    </w:p>
    <w:p>
      <w:pPr>
        <w:spacing w:after="140"/>
      </w:pPr>
      <w:r>
        <w:rPr>
          <w:b/>
          <w:bCs/>
        </w:rPr>
        <w:t xml:space="preserve">Chatbot</w:t>
      </w:r>
      <w:r>
        <w:t xml:space="preserve"> : composant flottant global, communique avec un </w:t>
      </w:r>
      <w:r>
        <w:rPr>
          <w:b/>
          <w:bCs/>
        </w:rPr>
        <w:t xml:space="preserve">backend séparé</w:t>
      </w:r>
      <w:r>
        <w:t xml:space="preserve"> (port 5001, distinct de l'API principale port 8002) — voir §10.</w:t>
      </w:r>
    </w:p>
    <w:p>
      <w:pPr>
        <w:pStyle w:val="Heading1"/>
        <w:spacing w:after="140" w:before="280"/>
      </w:pPr>
      <w:r>
        <w:rPr>
          <w:b/>
          <w:bCs/>
          <w:color w:val="2E2E38"/>
        </w:rPr>
        <w:t xml:space="preserve">10. Couche 8 — Intelligence Artificielle</w:t>
      </w:r>
    </w:p>
    <w:p>
      <w:pPr>
        <w:spacing w:after="140"/>
      </w:pPr>
      <w:r>
        <w:t xml:space="preserve">Microservice Flask </w:t>
      </w:r>
      <w:r>
        <w:rPr>
          <w:b/>
          <w:bCs/>
        </w:rPr>
        <w:t xml:space="preserve">indépendant</w:t>
      </w:r>
      <w:r>
        <w:t xml:space="preserve"> (</w:t>
      </w:r>
      <w:r>
        <w:rPr>
          <w:rFonts w:ascii="Consolas" w:cs="Consolas" w:eastAsia="Consolas" w:hAnsi="Consolas"/>
          <w:sz w:val="20"/>
          <w:szCs w:val="20"/>
        </w:rPr>
        <w:t xml:space="preserve">chatbot_portable/</w:t>
      </w:r>
      <w:r>
        <w:t xml:space="preserve">, port 5001), avec sa propre copie SQLite synchronisée manuellement depuis MySQL (portabilité Docker sans dépendance MySQL directe pour ce composant).</w:t>
      </w:r>
    </w:p>
    <w:p>
      <w:pPr>
        <w:pStyle w:val="Heading2"/>
        <w:spacing w:after="140" w:before="280"/>
      </w:pPr>
      <w:r>
        <w:rPr>
          <w:b/>
          <w:bCs/>
          <w:color w:val="555555"/>
        </w:rPr>
        <w:t xml:space="preserve">10.1 Chatbot RAG (réglementaire)</w:t>
      </w:r>
    </w:p>
    <w:p>
      <w:pPr>
        <w:pStyle w:val="ListParagraph"/>
        <w:numPr>
          <w:ilvl w:val="0"/>
          <w:numId w:val="1"/>
        </w:numPr>
        <w:spacing w:after="80"/>
      </w:pPr>
      <w:r>
        <w:rPr>
          <w:b/>
          <w:bCs/>
        </w:rPr>
        <w:t xml:space="preserve">Retrieval</w:t>
      </w:r>
      <w:r>
        <w:t xml:space="preserve"> : TF-IDF </w:t>
      </w:r>
      <w:r>
        <w:rPr>
          <w:b/>
          <w:bCs/>
        </w:rPr>
        <w:t xml:space="preserve">fait main</w:t>
      </w:r>
      <w:r>
        <w:t xml:space="preserve"> (</w:t>
      </w:r>
      <w:r>
        <w:rPr>
          <w:rFonts w:ascii="Consolas" w:cs="Consolas" w:eastAsia="Consolas" w:hAnsi="Consolas"/>
          <w:sz w:val="20"/>
          <w:szCs w:val="20"/>
        </w:rPr>
        <w:t xml:space="preserve">_tokenize()</w:t>
      </w:r>
      <w:r>
        <w:t xml:space="preserve">, </w:t>
      </w:r>
      <w:r>
        <w:rPr>
          <w:rFonts w:ascii="Consolas" w:cs="Consolas" w:eastAsia="Consolas" w:hAnsi="Consolas"/>
          <w:sz w:val="20"/>
          <w:szCs w:val="20"/>
        </w:rPr>
        <w:t xml:space="preserve">_tfidf_score()</w:t>
      </w:r>
      <w:r>
        <w:t xml:space="preserve"> — calcul </w:t>
      </w:r>
      <w:r>
        <w:rPr>
          <w:rFonts w:ascii="Consolas" w:cs="Consolas" w:eastAsia="Consolas" w:hAnsi="Consolas"/>
          <w:sz w:val="20"/>
          <w:szCs w:val="20"/>
        </w:rPr>
        <w:t xml:space="preserve">tf×idf</w:t>
      </w:r>
      <w:r>
        <w:t xml:space="preserve"> codé directement, pas de scikit-learn) sur un corpus hybride : 12 fiches réglementaires rédigées à la main + corpus "extra" ingéré automatiquement depuis les rapports CGA (</w:t>
      </w:r>
      <w:r>
        <w:rPr>
          <w:rFonts w:ascii="Consolas" w:cs="Consolas" w:eastAsia="Consolas" w:hAnsi="Consolas"/>
          <w:sz w:val="20"/>
          <w:szCs w:val="20"/>
        </w:rPr>
        <w:t xml:space="preserve">rag_ingest.py</w:t>
      </w:r>
      <w:r>
        <w:t xml:space="preserve">, pipeline batch manuel, filtrage anti-corruption OCR, chunking par paragraphes).</w:t>
      </w:r>
    </w:p>
    <w:p>
      <w:pPr>
        <w:pStyle w:val="ListParagraph"/>
        <w:numPr>
          <w:ilvl w:val="0"/>
          <w:numId w:val="1"/>
        </w:numPr>
        <w:spacing w:after="80"/>
      </w:pPr>
      <w:r>
        <w:rPr>
          <w:b/>
          <w:bCs/>
        </w:rPr>
        <w:t xml:space="preserve">Pourquoi pas d'embeddings/base vectorielle</w:t>
      </w:r>
      <w:r>
        <w:t xml:space="preserve"> : corpus de taille modeste (une douzaine de fiches + quelques dizaines de pages ingérées), pour lequel un TF-IDF simple est suffisant et évite la complexité/coût d'une infrastructure vectorielle (modèle d'embedding à héberger ou appeler, index à maintenir) disproportionnée à l'échelle du corpus.</w:t>
      </w:r>
    </w:p>
    <w:p>
      <w:pPr>
        <w:pStyle w:val="ListParagraph"/>
        <w:numPr>
          <w:ilvl w:val="0"/>
          <w:numId w:val="1"/>
        </w:numPr>
        <w:spacing w:after="80"/>
      </w:pPr>
      <w:r>
        <w:rPr>
          <w:b/>
          <w:bCs/>
        </w:rPr>
        <w:t xml:space="preserve">Génération</w:t>
      </w:r>
      <w:r>
        <w:t xml:space="preserve"> : Groq, prompt système strict ("réponds uniquement à partir des documents fournis"), fallback sans LLM = renvoi direct du contexte brut si l'appel échoue (réponse toujours produite).</w:t>
      </w:r>
    </w:p>
    <w:p>
      <w:pPr>
        <w:pStyle w:val="Heading2"/>
        <w:spacing w:after="140" w:before="280"/>
      </w:pPr>
      <w:r>
        <w:rPr>
          <w:b/>
          <w:bCs/>
          <w:color w:val="555555"/>
        </w:rPr>
        <w:t xml:space="preserve">10.2 Module de prévision (</w:t>
      </w:r>
      <w:r>
        <w:rPr>
          <w:rFonts w:ascii="Consolas" w:cs="Consolas" w:eastAsia="Consolas" w:hAnsi="Consolas"/>
          <w:b/>
          <w:bCs/>
          <w:color w:val="555555"/>
          <w:sz w:val="20"/>
          <w:szCs w:val="20"/>
        </w:rPr>
        <w:t xml:space="preserve">prediction/</w:t>
      </w:r>
      <w:r>
        <w:rPr>
          <w:b/>
          <w:bCs/>
          <w:color w:val="555555"/>
        </w:rPr>
        <w:t xml:space="preserve">)</w:t>
      </w:r>
    </w:p>
    <w:p>
      <w:pPr>
        <w:spacing w:after="140"/>
      </w:pPr>
      <w:r>
        <w:t xml:space="preserve">Architecture Factory/Strategy, point d'entrée </w:t>
      </w:r>
      <w:r>
        <w:rPr>
          <w:rFonts w:ascii="Consolas" w:cs="Consolas" w:eastAsia="Consolas" w:hAnsi="Consolas"/>
          <w:sz w:val="20"/>
          <w:szCs w:val="20"/>
        </w:rPr>
        <w:t xml:space="preserve">ForecastService.predict()</w:t>
      </w:r>
      <w:r>
        <w:t xml:space="preserve">.</w:t>
      </w:r>
    </w:p>
    <w:p>
      <w:pPr>
        <w:spacing w:after="140"/>
      </w:pPr>
      <w:r>
        <w:rPr>
          <w:b/>
          <w:bCs/>
        </w:rPr>
        <w:t xml:space="preserve">Sélection automatique Prophet vs XGBoost</w:t>
      </w:r>
      <w:r>
        <w:t xml:space="preserve"> : véritable AutoML léger par </w:t>
      </w:r>
      <w:r>
        <w:rPr>
          <w:b/>
          <w:bCs/>
        </w:rPr>
        <w:t xml:space="preserve">cross-validation chronologique combinée</w:t>
      </w:r>
      <w:r>
        <w:t xml:space="preserve"> (TimeSeriesSplit + Walk-Forward), score composite </w:t>
      </w:r>
      <w:r>
        <w:rPr>
          <w:rFonts w:ascii="Consolas" w:cs="Consolas" w:eastAsia="Consolas" w:hAnsi="Consolas"/>
          <w:sz w:val="20"/>
          <w:szCs w:val="20"/>
        </w:rPr>
        <w:t xml:space="preserve">MAPE×0.7 + (RMSE/MAE)×0.3</w:t>
      </w:r>
      <w:r>
        <w:t xml:space="preserve">, le plus bas gagne. Une préférence a priori par nature de KPI (Prophet pour séries à tendance structurelle comme les primes, XGBoost pour ratios volatils comme le ROE) détermine seulement l'</w:t>
      </w:r>
      <w:r>
        <w:rPr>
          <w:b/>
          <w:bCs/>
        </w:rPr>
        <w:t xml:space="preserve">ordre de test</w:t>
      </w:r>
      <w:r>
        <w:t xml:space="preserve">, pas le résultat final — le score décide.</w:t>
      </w:r>
    </w:p>
    <w:p>
      <w:pPr>
        <w:spacing w:after="140"/>
      </w:pPr>
      <w:r>
        <w:rPr>
          <w:b/>
          <w:bCs/>
        </w:rPr>
        <w:t xml:space="preserve">Explicabilité</w:t>
      </w:r>
      <w:r>
        <w:t xml:space="preserve"> :</w:t>
      </w:r>
    </w:p>
    <w:p>
      <w:pPr>
        <w:pStyle w:val="ListParagraph"/>
        <w:numPr>
          <w:ilvl w:val="0"/>
          <w:numId w:val="1"/>
        </w:numPr>
        <w:spacing w:after="80"/>
      </w:pPr>
      <w:r>
        <w:t xml:space="preserve">XGBoost → </w:t>
      </w:r>
      <w:r>
        <w:rPr>
          <w:b/>
          <w:bCs/>
        </w:rPr>
        <w:t xml:space="preserve">TreeSHAP natif</w:t>
      </w:r>
      <w:r>
        <w:t xml:space="preserve"> (</w:t>
      </w:r>
      <w:r>
        <w:rPr>
          <w:rFonts w:ascii="Consolas" w:cs="Consolas" w:eastAsia="Consolas" w:hAnsi="Consolas"/>
          <w:sz w:val="20"/>
          <w:szCs w:val="20"/>
        </w:rPr>
        <w:t xml:space="preserve">booster.predict(dmat, pred_contribs=True)</w:t>
      </w:r>
      <w:r>
        <w:t xml:space="preserve">, intégré à la librairie XGBoost elle-même, pas la lib Python </w:t>
      </w:r>
      <w:r>
        <w:rPr>
          <w:rFonts w:ascii="Consolas" w:cs="Consolas" w:eastAsia="Consolas" w:hAnsi="Consolas"/>
          <w:sz w:val="20"/>
          <w:szCs w:val="20"/>
        </w:rPr>
        <w:t xml:space="preserve">shap</w:t>
      </w:r>
      <w:r>
        <w:t xml:space="preserve">).</w:t>
      </w:r>
    </w:p>
    <w:p>
      <w:pPr>
        <w:pStyle w:val="ListParagraph"/>
        <w:numPr>
          <w:ilvl w:val="0"/>
          <w:numId w:val="1"/>
        </w:numPr>
        <w:spacing w:after="80"/>
      </w:pPr>
      <w:r>
        <w:t xml:space="preserve">Prophet → décomposition trend (poids 0.6) / saisonnalité (0.2) / momentum récent (0.2).</w:t>
      </w:r>
    </w:p>
    <w:p>
      <w:pPr>
        <w:spacing w:after="140"/>
      </w:pPr>
      <w:r>
        <w:rPr>
          <w:b/>
          <w:bCs/>
        </w:rPr>
        <w:t xml:space="preserve">Pourquoi Prophet + XGBoost plutôt qu'un seul modèle</w:t>
      </w:r>
      <w:r>
        <w:t xml:space="preserve"> : les séries KPI de ce projet sont </w:t>
      </w:r>
      <w:r>
        <w:rPr>
          <w:b/>
          <w:bCs/>
        </w:rPr>
        <w:t xml:space="preserve">courtes</w:t>
      </w:r>
      <w:r>
        <w:t xml:space="preserve"> (5 à 15 points annuels) et de nature hétérogène — certaines à tendance longue et lissée (démographiques/macro), d'autres bruitées et sensibles à des facteurs récents (ratios techniques). Un seul modèle universel aurait sous-performé sur l'une des deux catégories ; la sélection automatique par CV évite d'avoir à trancher manuellement par KPI.</w:t>
      </w:r>
    </w:p>
    <w:p>
      <w:pPr>
        <w:spacing w:after="140"/>
      </w:pPr>
      <w:r>
        <w:rPr>
          <w:b/>
          <w:bCs/>
        </w:rPr>
        <w:t xml:space="preserve">Narratif automatique</w:t>
      </w:r>
      <w:r>
        <w:t xml:space="preserve"> : génère un texte structuré à partir des résultats déjà calculés (aucun calcul dans ce module), passé au LLM Groq pour reformulation finale — avec un prompt anti-hallucination renforcé après un incident réel (2026-08-18) où le LLM inventait des événements fictifs (fusion de compagnies, cadre réglementaire inexistant).</w:t>
      </w:r>
    </w:p>
    <w:p>
      <w:pPr>
        <w:spacing w:after="140"/>
      </w:pPr>
      <w:r>
        <w:rPr>
          <w:b/>
          <w:bCs/>
        </w:rPr>
        <w:t xml:space="preserve">Fallback complet</w:t>
      </w:r>
      <w:r>
        <w:t xml:space="preserve"> : si </w:t>
      </w:r>
      <w:r>
        <w:rPr>
          <w:rFonts w:ascii="Consolas" w:cs="Consolas" w:eastAsia="Consolas" w:hAnsi="Consolas"/>
          <w:sz w:val="20"/>
          <w:szCs w:val="20"/>
        </w:rPr>
        <w:t xml:space="preserve">prediction/</w:t>
      </w:r>
      <w:r>
        <w:t xml:space="preserve"> échoue, bascule sur une régression linéaire OLS simple, explicitement étiquetée comme telle dans la réponse.</w:t>
      </w:r>
    </w:p>
    <w:p>
      <w:pPr>
        <w:pStyle w:val="Heading2"/>
        <w:spacing w:after="140" w:before="280"/>
      </w:pPr>
      <w:r>
        <w:rPr>
          <w:b/>
          <w:bCs/>
          <w:color w:val="555555"/>
        </w:rPr>
        <w:t xml:space="preserve">10.3 Synchronisation </w:t>
      </w:r>
      <w:r>
        <w:rPr>
          <w:rFonts w:ascii="Consolas" w:cs="Consolas" w:eastAsia="Consolas" w:hAnsi="Consolas"/>
          <w:b/>
          <w:bCs/>
          <w:color w:val="555555"/>
          <w:sz w:val="20"/>
          <w:szCs w:val="20"/>
        </w:rPr>
        <w:t xml:space="preserve">sync_db.py</w:t>
      </w:r>
    </w:p>
    <w:p>
      <w:pPr>
        <w:spacing w:after="140"/>
      </w:pPr>
      <w:r>
        <w:t xml:space="preserve">Reconstruction </w:t>
      </w:r>
      <w:r>
        <w:rPr>
          <w:b/>
          <w:bCs/>
        </w:rPr>
        <w:t xml:space="preserve">complète</w:t>
      </w:r>
      <w:r>
        <w:t xml:space="preserve"> (DELETE + ré-INSERT intégral) de la copie SQLite depuis MySQL — pas de diff incrémental, jugé disproportionné pour ce volume. </w:t>
      </w:r>
      <w:r>
        <w:rPr>
          <w:b/>
          <w:bCs/>
        </w:rPr>
        <w:t xml:space="preserve">Déclenchement entièrement manuel</w:t>
      </w:r>
      <w:r>
        <w:t xml:space="preserve">, aucun scheduler ne l'appelle (contrairement à la veille) — un incident réel de dérive (copie vieille d'un mois faussant les prévisions) est documenté directement dans le code.</w:t>
      </w:r>
    </w:p>
    <w:p>
      <w:pPr>
        <w:pStyle w:val="Heading1"/>
        <w:spacing w:after="140" w:before="280"/>
      </w:pPr>
      <w:r>
        <w:rPr>
          <w:b/>
          <w:bCs/>
          <w:color w:val="2E2E38"/>
        </w:rPr>
        <w:t xml:space="preserve">11. Déploiement</w:t>
      </w:r>
    </w:p>
    <w:p>
      <w:pPr>
        <w:spacing w:after="140"/>
      </w:pPr>
      <w:r>
        <w:rPr>
          <w:rFonts w:ascii="Consolas" w:cs="Consolas" w:eastAsia="Consolas" w:hAnsi="Consolas"/>
          <w:sz w:val="20"/>
          <w:szCs w:val="20"/>
        </w:rPr>
        <w:t xml:space="preserve">docker-compose.yml</w:t>
      </w:r>
      <w:r>
        <w:t xml:space="preserve"> — 4 services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17"/>
        <w:gridCol w:w="2078"/>
        <w:gridCol w:w="502"/>
        <w:gridCol w:w="6449"/>
      </w:tblGrid>
      <w:tr>
        <w:trPr>
          <w:tblHeader/>
        </w:trPr>
        <w:tc>
          <w:tcPr>
            <w:tcW w:type="dxa" w:w="717"/>
            <w:shd w:fill="2E2E38" w:val="clear"/>
            <w:tcMar>
              <w:top w:type="dxa" w:w="60"/>
              <w:left w:type="dxa" w:w="100"/>
              <w:bottom w:type="dxa" w:w="60"/>
              <w:right w:type="dxa" w:w="100"/>
            </w:tcMar>
          </w:tcPr>
          <w:p>
            <w:r>
              <w:rPr>
                <w:b/>
                <w:bCs/>
                <w:color w:val="FFFFFF"/>
                <w:sz w:val="19"/>
                <w:szCs w:val="19"/>
              </w:rPr>
              <w:t xml:space="preserve">Service</w:t>
            </w:r>
          </w:p>
        </w:tc>
        <w:tc>
          <w:tcPr>
            <w:tcW w:type="dxa" w:w="2078"/>
            <w:shd w:fill="2E2E38" w:val="clear"/>
            <w:tcMar>
              <w:top w:type="dxa" w:w="60"/>
              <w:left w:type="dxa" w:w="100"/>
              <w:bottom w:type="dxa" w:w="60"/>
              <w:right w:type="dxa" w:w="100"/>
            </w:tcMar>
          </w:tcPr>
          <w:p>
            <w:r>
              <w:rPr>
                <w:b/>
                <w:bCs/>
                <w:color w:val="FFFFFF"/>
                <w:sz w:val="19"/>
                <w:szCs w:val="19"/>
              </w:rPr>
              <w:t xml:space="preserve">Image/Build</w:t>
            </w:r>
          </w:p>
        </w:tc>
        <w:tc>
          <w:tcPr>
            <w:tcW w:type="dxa" w:w="502"/>
            <w:shd w:fill="2E2E38" w:val="clear"/>
            <w:tcMar>
              <w:top w:type="dxa" w:w="60"/>
              <w:left w:type="dxa" w:w="100"/>
              <w:bottom w:type="dxa" w:w="60"/>
              <w:right w:type="dxa" w:w="100"/>
            </w:tcMar>
          </w:tcPr>
          <w:p>
            <w:r>
              <w:rPr>
                <w:b/>
                <w:bCs/>
                <w:color w:val="FFFFFF"/>
                <w:sz w:val="19"/>
                <w:szCs w:val="19"/>
              </w:rPr>
              <w:t xml:space="preserve">Port</w:t>
            </w:r>
          </w:p>
        </w:tc>
        <w:tc>
          <w:tcPr>
            <w:tcW w:type="dxa" w:w="6449"/>
            <w:shd w:fill="2E2E38" w:val="clear"/>
            <w:tcMar>
              <w:top w:type="dxa" w:w="60"/>
              <w:left w:type="dxa" w:w="100"/>
              <w:bottom w:type="dxa" w:w="60"/>
              <w:right w:type="dxa" w:w="100"/>
            </w:tcMar>
          </w:tcPr>
          <w:p>
            <w:r>
              <w:rPr>
                <w:b/>
                <w:bCs/>
                <w:color w:val="FFFFFF"/>
                <w:sz w:val="19"/>
                <w:szCs w:val="19"/>
              </w:rPr>
              <w:t xml:space="preserve">Rôle</w:t>
            </w:r>
          </w:p>
        </w:tc>
      </w:tr>
      <w:tr>
        <w:tc>
          <w:tcPr>
            <w:tcW w:type="dxa" w:w="717"/>
            <w:tcMar>
              <w:top w:type="dxa" w:w="50"/>
              <w:left w:type="dxa" w:w="100"/>
              <w:bottom w:type="dxa" w:w="50"/>
              <w:right w:type="dxa" w:w="100"/>
            </w:tcMar>
          </w:tcPr>
          <w:p>
            <w:r>
              <w:rPr>
                <w:rFonts w:ascii="Consolas" w:cs="Consolas" w:eastAsia="Consolas" w:hAnsi="Consolas"/>
                <w:sz w:val="19"/>
                <w:szCs w:val="19"/>
              </w:rPr>
              <w:t xml:space="preserve">mysql</w:t>
            </w:r>
          </w:p>
        </w:tc>
        <w:tc>
          <w:tcPr>
            <w:tcW w:type="dxa" w:w="2078"/>
            <w:tcMar>
              <w:top w:type="dxa" w:w="50"/>
              <w:left w:type="dxa" w:w="100"/>
              <w:bottom w:type="dxa" w:w="50"/>
              <w:right w:type="dxa" w:w="100"/>
            </w:tcMar>
          </w:tcPr>
          <w:p>
            <w:r>
              <w:rPr>
                <w:rFonts w:ascii="Consolas" w:cs="Consolas" w:eastAsia="Consolas" w:hAnsi="Consolas"/>
                <w:sz w:val="19"/>
                <w:szCs w:val="19"/>
              </w:rPr>
              <w:t xml:space="preserve">mysql:8.0</w:t>
            </w:r>
          </w:p>
        </w:tc>
        <w:tc>
          <w:tcPr>
            <w:tcW w:type="dxa" w:w="502"/>
            <w:tcMar>
              <w:top w:type="dxa" w:w="50"/>
              <w:left w:type="dxa" w:w="100"/>
              <w:bottom w:type="dxa" w:w="50"/>
              <w:right w:type="dxa" w:w="100"/>
            </w:tcMar>
          </w:tcPr>
          <w:p>
            <w:r>
              <w:rPr>
                <w:sz w:val="19"/>
                <w:szCs w:val="19"/>
              </w:rPr>
              <w:t xml:space="preserve">3306</w:t>
            </w:r>
          </w:p>
        </w:tc>
        <w:tc>
          <w:tcPr>
            <w:tcW w:type="dxa" w:w="6449"/>
            <w:tcMar>
              <w:top w:type="dxa" w:w="50"/>
              <w:left w:type="dxa" w:w="100"/>
              <w:bottom w:type="dxa" w:w="50"/>
              <w:right w:type="dxa" w:w="100"/>
            </w:tcMar>
          </w:tcPr>
          <w:p>
            <w:r>
              <w:rPr>
                <w:sz w:val="19"/>
                <w:szCs w:val="19"/>
              </w:rPr>
              <w:t xml:space="preserve">Base de données, schéma initialisé automatiquement (</w:t>
            </w:r>
            <w:r>
              <w:rPr>
                <w:rFonts w:ascii="Consolas" w:cs="Consolas" w:eastAsia="Consolas" w:hAnsi="Consolas"/>
                <w:sz w:val="19"/>
                <w:szCs w:val="19"/>
              </w:rPr>
              <w:t xml:space="preserve">schema.sql</w:t>
            </w:r>
            <w:r>
              <w:rPr>
                <w:sz w:val="19"/>
                <w:szCs w:val="19"/>
              </w:rPr>
              <w:t xml:space="preserve"> monté en </w:t>
            </w:r>
            <w:r>
              <w:rPr>
                <w:rFonts w:ascii="Consolas" w:cs="Consolas" w:eastAsia="Consolas" w:hAnsi="Consolas"/>
                <w:sz w:val="19"/>
                <w:szCs w:val="19"/>
              </w:rPr>
              <w:t xml:space="preserve">docker-entrypoint-initdb.d</w:t>
            </w:r>
            <w:r>
              <w:rPr>
                <w:sz w:val="19"/>
                <w:szCs w:val="19"/>
              </w:rPr>
              <w:t xml:space="preserve">)</w:t>
            </w:r>
          </w:p>
        </w:tc>
      </w:tr>
      <w:tr>
        <w:tc>
          <w:tcPr>
            <w:tcW w:type="dxa" w:w="717"/>
            <w:tcMar>
              <w:top w:type="dxa" w:w="50"/>
              <w:left w:type="dxa" w:w="100"/>
              <w:bottom w:type="dxa" w:w="50"/>
              <w:right w:type="dxa" w:w="100"/>
            </w:tcMar>
          </w:tcPr>
          <w:p>
            <w:r>
              <w:rPr>
                <w:rFonts w:ascii="Consolas" w:cs="Consolas" w:eastAsia="Consolas" w:hAnsi="Consolas"/>
                <w:sz w:val="19"/>
                <w:szCs w:val="19"/>
              </w:rPr>
              <w:t xml:space="preserve">api</w:t>
            </w:r>
          </w:p>
        </w:tc>
        <w:tc>
          <w:tcPr>
            <w:tcW w:type="dxa" w:w="2078"/>
            <w:tcMar>
              <w:top w:type="dxa" w:w="50"/>
              <w:left w:type="dxa" w:w="100"/>
              <w:bottom w:type="dxa" w:w="50"/>
              <w:right w:type="dxa" w:w="100"/>
            </w:tcMar>
          </w:tcPr>
          <w:p>
            <w:r>
              <w:rPr>
                <w:rFonts w:ascii="Consolas" w:cs="Consolas" w:eastAsia="Consolas" w:hAnsi="Consolas"/>
                <w:sz w:val="19"/>
                <w:szCs w:val="19"/>
              </w:rPr>
              <w:t xml:space="preserve">Dockerfile.api</w:t>
            </w:r>
          </w:p>
        </w:tc>
        <w:tc>
          <w:tcPr>
            <w:tcW w:type="dxa" w:w="502"/>
            <w:tcMar>
              <w:top w:type="dxa" w:w="50"/>
              <w:left w:type="dxa" w:w="100"/>
              <w:bottom w:type="dxa" w:w="50"/>
              <w:right w:type="dxa" w:w="100"/>
            </w:tcMar>
          </w:tcPr>
          <w:p>
            <w:r>
              <w:rPr>
                <w:sz w:val="19"/>
                <w:szCs w:val="19"/>
              </w:rPr>
              <w:t xml:space="preserve">8002</w:t>
            </w:r>
          </w:p>
        </w:tc>
        <w:tc>
          <w:tcPr>
            <w:tcW w:type="dxa" w:w="6449"/>
            <w:tcMar>
              <w:top w:type="dxa" w:w="50"/>
              <w:left w:type="dxa" w:w="100"/>
              <w:bottom w:type="dxa" w:w="50"/>
              <w:right w:type="dxa" w:w="100"/>
            </w:tcMar>
          </w:tcPr>
          <w:p>
            <w:r>
              <w:rPr>
                <w:sz w:val="19"/>
                <w:szCs w:val="19"/>
              </w:rPr>
              <w:t xml:space="preserve">Backend Flask principal</w:t>
            </w:r>
          </w:p>
        </w:tc>
      </w:tr>
      <w:tr>
        <w:tc>
          <w:tcPr>
            <w:tcW w:type="dxa" w:w="717"/>
            <w:tcMar>
              <w:top w:type="dxa" w:w="50"/>
              <w:left w:type="dxa" w:w="100"/>
              <w:bottom w:type="dxa" w:w="50"/>
              <w:right w:type="dxa" w:w="100"/>
            </w:tcMar>
          </w:tcPr>
          <w:p>
            <w:r>
              <w:rPr>
                <w:rFonts w:ascii="Consolas" w:cs="Consolas" w:eastAsia="Consolas" w:hAnsi="Consolas"/>
                <w:sz w:val="19"/>
                <w:szCs w:val="19"/>
              </w:rPr>
              <w:t xml:space="preserve">chatbot</w:t>
            </w:r>
          </w:p>
        </w:tc>
        <w:tc>
          <w:tcPr>
            <w:tcW w:type="dxa" w:w="2078"/>
            <w:tcMar>
              <w:top w:type="dxa" w:w="50"/>
              <w:left w:type="dxa" w:w="100"/>
              <w:bottom w:type="dxa" w:w="50"/>
              <w:right w:type="dxa" w:w="100"/>
            </w:tcMar>
          </w:tcPr>
          <w:p>
            <w:r>
              <w:rPr>
                <w:rFonts w:ascii="Consolas" w:cs="Consolas" w:eastAsia="Consolas" w:hAnsi="Consolas"/>
                <w:sz w:val="19"/>
                <w:szCs w:val="19"/>
              </w:rPr>
              <w:t xml:space="preserve">chatbot_portable/Dockerfile</w:t>
            </w:r>
          </w:p>
        </w:tc>
        <w:tc>
          <w:tcPr>
            <w:tcW w:type="dxa" w:w="502"/>
            <w:tcMar>
              <w:top w:type="dxa" w:w="50"/>
              <w:left w:type="dxa" w:w="100"/>
              <w:bottom w:type="dxa" w:w="50"/>
              <w:right w:type="dxa" w:w="100"/>
            </w:tcMar>
          </w:tcPr>
          <w:p>
            <w:r>
              <w:rPr>
                <w:sz w:val="19"/>
                <w:szCs w:val="19"/>
              </w:rPr>
              <w:t xml:space="preserve">5001</w:t>
            </w:r>
          </w:p>
        </w:tc>
        <w:tc>
          <w:tcPr>
            <w:tcW w:type="dxa" w:w="6449"/>
            <w:tcMar>
              <w:top w:type="dxa" w:w="50"/>
              <w:left w:type="dxa" w:w="100"/>
              <w:bottom w:type="dxa" w:w="50"/>
              <w:right w:type="dxa" w:w="100"/>
            </w:tcMar>
          </w:tcPr>
          <w:p>
            <w:r>
              <w:rPr>
                <w:sz w:val="19"/>
                <w:szCs w:val="19"/>
              </w:rPr>
              <w:t xml:space="preserve">Microservice IA (Gunicorn, 2 workers, timeout 300s)</w:t>
            </w:r>
          </w:p>
        </w:tc>
      </w:tr>
      <w:tr>
        <w:tc>
          <w:tcPr>
            <w:tcW w:type="dxa" w:w="717"/>
            <w:tcMar>
              <w:top w:type="dxa" w:w="50"/>
              <w:left w:type="dxa" w:w="100"/>
              <w:bottom w:type="dxa" w:w="50"/>
              <w:right w:type="dxa" w:w="100"/>
            </w:tcMar>
          </w:tcPr>
          <w:p>
            <w:r>
              <w:rPr>
                <w:rFonts w:ascii="Consolas" w:cs="Consolas" w:eastAsia="Consolas" w:hAnsi="Consolas"/>
                <w:sz w:val="19"/>
                <w:szCs w:val="19"/>
              </w:rPr>
              <w:t xml:space="preserve">frontend</w:t>
            </w:r>
          </w:p>
        </w:tc>
        <w:tc>
          <w:tcPr>
            <w:tcW w:type="dxa" w:w="2078"/>
            <w:tcMar>
              <w:top w:type="dxa" w:w="50"/>
              <w:left w:type="dxa" w:w="100"/>
              <w:bottom w:type="dxa" w:w="50"/>
              <w:right w:type="dxa" w:w="100"/>
            </w:tcMar>
          </w:tcPr>
          <w:p>
            <w:r>
              <w:rPr>
                <w:rFonts w:ascii="Consolas" w:cs="Consolas" w:eastAsia="Consolas" w:hAnsi="Consolas"/>
                <w:sz w:val="19"/>
                <w:szCs w:val="19"/>
              </w:rPr>
              <w:t xml:space="preserve">frontend/Dockerfile</w:t>
            </w:r>
          </w:p>
        </w:tc>
        <w:tc>
          <w:tcPr>
            <w:tcW w:type="dxa" w:w="502"/>
            <w:tcMar>
              <w:top w:type="dxa" w:w="50"/>
              <w:left w:type="dxa" w:w="100"/>
              <w:bottom w:type="dxa" w:w="50"/>
              <w:right w:type="dxa" w:w="100"/>
            </w:tcMar>
          </w:tcPr>
          <w:p>
            <w:r>
              <w:rPr>
                <w:sz w:val="19"/>
                <w:szCs w:val="19"/>
              </w:rPr>
              <w:t xml:space="preserve">5173→80</w:t>
            </w:r>
          </w:p>
        </w:tc>
        <w:tc>
          <w:tcPr>
            <w:tcW w:type="dxa" w:w="6449"/>
            <w:tcMar>
              <w:top w:type="dxa" w:w="50"/>
              <w:left w:type="dxa" w:w="100"/>
              <w:bottom w:type="dxa" w:w="50"/>
              <w:right w:type="dxa" w:w="100"/>
            </w:tcMar>
          </w:tcPr>
          <w:p>
            <w:r>
              <w:rPr>
                <w:sz w:val="19"/>
                <w:szCs w:val="19"/>
              </w:rPr>
              <w:t xml:space="preserve">Build statique servi (Nginx probable derrière le port 80)</w:t>
            </w:r>
          </w:p>
        </w:tc>
      </w:tr>
    </w:tbl>
    <w:p>
      <w:pPr>
        <w:spacing w:after="160"/>
      </w:pPr>
    </w:p>
    <w:p>
      <w:pPr>
        <w:spacing w:after="140"/>
      </w:pPr>
      <w:r>
        <w:rPr>
          <w:b/>
          <w:bCs/>
        </w:rPr>
        <w:t xml:space="preserve">Pourquoi Docker Compose plutôt qu'un déploiement manuel</w:t>
      </w:r>
      <w:r>
        <w:t xml:space="preserve"> : isole 3 runtimes différents (MySQL, 2 services Python distincts, un frontend statique) avec un seul point d'orchestration et une reproductibilité de l'environnement — pertinent pour une démonstration ou un déploiement au-delà du poste de développement Windows local.</w:t>
      </w:r>
    </w:p>
    <w:p>
      <w:pPr>
        <w:pStyle w:val="Heading1"/>
        <w:spacing w:after="140" w:before="280"/>
      </w:pPr>
      <w:r>
        <w:rPr>
          <w:b/>
          <w:bCs/>
          <w:color w:val="2E2E38"/>
        </w:rPr>
        <w:t xml:space="preserve">12. Philosophie qualité et traçabilité — le fil rouge du projet</w:t>
      </w:r>
    </w:p>
    <w:p>
      <w:pPr>
        <w:spacing w:after="140"/>
      </w:pPr>
      <w:r>
        <w:t xml:space="preserve">Ce qui distingue ce projet d'un simple pipeline d'extraction : </w:t>
      </w:r>
      <w:r>
        <w:rPr>
          <w:b/>
          <w:bCs/>
        </w:rPr>
        <w:t xml:space="preserve">chaque chiffre affiché est traçable jusqu'à sa cellule source</w:t>
      </w:r>
      <w:r>
        <w:t xml:space="preserve">, et </w:t>
      </w:r>
      <w:r>
        <w:rPr>
          <w:b/>
          <w:bCs/>
        </w:rPr>
        <w:t xml:space="preserve">aucune incertitude n'est masquée</w:t>
      </w:r>
      <w:r>
        <w:t xml:space="preserve">.</w:t>
      </w:r>
    </w:p>
    <w:p>
      <w:pPr>
        <w:pStyle w:val="ListParagraph"/>
        <w:numPr>
          <w:ilvl w:val="0"/>
          <w:numId w:val="1"/>
        </w:numPr>
        <w:spacing w:after="80"/>
      </w:pPr>
      <w:r>
        <w:rPr>
          <w:b/>
          <w:bCs/>
        </w:rPr>
        <w:t xml:space="preserve">"Aucune donnée plutôt qu'une donnée fausse"</w:t>
      </w:r>
      <w:r>
        <w:t xml:space="preserve"> — répété dans tout le code, appliqué à chaque étape (extraction, calcul, affichage).</w:t>
      </w:r>
    </w:p>
    <w:p>
      <w:pPr>
        <w:pStyle w:val="ListParagraph"/>
        <w:numPr>
          <w:ilvl w:val="0"/>
          <w:numId w:val="1"/>
        </w:numPr>
        <w:spacing w:after="80"/>
      </w:pPr>
      <w:r>
        <w:rPr>
          <w:b/>
          <w:bCs/>
        </w:rPr>
        <w:t xml:space="preserve">Système de qualité des données</w:t>
      </w:r>
      <w:r>
        <w:t xml:space="preserve"> (</w:t>
      </w:r>
      <w:r>
        <w:rPr>
          <w:rFonts w:ascii="Consolas" w:cs="Consolas" w:eastAsia="Consolas" w:hAnsi="Consolas"/>
          <w:sz w:val="20"/>
          <w:szCs w:val="20"/>
        </w:rPr>
        <w:t xml:space="preserve">/qualite-donnees</w:t>
      </w:r>
      <w:r>
        <w:t xml:space="preserve">) : matrice Compagnie × KPI, statut par cellule (Extrait/Calculé/Non extrait/Non calculé/Aberrant).</w:t>
      </w:r>
    </w:p>
    <w:p>
      <w:pPr>
        <w:pStyle w:val="ListParagraph"/>
        <w:numPr>
          <w:ilvl w:val="0"/>
          <w:numId w:val="1"/>
        </w:numPr>
        <w:spacing w:after="80"/>
      </w:pPr>
      <w:r>
        <w:rPr>
          <w:b/>
          <w:bCs/>
        </w:rPr>
        <w:t xml:space="preserve">Système d'anomalies</w:t>
      </w:r>
      <w:r>
        <w:t xml:space="preserve"> (</w:t>
      </w:r>
      <w:r>
        <w:rPr>
          <w:rFonts w:ascii="Consolas" w:cs="Consolas" w:eastAsia="Consolas" w:hAnsi="Consolas"/>
          <w:sz w:val="20"/>
          <w:szCs w:val="20"/>
        </w:rPr>
        <w:t xml:space="preserve">/anomalies-systeme</w:t>
      </w:r>
      <w:r>
        <w:t xml:space="preserve">) : 9 types classés par gravité et par étape du pipeline (Scraping → Extraction → Transformation → Validation → Cohérence), avec un rapport IA généré à la demande et vérifié par un </w:t>
      </w:r>
      <w:r>
        <w:rPr>
          <w:b/>
          <w:bCs/>
        </w:rPr>
        <w:t xml:space="preserve">garde-fou anti-hallucination explicite</w:t>
      </w:r>
      <w:r>
        <w:t xml:space="preserve"> (</w:t>
      </w:r>
      <w:r>
        <w:rPr>
          <w:rFonts w:ascii="Consolas" w:cs="Consolas" w:eastAsia="Consolas" w:hAnsi="Consolas"/>
          <w:sz w:val="20"/>
          <w:szCs w:val="20"/>
        </w:rPr>
        <w:t xml:space="preserve">_check_grounding</w:t>
      </w:r>
      <w:r>
        <w:t xml:space="preserve"> : rejette toute réponse du LLM citant un chiffre non présent dans les faits fournis).</w:t>
      </w:r>
    </w:p>
    <w:p>
      <w:pPr>
        <w:pStyle w:val="ListParagraph"/>
        <w:numPr>
          <w:ilvl w:val="0"/>
          <w:numId w:val="1"/>
        </w:numPr>
        <w:spacing w:after="80"/>
      </w:pPr>
      <w:r>
        <w:rPr>
          <w:b/>
          <w:bCs/>
        </w:rPr>
        <w:t xml:space="preserve">Audit pipeline</w:t>
      </w:r>
      <w:r>
        <w:t xml:space="preserve"> (</w:t>
      </w:r>
      <w:r>
        <w:rPr>
          <w:rFonts w:ascii="Consolas" w:cs="Consolas" w:eastAsia="Consolas" w:hAnsi="Consolas"/>
          <w:sz w:val="20"/>
          <w:szCs w:val="20"/>
        </w:rPr>
        <w:t xml:space="preserve">/rapport-pipeline</w:t>
      </w:r>
      <w:r>
        <w:t xml:space="preserve">) : diagnostique la </w:t>
      </w:r>
      <w:r>
        <w:rPr>
          <w:b/>
          <w:bCs/>
        </w:rPr>
        <w:t xml:space="preserve">cause probable</w:t>
      </w:r>
      <w:r>
        <w:t xml:space="preserve"> de chaque KPI manquant/aberrant sans re-scanner les PDF (6 étapes de diagnostic).</w:t>
      </w:r>
    </w:p>
    <w:p>
      <w:pPr>
        <w:pStyle w:val="ListParagraph"/>
        <w:numPr>
          <w:ilvl w:val="0"/>
          <w:numId w:val="1"/>
        </w:numPr>
        <w:spacing w:after="80"/>
      </w:pPr>
      <w:r>
        <w:rPr>
          <w:b/>
          <w:bCs/>
        </w:rPr>
        <w:t xml:space="preserve">Traçabilité PDF</w:t>
      </w:r>
      <w:r>
        <w:t xml:space="preserve"> (</w:t>
      </w:r>
      <w:r>
        <w:rPr>
          <w:rFonts w:ascii="Consolas" w:cs="Consolas" w:eastAsia="Consolas" w:hAnsi="Consolas"/>
          <w:sz w:val="20"/>
          <w:szCs w:val="20"/>
        </w:rPr>
        <w:t xml:space="preserve">/kpi-detail</w:t>
      </w:r>
      <w:r>
        <w:t xml:space="preserve">) : chaque KPI affiché peut être localisé et surligné directement dans son document source, quel que soit le format (natif, scanné, pivoté, arabe).</w:t>
      </w:r>
    </w:p>
    <w:p>
      <w:pPr>
        <w:pStyle w:val="ListParagraph"/>
        <w:numPr>
          <w:ilvl w:val="0"/>
          <w:numId w:val="1"/>
        </w:numPr>
        <w:spacing w:after="80"/>
      </w:pPr>
      <w:r>
        <w:rPr>
          <w:b/>
          <w:bCs/>
        </w:rPr>
        <w:t xml:space="preserve">`extraction/CAS_PARTICULIERS*.md`</w:t>
      </w:r>
      <w:r>
        <w:t xml:space="preserve"> : chaque cas résolu et chaque limite non résolue est documenté avec société/année/explication — méthode reproductible pour tout nouveau cas futur.</w:t>
      </w:r>
    </w:p>
    <w:p>
      <w:pPr>
        <w:pStyle w:val="Heading1"/>
        <w:spacing w:after="140" w:before="280"/>
      </w:pPr>
      <w:r>
        <w:rPr>
          <w:b/>
          <w:bCs/>
          <w:color w:val="2E2E38"/>
        </w:rPr>
        <w:t xml:space="preserve">13. Tableau récapitulatif de tous les outils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96"/>
        <w:gridCol w:w="3699"/>
        <w:gridCol w:w="5051"/>
      </w:tblGrid>
      <w:tr>
        <w:trPr>
          <w:tblHeader/>
        </w:trPr>
        <w:tc>
          <w:tcPr>
            <w:tcW w:type="dxa" w:w="996"/>
            <w:shd w:fill="2E2E38" w:val="clear"/>
            <w:tcMar>
              <w:top w:type="dxa" w:w="60"/>
              <w:left w:type="dxa" w:w="100"/>
              <w:bottom w:type="dxa" w:w="60"/>
              <w:right w:type="dxa" w:w="100"/>
            </w:tcMar>
          </w:tcPr>
          <w:p>
            <w:r>
              <w:rPr>
                <w:b/>
                <w:bCs/>
                <w:color w:val="FFFFFF"/>
                <w:sz w:val="19"/>
                <w:szCs w:val="19"/>
              </w:rPr>
              <w:t xml:space="preserve">Domaine</w:t>
            </w:r>
          </w:p>
        </w:tc>
        <w:tc>
          <w:tcPr>
            <w:tcW w:type="dxa" w:w="3699"/>
            <w:shd w:fill="2E2E38" w:val="clear"/>
            <w:tcMar>
              <w:top w:type="dxa" w:w="60"/>
              <w:left w:type="dxa" w:w="100"/>
              <w:bottom w:type="dxa" w:w="60"/>
              <w:right w:type="dxa" w:w="100"/>
            </w:tcMar>
          </w:tcPr>
          <w:p>
            <w:r>
              <w:rPr>
                <w:b/>
                <w:bCs/>
                <w:color w:val="FFFFFF"/>
                <w:sz w:val="19"/>
                <w:szCs w:val="19"/>
              </w:rPr>
              <w:t xml:space="preserve">Outil</w:t>
            </w:r>
          </w:p>
        </w:tc>
        <w:tc>
          <w:tcPr>
            <w:tcW w:type="dxa" w:w="5051"/>
            <w:shd w:fill="2E2E38" w:val="clear"/>
            <w:tcMar>
              <w:top w:type="dxa" w:w="60"/>
              <w:left w:type="dxa" w:w="100"/>
              <w:bottom w:type="dxa" w:w="60"/>
              <w:right w:type="dxa" w:w="100"/>
            </w:tcMar>
          </w:tcPr>
          <w:p>
            <w:r>
              <w:rPr>
                <w:b/>
                <w:bCs/>
                <w:color w:val="FFFFFF"/>
                <w:sz w:val="19"/>
                <w:szCs w:val="19"/>
              </w:rPr>
              <w:t xml:space="preserve">Rôle précis</w:t>
            </w:r>
          </w:p>
        </w:tc>
      </w:tr>
      <w:tr>
        <w:tc>
          <w:tcPr>
            <w:tcW w:type="dxa" w:w="996"/>
            <w:tcMar>
              <w:top w:type="dxa" w:w="50"/>
              <w:left w:type="dxa" w:w="100"/>
              <w:bottom w:type="dxa" w:w="50"/>
              <w:right w:type="dxa" w:w="100"/>
            </w:tcMar>
          </w:tcPr>
          <w:p>
            <w:r>
              <w:rPr>
                <w:sz w:val="19"/>
                <w:szCs w:val="19"/>
              </w:rPr>
              <w:t xml:space="preserve">Backend</w:t>
            </w:r>
          </w:p>
        </w:tc>
        <w:tc>
          <w:tcPr>
            <w:tcW w:type="dxa" w:w="3699"/>
            <w:tcMar>
              <w:top w:type="dxa" w:w="50"/>
              <w:left w:type="dxa" w:w="100"/>
              <w:bottom w:type="dxa" w:w="50"/>
              <w:right w:type="dxa" w:w="100"/>
            </w:tcMar>
          </w:tcPr>
          <w:p>
            <w:r>
              <w:rPr>
                <w:sz w:val="19"/>
                <w:szCs w:val="19"/>
              </w:rPr>
              <w:t xml:space="preserve">Flask 3, flask-cors</w:t>
            </w:r>
          </w:p>
        </w:tc>
        <w:tc>
          <w:tcPr>
            <w:tcW w:type="dxa" w:w="5051"/>
            <w:tcMar>
              <w:top w:type="dxa" w:w="50"/>
              <w:left w:type="dxa" w:w="100"/>
              <w:bottom w:type="dxa" w:w="50"/>
              <w:right w:type="dxa" w:w="100"/>
            </w:tcMar>
          </w:tcPr>
          <w:p>
            <w:r>
              <w:rPr>
                <w:sz w:val="19"/>
                <w:szCs w:val="19"/>
              </w:rPr>
              <w:t xml:space="preserve">API REST, gestion CORS</w:t>
            </w:r>
          </w:p>
        </w:tc>
      </w:tr>
      <w:tr>
        <w:tc>
          <w:tcPr>
            <w:tcW w:type="dxa" w:w="996"/>
            <w:tcMar>
              <w:top w:type="dxa" w:w="50"/>
              <w:left w:type="dxa" w:w="100"/>
              <w:bottom w:type="dxa" w:w="50"/>
              <w:right w:type="dxa" w:w="100"/>
            </w:tcMar>
          </w:tcPr>
          <w:p>
            <w:r>
              <w:rPr>
                <w:sz w:val="19"/>
                <w:szCs w:val="19"/>
              </w:rPr>
              <w:t xml:space="preserve">BDD</w:t>
            </w:r>
          </w:p>
        </w:tc>
        <w:tc>
          <w:tcPr>
            <w:tcW w:type="dxa" w:w="3699"/>
            <w:tcMar>
              <w:top w:type="dxa" w:w="50"/>
              <w:left w:type="dxa" w:w="100"/>
              <w:bottom w:type="dxa" w:w="50"/>
              <w:right w:type="dxa" w:w="100"/>
            </w:tcMar>
          </w:tcPr>
          <w:p>
            <w:r>
              <w:rPr>
                <w:sz w:val="19"/>
                <w:szCs w:val="19"/>
              </w:rPr>
              <w:t xml:space="preserve">MySQL 8, </w:t>
            </w:r>
            <w:r>
              <w:rPr>
                <w:rFonts w:ascii="Consolas" w:cs="Consolas" w:eastAsia="Consolas" w:hAnsi="Consolas"/>
                <w:sz w:val="19"/>
                <w:szCs w:val="19"/>
              </w:rPr>
              <w:t xml:space="preserve">pymysql</w:t>
            </w:r>
          </w:p>
        </w:tc>
        <w:tc>
          <w:tcPr>
            <w:tcW w:type="dxa" w:w="5051"/>
            <w:tcMar>
              <w:top w:type="dxa" w:w="50"/>
              <w:left w:type="dxa" w:w="100"/>
              <w:bottom w:type="dxa" w:w="50"/>
              <w:right w:type="dxa" w:w="100"/>
            </w:tcMar>
          </w:tcPr>
          <w:p>
            <w:r>
              <w:rPr>
                <w:sz w:val="19"/>
                <w:szCs w:val="19"/>
              </w:rPr>
              <w:t xml:space="preserve">Persistance relationnelle, accès direct sans ORM</w:t>
            </w:r>
          </w:p>
        </w:tc>
      </w:tr>
      <w:tr>
        <w:tc>
          <w:tcPr>
            <w:tcW w:type="dxa" w:w="996"/>
            <w:tcMar>
              <w:top w:type="dxa" w:w="50"/>
              <w:left w:type="dxa" w:w="100"/>
              <w:bottom w:type="dxa" w:w="50"/>
              <w:right w:type="dxa" w:w="100"/>
            </w:tcMar>
          </w:tcPr>
          <w:p>
            <w:r>
              <w:rPr>
                <w:sz w:val="19"/>
                <w:szCs w:val="19"/>
              </w:rPr>
              <w:t xml:space="preserve">Scraping</w:t>
            </w:r>
          </w:p>
        </w:tc>
        <w:tc>
          <w:tcPr>
            <w:tcW w:type="dxa" w:w="3699"/>
            <w:tcMar>
              <w:top w:type="dxa" w:w="50"/>
              <w:left w:type="dxa" w:w="100"/>
              <w:bottom w:type="dxa" w:w="50"/>
              <w:right w:type="dxa" w:w="100"/>
            </w:tcMar>
          </w:tcPr>
          <w:p>
            <w:r>
              <w:rPr>
                <w:rFonts w:ascii="Consolas" w:cs="Consolas" w:eastAsia="Consolas" w:hAnsi="Consolas"/>
                <w:sz w:val="19"/>
                <w:szCs w:val="19"/>
              </w:rPr>
              <w:t xml:space="preserve">selenium</w:t>
            </w:r>
          </w:p>
        </w:tc>
        <w:tc>
          <w:tcPr>
            <w:tcW w:type="dxa" w:w="5051"/>
            <w:tcMar>
              <w:top w:type="dxa" w:w="50"/>
              <w:left w:type="dxa" w:w="100"/>
              <w:bottom w:type="dxa" w:w="50"/>
              <w:right w:type="dxa" w:w="100"/>
            </w:tcMar>
          </w:tcPr>
          <w:p>
            <w:r>
              <w:rPr>
                <w:sz w:val="19"/>
                <w:szCs w:val="19"/>
              </w:rPr>
              <w:t xml:space="preserve">Interaction avec le widget JS dynamique du portail CMF</w:t>
            </w:r>
          </w:p>
        </w:tc>
      </w:tr>
      <w:tr>
        <w:tc>
          <w:tcPr>
            <w:tcW w:type="dxa" w:w="996"/>
            <w:tcMar>
              <w:top w:type="dxa" w:w="50"/>
              <w:left w:type="dxa" w:w="100"/>
              <w:bottom w:type="dxa" w:w="50"/>
              <w:right w:type="dxa" w:w="100"/>
            </w:tcMar>
          </w:tcPr>
          <w:p>
            <w:r>
              <w:rPr>
                <w:sz w:val="19"/>
                <w:szCs w:val="19"/>
              </w:rPr>
              <w:t xml:space="preserve">Scraping</w:t>
            </w:r>
          </w:p>
        </w:tc>
        <w:tc>
          <w:tcPr>
            <w:tcW w:type="dxa" w:w="3699"/>
            <w:tcMar>
              <w:top w:type="dxa" w:w="50"/>
              <w:left w:type="dxa" w:w="100"/>
              <w:bottom w:type="dxa" w:w="50"/>
              <w:right w:type="dxa" w:w="100"/>
            </w:tcMar>
          </w:tcPr>
          <w:p>
            <w:r>
              <w:rPr>
                <w:rFonts w:ascii="Consolas" w:cs="Consolas" w:eastAsia="Consolas" w:hAnsi="Consolas"/>
                <w:sz w:val="19"/>
                <w:szCs w:val="19"/>
              </w:rPr>
              <w:t xml:space="preserve">requests</w:t>
            </w:r>
            <w:r>
              <w:rPr>
                <w:sz w:val="19"/>
                <w:szCs w:val="19"/>
              </w:rPr>
              <w:t xml:space="preserve">, </w:t>
            </w:r>
            <w:r>
              <w:rPr>
                <w:rFonts w:ascii="Consolas" w:cs="Consolas" w:eastAsia="Consolas" w:hAnsi="Consolas"/>
                <w:sz w:val="19"/>
                <w:szCs w:val="19"/>
              </w:rPr>
              <w:t xml:space="preserve">beautifulsoup4</w:t>
            </w:r>
          </w:p>
        </w:tc>
        <w:tc>
          <w:tcPr>
            <w:tcW w:type="dxa" w:w="5051"/>
            <w:tcMar>
              <w:top w:type="dxa" w:w="50"/>
              <w:left w:type="dxa" w:w="100"/>
              <w:bottom w:type="dxa" w:w="50"/>
              <w:right w:type="dxa" w:w="100"/>
            </w:tcMar>
          </w:tcPr>
          <w:p>
            <w:r>
              <w:rPr>
                <w:sz w:val="19"/>
                <w:szCs w:val="19"/>
              </w:rPr>
              <w:t xml:space="preserve">Scraping HTML statique (FTUSA/CGA/BVMT/INS + veille)</w:t>
            </w:r>
          </w:p>
        </w:tc>
      </w:tr>
      <w:tr>
        <w:tc>
          <w:tcPr>
            <w:tcW w:type="dxa" w:w="996"/>
            <w:tcMar>
              <w:top w:type="dxa" w:w="50"/>
              <w:left w:type="dxa" w:w="100"/>
              <w:bottom w:type="dxa" w:w="50"/>
              <w:right w:type="dxa" w:w="100"/>
            </w:tcMar>
          </w:tcPr>
          <w:p>
            <w:r>
              <w:rPr>
                <w:sz w:val="19"/>
                <w:szCs w:val="19"/>
              </w:rPr>
              <w:t xml:space="preserve">Extraction PDF</w:t>
            </w:r>
          </w:p>
        </w:tc>
        <w:tc>
          <w:tcPr>
            <w:tcW w:type="dxa" w:w="3699"/>
            <w:tcMar>
              <w:top w:type="dxa" w:w="50"/>
              <w:left w:type="dxa" w:w="100"/>
              <w:bottom w:type="dxa" w:w="50"/>
              <w:right w:type="dxa" w:w="100"/>
            </w:tcMar>
          </w:tcPr>
          <w:p>
            <w:r>
              <w:rPr>
                <w:rFonts w:ascii="Consolas" w:cs="Consolas" w:eastAsia="Consolas" w:hAnsi="Consolas"/>
                <w:sz w:val="19"/>
                <w:szCs w:val="19"/>
              </w:rPr>
              <w:t xml:space="preserve">pdfplumber</w:t>
            </w:r>
          </w:p>
        </w:tc>
        <w:tc>
          <w:tcPr>
            <w:tcW w:type="dxa" w:w="5051"/>
            <w:tcMar>
              <w:top w:type="dxa" w:w="50"/>
              <w:left w:type="dxa" w:w="100"/>
              <w:bottom w:type="dxa" w:w="50"/>
              <w:right w:type="dxa" w:w="100"/>
            </w:tcMar>
          </w:tcPr>
          <w:p>
            <w:r>
              <w:rPr>
                <w:sz w:val="19"/>
                <w:szCs w:val="19"/>
              </w:rPr>
              <w:t xml:space="preserve">Extraction de mots + coordonnées (pas </w:t>
            </w:r>
            <w:r>
              <w:rPr>
                <w:rFonts w:ascii="Consolas" w:cs="Consolas" w:eastAsia="Consolas" w:hAnsi="Consolas"/>
                <w:sz w:val="19"/>
                <w:szCs w:val="19"/>
              </w:rPr>
              <w:t xml:space="preserve">extract_tables()</w:t>
            </w:r>
            <w:r>
              <w:rPr>
                <w:sz w:val="19"/>
                <w:szCs w:val="19"/>
              </w:rPr>
              <w:t xml:space="preserve">)</w:t>
            </w:r>
          </w:p>
        </w:tc>
      </w:tr>
      <w:tr>
        <w:tc>
          <w:tcPr>
            <w:tcW w:type="dxa" w:w="996"/>
            <w:tcMar>
              <w:top w:type="dxa" w:w="50"/>
              <w:left w:type="dxa" w:w="100"/>
              <w:bottom w:type="dxa" w:w="50"/>
              <w:right w:type="dxa" w:w="100"/>
            </w:tcMar>
          </w:tcPr>
          <w:p>
            <w:r>
              <w:rPr>
                <w:sz w:val="19"/>
                <w:szCs w:val="19"/>
              </w:rPr>
              <w:t xml:space="preserve">OCR</w:t>
            </w:r>
          </w:p>
        </w:tc>
        <w:tc>
          <w:tcPr>
            <w:tcW w:type="dxa" w:w="3699"/>
            <w:tcMar>
              <w:top w:type="dxa" w:w="50"/>
              <w:left w:type="dxa" w:w="100"/>
              <w:bottom w:type="dxa" w:w="50"/>
              <w:right w:type="dxa" w:w="100"/>
            </w:tcMar>
          </w:tcPr>
          <w:p>
            <w:r>
              <w:rPr>
                <w:rFonts w:ascii="Consolas" w:cs="Consolas" w:eastAsia="Consolas" w:hAnsi="Consolas"/>
                <w:sz w:val="19"/>
                <w:szCs w:val="19"/>
              </w:rPr>
              <w:t xml:space="preserve">pytesseract</w:t>
            </w:r>
            <w:r>
              <w:rPr>
                <w:sz w:val="19"/>
                <w:szCs w:val="19"/>
              </w:rPr>
              <w:t xml:space="preserve"> (Tesseract), modèles </w:t>
            </w:r>
            <w:r>
              <w:rPr>
                <w:rFonts w:ascii="Consolas" w:cs="Consolas" w:eastAsia="Consolas" w:hAnsi="Consolas"/>
                <w:sz w:val="19"/>
                <w:szCs w:val="19"/>
              </w:rPr>
              <w:t xml:space="preserve">fra</w:t>
            </w:r>
            <w:r>
              <w:rPr>
                <w:sz w:val="19"/>
                <w:szCs w:val="19"/>
              </w:rPr>
              <w:t xml:space="preserve">/</w:t>
            </w:r>
            <w:r>
              <w:rPr>
                <w:rFonts w:ascii="Consolas" w:cs="Consolas" w:eastAsia="Consolas" w:hAnsi="Consolas"/>
                <w:sz w:val="19"/>
                <w:szCs w:val="19"/>
              </w:rPr>
              <w:t xml:space="preserve">ara</w:t>
            </w:r>
            <w:r>
              <w:rPr>
                <w:sz w:val="19"/>
                <w:szCs w:val="19"/>
              </w:rPr>
              <w:t xml:space="preserve">/</w:t>
            </w:r>
            <w:r>
              <w:rPr>
                <w:rFonts w:ascii="Consolas" w:cs="Consolas" w:eastAsia="Consolas" w:hAnsi="Consolas"/>
                <w:sz w:val="19"/>
                <w:szCs w:val="19"/>
              </w:rPr>
              <w:t xml:space="preserve">eng</w:t>
            </w:r>
          </w:p>
        </w:tc>
        <w:tc>
          <w:tcPr>
            <w:tcW w:type="dxa" w:w="5051"/>
            <w:tcMar>
              <w:top w:type="dxa" w:w="50"/>
              <w:left w:type="dxa" w:w="100"/>
              <w:bottom w:type="dxa" w:w="50"/>
              <w:right w:type="dxa" w:w="100"/>
            </w:tcMar>
          </w:tcPr>
          <w:p>
            <w:r>
              <w:rPr>
                <w:sz w:val="19"/>
                <w:szCs w:val="19"/>
              </w:rPr>
              <w:t xml:space="preserve">Lecture des pages scannées ou à police corrompue</w:t>
            </w:r>
          </w:p>
        </w:tc>
      </w:tr>
      <w:tr>
        <w:tc>
          <w:tcPr>
            <w:tcW w:type="dxa" w:w="996"/>
            <w:tcMar>
              <w:top w:type="dxa" w:w="50"/>
              <w:left w:type="dxa" w:w="100"/>
              <w:bottom w:type="dxa" w:w="50"/>
              <w:right w:type="dxa" w:w="100"/>
            </w:tcMar>
          </w:tcPr>
          <w:p>
            <w:r>
              <w:rPr>
                <w:sz w:val="19"/>
                <w:szCs w:val="19"/>
              </w:rPr>
              <w:t xml:space="preserve">Correspondance</w:t>
            </w:r>
          </w:p>
        </w:tc>
        <w:tc>
          <w:tcPr>
            <w:tcW w:type="dxa" w:w="3699"/>
            <w:tcMar>
              <w:top w:type="dxa" w:w="50"/>
              <w:left w:type="dxa" w:w="100"/>
              <w:bottom w:type="dxa" w:w="50"/>
              <w:right w:type="dxa" w:w="100"/>
            </w:tcMar>
          </w:tcPr>
          <w:p>
            <w:r>
              <w:rPr>
                <w:rFonts w:ascii="Consolas" w:cs="Consolas" w:eastAsia="Consolas" w:hAnsi="Consolas"/>
                <w:sz w:val="19"/>
                <w:szCs w:val="19"/>
              </w:rPr>
              <w:t xml:space="preserve">rapidfuzz</w:t>
            </w:r>
          </w:p>
        </w:tc>
        <w:tc>
          <w:tcPr>
            <w:tcW w:type="dxa" w:w="5051"/>
            <w:tcMar>
              <w:top w:type="dxa" w:w="50"/>
              <w:left w:type="dxa" w:w="100"/>
              <w:bottom w:type="dxa" w:w="50"/>
              <w:right w:type="dxa" w:w="100"/>
            </w:tcMar>
          </w:tcPr>
          <w:p>
            <w:r>
              <w:rPr>
                <w:sz w:val="19"/>
                <w:szCs w:val="19"/>
              </w:rPr>
              <w:t xml:space="preserve">Correspondance floue (libellés dégradés par l'OCR)</w:t>
            </w:r>
          </w:p>
        </w:tc>
      </w:tr>
      <w:tr>
        <w:tc>
          <w:tcPr>
            <w:tcW w:type="dxa" w:w="996"/>
            <w:tcMar>
              <w:top w:type="dxa" w:w="50"/>
              <w:left w:type="dxa" w:w="100"/>
              <w:bottom w:type="dxa" w:w="50"/>
              <w:right w:type="dxa" w:w="100"/>
            </w:tcMar>
          </w:tcPr>
          <w:p>
            <w:r>
              <w:rPr>
                <w:sz w:val="19"/>
                <w:szCs w:val="19"/>
              </w:rPr>
              <w:t xml:space="preserve">Export</w:t>
            </w:r>
          </w:p>
        </w:tc>
        <w:tc>
          <w:tcPr>
            <w:tcW w:type="dxa" w:w="3699"/>
            <w:tcMar>
              <w:top w:type="dxa" w:w="50"/>
              <w:left w:type="dxa" w:w="100"/>
              <w:bottom w:type="dxa" w:w="50"/>
              <w:right w:type="dxa" w:w="100"/>
            </w:tcMar>
          </w:tcPr>
          <w:p>
            <w:r>
              <w:rPr>
                <w:rFonts w:ascii="Consolas" w:cs="Consolas" w:eastAsia="Consolas" w:hAnsi="Consolas"/>
                <w:sz w:val="19"/>
                <w:szCs w:val="19"/>
              </w:rPr>
              <w:t xml:space="preserve">reportlab</w:t>
            </w:r>
            <w:r>
              <w:rPr>
                <w:sz w:val="19"/>
                <w:szCs w:val="19"/>
              </w:rPr>
              <w:t xml:space="preserve">, </w:t>
            </w:r>
            <w:r>
              <w:rPr>
                <w:rFonts w:ascii="Consolas" w:cs="Consolas" w:eastAsia="Consolas" w:hAnsi="Consolas"/>
                <w:sz w:val="19"/>
                <w:szCs w:val="19"/>
              </w:rPr>
              <w:t xml:space="preserve">openpyxl</w:t>
            </w:r>
          </w:p>
        </w:tc>
        <w:tc>
          <w:tcPr>
            <w:tcW w:type="dxa" w:w="5051"/>
            <w:tcMar>
              <w:top w:type="dxa" w:w="50"/>
              <w:left w:type="dxa" w:w="100"/>
              <w:bottom w:type="dxa" w:w="50"/>
              <w:right w:type="dxa" w:w="100"/>
            </w:tcMar>
          </w:tcPr>
          <w:p>
            <w:r>
              <w:rPr>
                <w:sz w:val="19"/>
                <w:szCs w:val="19"/>
              </w:rPr>
              <w:t xml:space="preserve">Génération PDF / Excel</w:t>
            </w:r>
          </w:p>
        </w:tc>
      </w:tr>
      <w:tr>
        <w:tc>
          <w:tcPr>
            <w:tcW w:type="dxa" w:w="996"/>
            <w:tcMar>
              <w:top w:type="dxa" w:w="50"/>
              <w:left w:type="dxa" w:w="100"/>
              <w:bottom w:type="dxa" w:w="50"/>
              <w:right w:type="dxa" w:w="100"/>
            </w:tcMar>
          </w:tcPr>
          <w:p>
            <w:r>
              <w:rPr>
                <w:sz w:val="19"/>
                <w:szCs w:val="19"/>
              </w:rPr>
              <w:t xml:space="preserve">Serveur prod</w:t>
            </w:r>
          </w:p>
        </w:tc>
        <w:tc>
          <w:tcPr>
            <w:tcW w:type="dxa" w:w="3699"/>
            <w:tcMar>
              <w:top w:type="dxa" w:w="50"/>
              <w:left w:type="dxa" w:w="100"/>
              <w:bottom w:type="dxa" w:w="50"/>
              <w:right w:type="dxa" w:w="100"/>
            </w:tcMar>
          </w:tcPr>
          <w:p>
            <w:r>
              <w:rPr>
                <w:rFonts w:ascii="Consolas" w:cs="Consolas" w:eastAsia="Consolas" w:hAnsi="Consolas"/>
                <w:sz w:val="19"/>
                <w:szCs w:val="19"/>
              </w:rPr>
              <w:t xml:space="preserve">gunicorn</w:t>
            </w:r>
          </w:p>
        </w:tc>
        <w:tc>
          <w:tcPr>
            <w:tcW w:type="dxa" w:w="5051"/>
            <w:tcMar>
              <w:top w:type="dxa" w:w="50"/>
              <w:left w:type="dxa" w:w="100"/>
              <w:bottom w:type="dxa" w:w="50"/>
              <w:right w:type="dxa" w:w="100"/>
            </w:tcMar>
          </w:tcPr>
          <w:p>
            <w:r>
              <w:rPr>
                <w:sz w:val="19"/>
                <w:szCs w:val="19"/>
              </w:rPr>
              <w:t xml:space="preserve">Serveur WSGI pour le déploiement Docker</w:t>
            </w:r>
          </w:p>
        </w:tc>
      </w:tr>
      <w:tr>
        <w:tc>
          <w:tcPr>
            <w:tcW w:type="dxa" w:w="996"/>
            <w:tcMar>
              <w:top w:type="dxa" w:w="50"/>
              <w:left w:type="dxa" w:w="100"/>
              <w:bottom w:type="dxa" w:w="50"/>
              <w:right w:type="dxa" w:w="100"/>
            </w:tcMar>
          </w:tcPr>
          <w:p>
            <w:r>
              <w:rPr>
                <w:sz w:val="19"/>
                <w:szCs w:val="19"/>
              </w:rPr>
              <w:t xml:space="preserve">Frontend</w:t>
            </w:r>
          </w:p>
        </w:tc>
        <w:tc>
          <w:tcPr>
            <w:tcW w:type="dxa" w:w="3699"/>
            <w:tcMar>
              <w:top w:type="dxa" w:w="50"/>
              <w:left w:type="dxa" w:w="100"/>
              <w:bottom w:type="dxa" w:w="50"/>
              <w:right w:type="dxa" w:w="100"/>
            </w:tcMar>
          </w:tcPr>
          <w:p>
            <w:r>
              <w:rPr>
                <w:sz w:val="19"/>
                <w:szCs w:val="19"/>
              </w:rPr>
              <w:t xml:space="preserve">React 19, Vite, </w:t>
            </w:r>
            <w:r>
              <w:rPr>
                <w:rFonts w:ascii="Consolas" w:cs="Consolas" w:eastAsia="Consolas" w:hAnsi="Consolas"/>
                <w:sz w:val="19"/>
                <w:szCs w:val="19"/>
              </w:rPr>
              <w:t xml:space="preserve">react-router-dom</w:t>
            </w:r>
            <w:r>
              <w:rPr>
                <w:sz w:val="19"/>
                <w:szCs w:val="19"/>
              </w:rPr>
              <w:t xml:space="preserve"> v7</w:t>
            </w:r>
          </w:p>
        </w:tc>
        <w:tc>
          <w:tcPr>
            <w:tcW w:type="dxa" w:w="5051"/>
            <w:tcMar>
              <w:top w:type="dxa" w:w="50"/>
              <w:left w:type="dxa" w:w="100"/>
              <w:bottom w:type="dxa" w:w="50"/>
              <w:right w:type="dxa" w:w="100"/>
            </w:tcMar>
          </w:tcPr>
          <w:p>
            <w:r>
              <w:rPr>
                <w:sz w:val="19"/>
                <w:szCs w:val="19"/>
              </w:rPr>
              <w:t xml:space="preserve">SPA, routage</w:t>
            </w:r>
          </w:p>
        </w:tc>
      </w:tr>
      <w:tr>
        <w:tc>
          <w:tcPr>
            <w:tcW w:type="dxa" w:w="996"/>
            <w:tcMar>
              <w:top w:type="dxa" w:w="50"/>
              <w:left w:type="dxa" w:w="100"/>
              <w:bottom w:type="dxa" w:w="50"/>
              <w:right w:type="dxa" w:w="100"/>
            </w:tcMar>
          </w:tcPr>
          <w:p>
            <w:r>
              <w:rPr>
                <w:sz w:val="19"/>
                <w:szCs w:val="19"/>
              </w:rPr>
              <w:t xml:space="preserve">Graphiques</w:t>
            </w:r>
          </w:p>
        </w:tc>
        <w:tc>
          <w:tcPr>
            <w:tcW w:type="dxa" w:w="3699"/>
            <w:tcMar>
              <w:top w:type="dxa" w:w="50"/>
              <w:left w:type="dxa" w:w="100"/>
              <w:bottom w:type="dxa" w:w="50"/>
              <w:right w:type="dxa" w:w="100"/>
            </w:tcMar>
          </w:tcPr>
          <w:p>
            <w:r>
              <w:rPr>
                <w:sz w:val="19"/>
                <w:szCs w:val="19"/>
              </w:rPr>
              <w:t xml:space="preserve">ApexCharts (</w:t>
            </w:r>
            <w:r>
              <w:rPr>
                <w:rFonts w:ascii="Consolas" w:cs="Consolas" w:eastAsia="Consolas" w:hAnsi="Consolas"/>
                <w:sz w:val="19"/>
                <w:szCs w:val="19"/>
              </w:rPr>
              <w:t xml:space="preserve">react-apexcharts</w:t>
            </w:r>
            <w:r>
              <w:rPr>
                <w:sz w:val="19"/>
                <w:szCs w:val="19"/>
              </w:rPr>
              <w:t xml:space="preserve">)</w:t>
            </w:r>
          </w:p>
        </w:tc>
        <w:tc>
          <w:tcPr>
            <w:tcW w:type="dxa" w:w="5051"/>
            <w:tcMar>
              <w:top w:type="dxa" w:w="50"/>
              <w:left w:type="dxa" w:w="100"/>
              <w:bottom w:type="dxa" w:w="50"/>
              <w:right w:type="dxa" w:w="100"/>
            </w:tcMar>
          </w:tcPr>
          <w:p>
            <w:r>
              <w:rPr>
                <w:sz w:val="19"/>
                <w:szCs w:val="19"/>
              </w:rPr>
              <w:t xml:space="preserve">Visualisation de données</w:t>
            </w:r>
          </w:p>
        </w:tc>
      </w:tr>
      <w:tr>
        <w:tc>
          <w:tcPr>
            <w:tcW w:type="dxa" w:w="996"/>
            <w:tcMar>
              <w:top w:type="dxa" w:w="50"/>
              <w:left w:type="dxa" w:w="100"/>
              <w:bottom w:type="dxa" w:w="50"/>
              <w:right w:type="dxa" w:w="100"/>
            </w:tcMar>
          </w:tcPr>
          <w:p>
            <w:r>
              <w:rPr>
                <w:sz w:val="19"/>
                <w:szCs w:val="19"/>
              </w:rPr>
              <w:t xml:space="preserve">PDF frontend</w:t>
            </w:r>
          </w:p>
        </w:tc>
        <w:tc>
          <w:tcPr>
            <w:tcW w:type="dxa" w:w="3699"/>
            <w:tcMar>
              <w:top w:type="dxa" w:w="50"/>
              <w:left w:type="dxa" w:w="100"/>
              <w:bottom w:type="dxa" w:w="50"/>
              <w:right w:type="dxa" w:w="100"/>
            </w:tcMar>
          </w:tcPr>
          <w:p>
            <w:r>
              <w:rPr>
                <w:rFonts w:ascii="Consolas" w:cs="Consolas" w:eastAsia="Consolas" w:hAnsi="Consolas"/>
                <w:sz w:val="19"/>
                <w:szCs w:val="19"/>
              </w:rPr>
              <w:t xml:space="preserve">pdfjs-dist</w:t>
            </w:r>
          </w:p>
        </w:tc>
        <w:tc>
          <w:tcPr>
            <w:tcW w:type="dxa" w:w="5051"/>
            <w:tcMar>
              <w:top w:type="dxa" w:w="50"/>
              <w:left w:type="dxa" w:w="100"/>
              <w:bottom w:type="dxa" w:w="50"/>
              <w:right w:type="dxa" w:w="100"/>
            </w:tcMar>
          </w:tcPr>
          <w:p>
            <w:r>
              <w:rPr>
                <w:sz w:val="19"/>
                <w:szCs w:val="19"/>
              </w:rPr>
              <w:t xml:space="preserve">Rendu PDF + surlignage dans le navigateur</w:t>
            </w:r>
          </w:p>
        </w:tc>
      </w:tr>
      <w:tr>
        <w:tc>
          <w:tcPr>
            <w:tcW w:type="dxa" w:w="996"/>
            <w:tcMar>
              <w:top w:type="dxa" w:w="50"/>
              <w:left w:type="dxa" w:w="100"/>
              <w:bottom w:type="dxa" w:w="50"/>
              <w:right w:type="dxa" w:w="100"/>
            </w:tcMar>
          </w:tcPr>
          <w:p>
            <w:r>
              <w:rPr>
                <w:sz w:val="19"/>
                <w:szCs w:val="19"/>
              </w:rPr>
              <w:t xml:space="preserve">Style</w:t>
            </w:r>
          </w:p>
        </w:tc>
        <w:tc>
          <w:tcPr>
            <w:tcW w:type="dxa" w:w="3699"/>
            <w:tcMar>
              <w:top w:type="dxa" w:w="50"/>
              <w:left w:type="dxa" w:w="100"/>
              <w:bottom w:type="dxa" w:w="50"/>
              <w:right w:type="dxa" w:w="100"/>
            </w:tcMar>
          </w:tcPr>
          <w:p>
            <w:r>
              <w:rPr>
                <w:sz w:val="19"/>
                <w:szCs w:val="19"/>
              </w:rPr>
              <w:t xml:space="preserve">Tailwind CSS (partiel), styles inline</w:t>
            </w:r>
          </w:p>
        </w:tc>
        <w:tc>
          <w:tcPr>
            <w:tcW w:type="dxa" w:w="5051"/>
            <w:tcMar>
              <w:top w:type="dxa" w:w="50"/>
              <w:left w:type="dxa" w:w="100"/>
              <w:bottom w:type="dxa" w:w="50"/>
              <w:right w:type="dxa" w:w="100"/>
            </w:tcMar>
          </w:tcPr>
          <w:p>
            <w:r>
              <w:rPr>
                <w:sz w:val="19"/>
                <w:szCs w:val="19"/>
              </w:rPr>
              <w:t xml:space="preserve">Mise en forme (design system EY dupliqué manuellement)</w:t>
            </w:r>
          </w:p>
        </w:tc>
      </w:tr>
      <w:tr>
        <w:tc>
          <w:tcPr>
            <w:tcW w:type="dxa" w:w="996"/>
            <w:tcMar>
              <w:top w:type="dxa" w:w="50"/>
              <w:left w:type="dxa" w:w="100"/>
              <w:bottom w:type="dxa" w:w="50"/>
              <w:right w:type="dxa" w:w="100"/>
            </w:tcMar>
          </w:tcPr>
          <w:p>
            <w:r>
              <w:rPr>
                <w:sz w:val="19"/>
                <w:szCs w:val="19"/>
              </w:rPr>
              <w:t xml:space="preserve">Markdown</w:t>
            </w:r>
          </w:p>
        </w:tc>
        <w:tc>
          <w:tcPr>
            <w:tcW w:type="dxa" w:w="3699"/>
            <w:tcMar>
              <w:top w:type="dxa" w:w="50"/>
              <w:left w:type="dxa" w:w="100"/>
              <w:bottom w:type="dxa" w:w="50"/>
              <w:right w:type="dxa" w:w="100"/>
            </w:tcMar>
          </w:tcPr>
          <w:p>
            <w:r>
              <w:rPr>
                <w:rFonts w:ascii="Consolas" w:cs="Consolas" w:eastAsia="Consolas" w:hAnsi="Consolas"/>
                <w:sz w:val="19"/>
                <w:szCs w:val="19"/>
              </w:rPr>
              <w:t xml:space="preserve">react-markdown</w:t>
            </w:r>
            <w:r>
              <w:rPr>
                <w:sz w:val="19"/>
                <w:szCs w:val="19"/>
              </w:rPr>
              <w:t xml:space="preserve">, </w:t>
            </w:r>
            <w:r>
              <w:rPr>
                <w:rFonts w:ascii="Consolas" w:cs="Consolas" w:eastAsia="Consolas" w:hAnsi="Consolas"/>
                <w:sz w:val="19"/>
                <w:szCs w:val="19"/>
              </w:rPr>
              <w:t xml:space="preserve">remark-gfm</w:t>
            </w:r>
          </w:p>
        </w:tc>
        <w:tc>
          <w:tcPr>
            <w:tcW w:type="dxa" w:w="5051"/>
            <w:tcMar>
              <w:top w:type="dxa" w:w="50"/>
              <w:left w:type="dxa" w:w="100"/>
              <w:bottom w:type="dxa" w:w="50"/>
              <w:right w:type="dxa" w:w="100"/>
            </w:tcMar>
          </w:tcPr>
          <w:p>
            <w:r>
              <w:rPr>
                <w:sz w:val="19"/>
                <w:szCs w:val="19"/>
              </w:rPr>
              <w:t xml:space="preserve">Rendu du rapport IA</w:t>
            </w:r>
          </w:p>
        </w:tc>
      </w:tr>
      <w:tr>
        <w:tc>
          <w:tcPr>
            <w:tcW w:type="dxa" w:w="996"/>
            <w:tcMar>
              <w:top w:type="dxa" w:w="50"/>
              <w:left w:type="dxa" w:w="100"/>
              <w:bottom w:type="dxa" w:w="50"/>
              <w:right w:type="dxa" w:w="100"/>
            </w:tcMar>
          </w:tcPr>
          <w:p>
            <w:r>
              <w:rPr>
                <w:sz w:val="19"/>
                <w:szCs w:val="19"/>
              </w:rPr>
              <w:t xml:space="preserve">ML — prévision</w:t>
            </w:r>
          </w:p>
        </w:tc>
        <w:tc>
          <w:tcPr>
            <w:tcW w:type="dxa" w:w="3699"/>
            <w:tcMar>
              <w:top w:type="dxa" w:w="50"/>
              <w:left w:type="dxa" w:w="100"/>
              <w:bottom w:type="dxa" w:w="50"/>
              <w:right w:type="dxa" w:w="100"/>
            </w:tcMar>
          </w:tcPr>
          <w:p>
            <w:r>
              <w:rPr>
                <w:rFonts w:ascii="Consolas" w:cs="Consolas" w:eastAsia="Consolas" w:hAnsi="Consolas"/>
                <w:sz w:val="19"/>
                <w:szCs w:val="19"/>
              </w:rPr>
              <w:t xml:space="preserve">prophet</w:t>
            </w:r>
            <w:r>
              <w:rPr>
                <w:sz w:val="19"/>
                <w:szCs w:val="19"/>
              </w:rPr>
              <w:t xml:space="preserve">, </w:t>
            </w:r>
            <w:r>
              <w:rPr>
                <w:rFonts w:ascii="Consolas" w:cs="Consolas" w:eastAsia="Consolas" w:hAnsi="Consolas"/>
                <w:sz w:val="19"/>
                <w:szCs w:val="19"/>
              </w:rPr>
              <w:t xml:space="preserve">xgboost</w:t>
            </w:r>
          </w:p>
        </w:tc>
        <w:tc>
          <w:tcPr>
            <w:tcW w:type="dxa" w:w="5051"/>
            <w:tcMar>
              <w:top w:type="dxa" w:w="50"/>
              <w:left w:type="dxa" w:w="100"/>
              <w:bottom w:type="dxa" w:w="50"/>
              <w:right w:type="dxa" w:w="100"/>
            </w:tcMar>
          </w:tcPr>
          <w:p>
            <w:r>
              <w:rPr>
                <w:sz w:val="19"/>
                <w:szCs w:val="19"/>
              </w:rPr>
              <w:t xml:space="preserve">Modèles de séries temporelles, sélectionnés automatiquement</w:t>
            </w:r>
          </w:p>
        </w:tc>
      </w:tr>
      <w:tr>
        <w:tc>
          <w:tcPr>
            <w:tcW w:type="dxa" w:w="996"/>
            <w:tcMar>
              <w:top w:type="dxa" w:w="50"/>
              <w:left w:type="dxa" w:w="100"/>
              <w:bottom w:type="dxa" w:w="50"/>
              <w:right w:type="dxa" w:w="100"/>
            </w:tcMar>
          </w:tcPr>
          <w:p>
            <w:r>
              <w:rPr>
                <w:sz w:val="19"/>
                <w:szCs w:val="19"/>
              </w:rPr>
              <w:t xml:space="preserve">ML — RAG</w:t>
            </w:r>
          </w:p>
        </w:tc>
        <w:tc>
          <w:tcPr>
            <w:tcW w:type="dxa" w:w="3699"/>
            <w:tcMar>
              <w:top w:type="dxa" w:w="50"/>
              <w:left w:type="dxa" w:w="100"/>
              <w:bottom w:type="dxa" w:w="50"/>
              <w:right w:type="dxa" w:w="100"/>
            </w:tcMar>
          </w:tcPr>
          <w:p>
            <w:r>
              <w:rPr>
                <w:sz w:val="19"/>
                <w:szCs w:val="19"/>
              </w:rPr>
              <w:t xml:space="preserve">TF-IDF fait main (pas de librairie dédiée)</w:t>
            </w:r>
          </w:p>
        </w:tc>
        <w:tc>
          <w:tcPr>
            <w:tcW w:type="dxa" w:w="5051"/>
            <w:tcMar>
              <w:top w:type="dxa" w:w="50"/>
              <w:left w:type="dxa" w:w="100"/>
              <w:bottom w:type="dxa" w:w="50"/>
              <w:right w:type="dxa" w:w="100"/>
            </w:tcMar>
          </w:tcPr>
          <w:p>
            <w:r>
              <w:rPr>
                <w:sz w:val="19"/>
                <w:szCs w:val="19"/>
              </w:rPr>
              <w:t xml:space="preserve">Recherche documentaire réglementaire</w:t>
            </w:r>
          </w:p>
        </w:tc>
      </w:tr>
      <w:tr>
        <w:tc>
          <w:tcPr>
            <w:tcW w:type="dxa" w:w="996"/>
            <w:tcMar>
              <w:top w:type="dxa" w:w="50"/>
              <w:left w:type="dxa" w:w="100"/>
              <w:bottom w:type="dxa" w:w="50"/>
              <w:right w:type="dxa" w:w="100"/>
            </w:tcMar>
          </w:tcPr>
          <w:p>
            <w:r>
              <w:rPr>
                <w:sz w:val="19"/>
                <w:szCs w:val="19"/>
              </w:rPr>
              <w:t xml:space="preserve">LLM</w:t>
            </w:r>
          </w:p>
        </w:tc>
        <w:tc>
          <w:tcPr>
            <w:tcW w:type="dxa" w:w="3699"/>
            <w:tcMar>
              <w:top w:type="dxa" w:w="50"/>
              <w:left w:type="dxa" w:w="100"/>
              <w:bottom w:type="dxa" w:w="50"/>
              <w:right w:type="dxa" w:w="100"/>
            </w:tcMar>
          </w:tcPr>
          <w:p>
            <w:r>
              <w:rPr>
                <w:rFonts w:ascii="Consolas" w:cs="Consolas" w:eastAsia="Consolas" w:hAnsi="Consolas"/>
                <w:sz w:val="19"/>
                <w:szCs w:val="19"/>
              </w:rPr>
              <w:t xml:space="preserve">groq</w:t>
            </w:r>
            <w:r>
              <w:rPr>
                <w:sz w:val="19"/>
                <w:szCs w:val="19"/>
              </w:rPr>
              <w:t xml:space="preserve"> (modèle </w:t>
            </w:r>
            <w:r>
              <w:rPr>
                <w:rFonts w:ascii="Consolas" w:cs="Consolas" w:eastAsia="Consolas" w:hAnsi="Consolas"/>
                <w:sz w:val="19"/>
                <w:szCs w:val="19"/>
              </w:rPr>
              <w:t xml:space="preserve">openai/gpt-oss-120b</w:t>
            </w:r>
            <w:r>
              <w:rPr>
                <w:sz w:val="19"/>
                <w:szCs w:val="19"/>
              </w:rPr>
              <w:t xml:space="preserve">)</w:t>
            </w:r>
          </w:p>
        </w:tc>
        <w:tc>
          <w:tcPr>
            <w:tcW w:type="dxa" w:w="5051"/>
            <w:tcMar>
              <w:top w:type="dxa" w:w="50"/>
              <w:left w:type="dxa" w:w="100"/>
              <w:bottom w:type="dxa" w:w="50"/>
              <w:right w:type="dxa" w:w="100"/>
            </w:tcMar>
          </w:tcPr>
          <w:p>
            <w:r>
              <w:rPr>
                <w:sz w:val="19"/>
                <w:szCs w:val="19"/>
              </w:rPr>
              <w:t xml:space="preserve">Génération de texte (RAG, narratif prévision, explications, rapport IA)</w:t>
            </w:r>
          </w:p>
        </w:tc>
      </w:tr>
      <w:tr>
        <w:tc>
          <w:tcPr>
            <w:tcW w:type="dxa" w:w="996"/>
            <w:tcMar>
              <w:top w:type="dxa" w:w="50"/>
              <w:left w:type="dxa" w:w="100"/>
              <w:bottom w:type="dxa" w:w="50"/>
              <w:right w:type="dxa" w:w="100"/>
            </w:tcMar>
          </w:tcPr>
          <w:p>
            <w:r>
              <w:rPr>
                <w:sz w:val="19"/>
                <w:szCs w:val="19"/>
              </w:rPr>
              <w:t xml:space="preserve">Déploiement</w:t>
            </w:r>
          </w:p>
        </w:tc>
        <w:tc>
          <w:tcPr>
            <w:tcW w:type="dxa" w:w="3699"/>
            <w:tcMar>
              <w:top w:type="dxa" w:w="50"/>
              <w:left w:type="dxa" w:w="100"/>
              <w:bottom w:type="dxa" w:w="50"/>
              <w:right w:type="dxa" w:w="100"/>
            </w:tcMar>
          </w:tcPr>
          <w:p>
            <w:r>
              <w:rPr>
                <w:sz w:val="19"/>
                <w:szCs w:val="19"/>
              </w:rPr>
              <w:t xml:space="preserve">Docker, Docker Compose</w:t>
            </w:r>
          </w:p>
        </w:tc>
        <w:tc>
          <w:tcPr>
            <w:tcW w:type="dxa" w:w="5051"/>
            <w:tcMar>
              <w:top w:type="dxa" w:w="50"/>
              <w:left w:type="dxa" w:w="100"/>
              <w:bottom w:type="dxa" w:w="50"/>
              <w:right w:type="dxa" w:w="100"/>
            </w:tcMar>
          </w:tcPr>
          <w:p>
            <w:r>
              <w:rPr>
                <w:sz w:val="19"/>
                <w:szCs w:val="19"/>
              </w:rPr>
              <w:t xml:space="preserve">Orchestration multi-conteneurs</w:t>
            </w:r>
          </w:p>
        </w:tc>
      </w:tr>
    </w:tbl>
    <w:p>
      <w:pPr>
        <w:spacing w:after="160"/>
      </w:pPr>
    </w:p>
    <w:p>
      <w:pPr>
        <w:pStyle w:val="Heading1"/>
        <w:spacing w:after="140" w:before="280"/>
      </w:pPr>
      <w:r>
        <w:rPr>
          <w:b/>
          <w:bCs/>
          <w:color w:val="2E2E38"/>
        </w:rPr>
        <w:t xml:space="preserve">14. Limitations connues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2"/>
        <w:gridCol w:w="4211"/>
        <w:gridCol w:w="4813"/>
      </w:tblGrid>
      <w:tr>
        <w:trPr>
          <w:tblHeader/>
        </w:trPr>
        <w:tc>
          <w:tcPr>
            <w:tcW w:type="dxa" w:w="722"/>
            <w:shd w:fill="2E2E38" w:val="clear"/>
            <w:tcMar>
              <w:top w:type="dxa" w:w="60"/>
              <w:left w:type="dxa" w:w="100"/>
              <w:bottom w:type="dxa" w:w="60"/>
              <w:right w:type="dxa" w:w="100"/>
            </w:tcMar>
          </w:tcPr>
          <w:p>
            <w:r>
              <w:rPr>
                <w:b/>
                <w:bCs/>
                <w:color w:val="FFFFFF"/>
                <w:sz w:val="19"/>
                <w:szCs w:val="19"/>
              </w:rPr>
              <w:t xml:space="preserve">Domaine</w:t>
            </w:r>
          </w:p>
        </w:tc>
        <w:tc>
          <w:tcPr>
            <w:tcW w:type="dxa" w:w="4211"/>
            <w:shd w:fill="2E2E38" w:val="clear"/>
            <w:tcMar>
              <w:top w:type="dxa" w:w="60"/>
              <w:left w:type="dxa" w:w="100"/>
              <w:bottom w:type="dxa" w:w="60"/>
              <w:right w:type="dxa" w:w="100"/>
            </w:tcMar>
          </w:tcPr>
          <w:p>
            <w:r>
              <w:rPr>
                <w:b/>
                <w:bCs/>
                <w:color w:val="FFFFFF"/>
                <w:sz w:val="19"/>
                <w:szCs w:val="19"/>
              </w:rPr>
              <w:t xml:space="preserve">Limitation</w:t>
            </w:r>
          </w:p>
        </w:tc>
        <w:tc>
          <w:tcPr>
            <w:tcW w:type="dxa" w:w="4813"/>
            <w:shd w:fill="2E2E38" w:val="clear"/>
            <w:tcMar>
              <w:top w:type="dxa" w:w="60"/>
              <w:left w:type="dxa" w:w="100"/>
              <w:bottom w:type="dxa" w:w="60"/>
              <w:right w:type="dxa" w:w="100"/>
            </w:tcMar>
          </w:tcPr>
          <w:p>
            <w:r>
              <w:rPr>
                <w:b/>
                <w:bCs/>
                <w:color w:val="FFFFFF"/>
                <w:sz w:val="19"/>
                <w:szCs w:val="19"/>
              </w:rPr>
              <w:t xml:space="preserve">Statut</w:t>
            </w:r>
          </w:p>
        </w:tc>
      </w:tr>
      <w:tr>
        <w:tc>
          <w:tcPr>
            <w:tcW w:type="dxa" w:w="722"/>
            <w:tcMar>
              <w:top w:type="dxa" w:w="50"/>
              <w:left w:type="dxa" w:w="100"/>
              <w:bottom w:type="dxa" w:w="50"/>
              <w:right w:type="dxa" w:w="100"/>
            </w:tcMar>
          </w:tcPr>
          <w:p>
            <w:r>
              <w:rPr>
                <w:sz w:val="19"/>
                <w:szCs w:val="19"/>
              </w:rPr>
              <w:t xml:space="preserve">Bilan</w:t>
            </w:r>
          </w:p>
        </w:tc>
        <w:tc>
          <w:tcPr>
            <w:tcW w:type="dxa" w:w="4211"/>
            <w:tcMar>
              <w:top w:type="dxa" w:w="50"/>
              <w:left w:type="dxa" w:w="100"/>
              <w:bottom w:type="dxa" w:w="50"/>
              <w:right w:type="dxa" w:w="100"/>
            </w:tcMar>
          </w:tcPr>
          <w:p>
            <w:r>
              <w:rPr>
                <w:sz w:val="19"/>
                <w:szCs w:val="19"/>
              </w:rPr>
              <w:t xml:space="preserve">COTUNACE : OCR corrompu à la source</w:t>
            </w:r>
          </w:p>
        </w:tc>
        <w:tc>
          <w:tcPr>
            <w:tcW w:type="dxa" w:w="4813"/>
            <w:tcMar>
              <w:top w:type="dxa" w:w="50"/>
              <w:left w:type="dxa" w:w="100"/>
              <w:bottom w:type="dxa" w:w="50"/>
              <w:right w:type="dxa" w:w="100"/>
            </w:tcMar>
          </w:tcPr>
          <w:p>
            <w:r>
              <w:rPr>
                <w:sz w:val="19"/>
                <w:szCs w:val="19"/>
              </w:rPr>
              <w:t xml:space="preserve">Non résolu, société exclue de l'affichage</w:t>
            </w:r>
          </w:p>
        </w:tc>
      </w:tr>
      <w:tr>
        <w:tc>
          <w:tcPr>
            <w:tcW w:type="dxa" w:w="722"/>
            <w:tcMar>
              <w:top w:type="dxa" w:w="50"/>
              <w:left w:type="dxa" w:w="100"/>
              <w:bottom w:type="dxa" w:w="50"/>
              <w:right w:type="dxa" w:w="100"/>
            </w:tcMar>
          </w:tcPr>
          <w:p>
            <w:r>
              <w:rPr>
                <w:sz w:val="19"/>
                <w:szCs w:val="19"/>
              </w:rPr>
              <w:t xml:space="preserve">Bilan</w:t>
            </w:r>
          </w:p>
        </w:tc>
        <w:tc>
          <w:tcPr>
            <w:tcW w:type="dxa" w:w="4211"/>
            <w:tcMar>
              <w:top w:type="dxa" w:w="50"/>
              <w:left w:type="dxa" w:w="100"/>
              <w:bottom w:type="dxa" w:w="50"/>
              <w:right w:type="dxa" w:w="100"/>
            </w:tcMar>
          </w:tcPr>
          <w:p>
            <w:r>
              <w:rPr>
                <w:sz w:val="19"/>
                <w:szCs w:val="19"/>
              </w:rPr>
              <w:t xml:space="preserve">BH 2020 : Total actif introuvable (image trop dégradée)</w:t>
            </w:r>
          </w:p>
        </w:tc>
        <w:tc>
          <w:tcPr>
            <w:tcW w:type="dxa" w:w="4813"/>
            <w:tcMar>
              <w:top w:type="dxa" w:w="50"/>
              <w:left w:type="dxa" w:w="100"/>
              <w:bottom w:type="dxa" w:w="50"/>
              <w:right w:type="dxa" w:w="100"/>
            </w:tcMar>
          </w:tcPr>
          <w:p>
            <w:r>
              <w:rPr>
                <w:sz w:val="19"/>
                <w:szCs w:val="19"/>
              </w:rPr>
              <w:t xml:space="preserve">Non résolu</w:t>
            </w:r>
          </w:p>
        </w:tc>
      </w:tr>
      <w:tr>
        <w:tc>
          <w:tcPr>
            <w:tcW w:type="dxa" w:w="722"/>
            <w:tcMar>
              <w:top w:type="dxa" w:w="50"/>
              <w:left w:type="dxa" w:w="100"/>
              <w:bottom w:type="dxa" w:w="50"/>
              <w:right w:type="dxa" w:w="100"/>
            </w:tcMar>
          </w:tcPr>
          <w:p>
            <w:r>
              <w:rPr>
                <w:sz w:val="19"/>
                <w:szCs w:val="19"/>
              </w:rPr>
              <w:t xml:space="preserve">Annexe 12/13</w:t>
            </w:r>
          </w:p>
        </w:tc>
        <w:tc>
          <w:tcPr>
            <w:tcW w:type="dxa" w:w="4211"/>
            <w:tcMar>
              <w:top w:type="dxa" w:w="50"/>
              <w:left w:type="dxa" w:w="100"/>
              <w:bottom w:type="dxa" w:w="50"/>
              <w:right w:type="dxa" w:w="100"/>
            </w:tcMar>
          </w:tcPr>
          <w:p>
            <w:r>
              <w:rPr>
                <w:sz w:val="19"/>
                <w:szCs w:val="19"/>
              </w:rPr>
              <w:t xml:space="preserve">COMAR 2018 : PDF entièrement scanné, 0 caractère sur 45 pages</w:t>
            </w:r>
          </w:p>
        </w:tc>
        <w:tc>
          <w:tcPr>
            <w:tcW w:type="dxa" w:w="4813"/>
            <w:tcMar>
              <w:top w:type="dxa" w:w="50"/>
              <w:left w:type="dxa" w:w="100"/>
              <w:bottom w:type="dxa" w:w="50"/>
              <w:right w:type="dxa" w:w="100"/>
            </w:tcMar>
          </w:tcPr>
          <w:p>
            <w:r>
              <w:rPr>
                <w:sz w:val="19"/>
                <w:szCs w:val="19"/>
              </w:rPr>
              <w:t xml:space="preserve">Non résolu</w:t>
            </w:r>
          </w:p>
        </w:tc>
      </w:tr>
      <w:tr>
        <w:tc>
          <w:tcPr>
            <w:tcW w:type="dxa" w:w="722"/>
            <w:tcMar>
              <w:top w:type="dxa" w:w="50"/>
              <w:left w:type="dxa" w:w="100"/>
              <w:bottom w:type="dxa" w:w="50"/>
              <w:right w:type="dxa" w:w="100"/>
            </w:tcMar>
          </w:tcPr>
          <w:p>
            <w:r>
              <w:rPr>
                <w:sz w:val="19"/>
                <w:szCs w:val="19"/>
              </w:rPr>
              <w:t xml:space="preserve">Annexe 13</w:t>
            </w:r>
          </w:p>
        </w:tc>
        <w:tc>
          <w:tcPr>
            <w:tcW w:type="dxa" w:w="4211"/>
            <w:tcMar>
              <w:top w:type="dxa" w:w="50"/>
              <w:left w:type="dxa" w:w="100"/>
              <w:bottom w:type="dxa" w:w="50"/>
              <w:right w:type="dxa" w:w="100"/>
            </w:tcMar>
          </w:tcPr>
          <w:p>
            <w:r>
              <w:rPr>
                <w:sz w:val="19"/>
                <w:szCs w:val="19"/>
              </w:rPr>
              <w:t xml:space="preserve">STAR 2025 : 2 lignes introuvables même à 400 dpi</w:t>
            </w:r>
          </w:p>
        </w:tc>
        <w:tc>
          <w:tcPr>
            <w:tcW w:type="dxa" w:w="4813"/>
            <w:tcMar>
              <w:top w:type="dxa" w:w="50"/>
              <w:left w:type="dxa" w:w="100"/>
              <w:bottom w:type="dxa" w:w="50"/>
              <w:right w:type="dxa" w:w="100"/>
            </w:tcMar>
          </w:tcPr>
          <w:p>
            <w:r>
              <w:rPr>
                <w:sz w:val="19"/>
                <w:szCs w:val="19"/>
              </w:rPr>
              <w:t xml:space="preserve">Non résolu, documenté</w:t>
            </w:r>
          </w:p>
        </w:tc>
      </w:tr>
      <w:tr>
        <w:tc>
          <w:tcPr>
            <w:tcW w:type="dxa" w:w="722"/>
            <w:tcMar>
              <w:top w:type="dxa" w:w="50"/>
              <w:left w:type="dxa" w:w="100"/>
              <w:bottom w:type="dxa" w:w="50"/>
              <w:right w:type="dxa" w:w="100"/>
            </w:tcMar>
          </w:tcPr>
          <w:p>
            <w:r>
              <w:rPr>
                <w:sz w:val="19"/>
                <w:szCs w:val="19"/>
              </w:rPr>
              <w:t xml:space="preserve">Résultat</w:t>
            </w:r>
          </w:p>
        </w:tc>
        <w:tc>
          <w:tcPr>
            <w:tcW w:type="dxa" w:w="4211"/>
            <w:tcMar>
              <w:top w:type="dxa" w:w="50"/>
              <w:left w:type="dxa" w:w="100"/>
              <w:bottom w:type="dxa" w:w="50"/>
              <w:right w:type="dxa" w:w="100"/>
            </w:tcMar>
          </w:tcPr>
          <w:p>
            <w:r>
              <w:rPr>
                <w:sz w:val="19"/>
                <w:szCs w:val="19"/>
              </w:rPr>
              <w:t xml:space="preserve">TUNIS_RE 2024 : séparateur de milliers scindant un nombre en 2 tokens</w:t>
            </w:r>
          </w:p>
        </w:tc>
        <w:tc>
          <w:tcPr>
            <w:tcW w:type="dxa" w:w="4813"/>
            <w:tcMar>
              <w:top w:type="dxa" w:w="50"/>
              <w:left w:type="dxa" w:w="100"/>
              <w:bottom w:type="dxa" w:w="50"/>
              <w:right w:type="dxa" w:w="100"/>
            </w:tcMar>
          </w:tcPr>
          <w:p>
            <w:r>
              <w:rPr>
                <w:sz w:val="19"/>
                <w:szCs w:val="19"/>
              </w:rPr>
              <w:t xml:space="preserve">Cause identifiée, correctif non appliqué (portée jugée trop large)</w:t>
            </w:r>
          </w:p>
        </w:tc>
      </w:tr>
      <w:tr>
        <w:tc>
          <w:tcPr>
            <w:tcW w:type="dxa" w:w="722"/>
            <w:tcMar>
              <w:top w:type="dxa" w:w="50"/>
              <w:left w:type="dxa" w:w="100"/>
              <w:bottom w:type="dxa" w:w="50"/>
              <w:right w:type="dxa" w:w="100"/>
            </w:tcMar>
          </w:tcPr>
          <w:p>
            <w:r>
              <w:rPr>
                <w:sz w:val="19"/>
                <w:szCs w:val="19"/>
              </w:rPr>
              <w:t xml:space="preserve">Takaful</w:t>
            </w:r>
          </w:p>
        </w:tc>
        <w:tc>
          <w:tcPr>
            <w:tcW w:type="dxa" w:w="4211"/>
            <w:tcMar>
              <w:top w:type="dxa" w:w="50"/>
              <w:left w:type="dxa" w:w="100"/>
              <w:bottom w:type="dxa" w:w="50"/>
              <w:right w:type="dxa" w:w="100"/>
            </w:tcMar>
          </w:tcPr>
          <w:p>
            <w:r>
              <w:rPr>
                <w:sz w:val="19"/>
                <w:szCs w:val="19"/>
              </w:rPr>
              <w:t xml:space="preserve">AL_AMANAH_TAKAFUL : Surplus Familial/Général incomplet (5/9 exercices)</w:t>
            </w:r>
          </w:p>
        </w:tc>
        <w:tc>
          <w:tcPr>
            <w:tcW w:type="dxa" w:w="4813"/>
            <w:tcMar>
              <w:top w:type="dxa" w:w="50"/>
              <w:left w:type="dxa" w:w="100"/>
              <w:bottom w:type="dxa" w:w="50"/>
              <w:right w:type="dxa" w:w="100"/>
            </w:tcMar>
          </w:tcPr>
          <w:p>
            <w:r>
              <w:rPr>
                <w:sz w:val="19"/>
                <w:szCs w:val="19"/>
              </w:rPr>
              <w:t xml:space="preserve">Non résolu</w:t>
            </w:r>
          </w:p>
        </w:tc>
      </w:tr>
      <w:tr>
        <w:tc>
          <w:tcPr>
            <w:tcW w:type="dxa" w:w="722"/>
            <w:tcMar>
              <w:top w:type="dxa" w:w="50"/>
              <w:left w:type="dxa" w:w="100"/>
              <w:bottom w:type="dxa" w:w="50"/>
              <w:right w:type="dxa" w:w="100"/>
            </w:tcMar>
          </w:tcPr>
          <w:p>
            <w:r>
              <w:rPr>
                <w:sz w:val="19"/>
                <w:szCs w:val="19"/>
              </w:rPr>
              <w:t xml:space="preserve">Takaful</w:t>
            </w:r>
          </w:p>
        </w:tc>
        <w:tc>
          <w:tcPr>
            <w:tcW w:type="dxa" w:w="4211"/>
            <w:tcMar>
              <w:top w:type="dxa" w:w="50"/>
              <w:left w:type="dxa" w:w="100"/>
              <w:bottom w:type="dxa" w:w="50"/>
              <w:right w:type="dxa" w:w="100"/>
            </w:tcMar>
          </w:tcPr>
          <w:p>
            <w:r>
              <w:rPr>
                <w:sz w:val="19"/>
                <w:szCs w:val="19"/>
              </w:rPr>
              <w:t xml:space="preserve">Commissions Wakala/Moudharaba</w:t>
            </w:r>
          </w:p>
        </w:tc>
        <w:tc>
          <w:tcPr>
            <w:tcW w:type="dxa" w:w="4813"/>
            <w:tcMar>
              <w:top w:type="dxa" w:w="50"/>
              <w:left w:type="dxa" w:w="100"/>
              <w:bottom w:type="dxa" w:w="50"/>
              <w:right w:type="dxa" w:w="100"/>
            </w:tcMar>
          </w:tcPr>
          <w:p>
            <w:r>
              <w:rPr>
                <w:sz w:val="19"/>
                <w:szCs w:val="19"/>
              </w:rPr>
              <w:t xml:space="preserve">Jamais câblées (signe incohérent en test)</w:t>
            </w:r>
          </w:p>
        </w:tc>
      </w:tr>
      <w:tr>
        <w:tc>
          <w:tcPr>
            <w:tcW w:type="dxa" w:w="722"/>
            <w:tcMar>
              <w:top w:type="dxa" w:w="50"/>
              <w:left w:type="dxa" w:w="100"/>
              <w:bottom w:type="dxa" w:w="50"/>
              <w:right w:type="dxa" w:w="100"/>
            </w:tcMar>
          </w:tcPr>
          <w:p>
            <w:r>
              <w:rPr>
                <w:sz w:val="19"/>
                <w:szCs w:val="19"/>
              </w:rPr>
              <w:t xml:space="preserve">ML</w:t>
            </w:r>
          </w:p>
        </w:tc>
        <w:tc>
          <w:tcPr>
            <w:tcW w:type="dxa" w:w="4211"/>
            <w:tcMar>
              <w:top w:type="dxa" w:w="50"/>
              <w:left w:type="dxa" w:w="100"/>
              <w:bottom w:type="dxa" w:w="50"/>
              <w:right w:type="dxa" w:w="100"/>
            </w:tcMar>
          </w:tcPr>
          <w:p>
            <w:r>
              <w:rPr>
                <w:sz w:val="19"/>
                <w:szCs w:val="19"/>
              </w:rPr>
              <w:t xml:space="preserve">Copie SQLite du chatbot peut dériver silencieusement (sync manuelle)</w:t>
            </w:r>
          </w:p>
        </w:tc>
        <w:tc>
          <w:tcPr>
            <w:tcW w:type="dxa" w:w="4813"/>
            <w:tcMar>
              <w:top w:type="dxa" w:w="50"/>
              <w:left w:type="dxa" w:w="100"/>
              <w:bottom w:type="dxa" w:w="50"/>
              <w:right w:type="dxa" w:w="100"/>
            </w:tcMar>
          </w:tcPr>
          <w:p>
            <w:r>
              <w:rPr>
                <w:sz w:val="19"/>
                <w:szCs w:val="19"/>
              </w:rPr>
              <w:t xml:space="preserve">Pas de garde-fou automatique</w:t>
            </w:r>
          </w:p>
        </w:tc>
      </w:tr>
      <w:tr>
        <w:tc>
          <w:tcPr>
            <w:tcW w:type="dxa" w:w="722"/>
            <w:tcMar>
              <w:top w:type="dxa" w:w="50"/>
              <w:left w:type="dxa" w:w="100"/>
              <w:bottom w:type="dxa" w:w="50"/>
              <w:right w:type="dxa" w:w="100"/>
            </w:tcMar>
          </w:tcPr>
          <w:p>
            <w:r>
              <w:rPr>
                <w:sz w:val="19"/>
                <w:szCs w:val="19"/>
              </w:rPr>
              <w:t xml:space="preserve">Frontend</w:t>
            </w:r>
          </w:p>
        </w:tc>
        <w:tc>
          <w:tcPr>
            <w:tcW w:type="dxa" w:w="4211"/>
            <w:tcMar>
              <w:top w:type="dxa" w:w="50"/>
              <w:left w:type="dxa" w:w="100"/>
              <w:bottom w:type="dxa" w:w="50"/>
              <w:right w:type="dxa" w:w="100"/>
            </w:tcMar>
          </w:tcPr>
          <w:p>
            <w:r>
              <w:rPr>
                <w:rFonts w:ascii="Consolas" w:cs="Consolas" w:eastAsia="Consolas" w:hAnsi="Consolas"/>
                <w:sz w:val="19"/>
                <w:szCs w:val="19"/>
              </w:rPr>
              <w:t xml:space="preserve">/positionnement</w:t>
            </w:r>
            <w:r>
              <w:rPr>
                <w:sz w:val="19"/>
                <w:szCs w:val="19"/>
              </w:rPr>
              <w:t xml:space="preserve">, </w:t>
            </w:r>
            <w:r>
              <w:rPr>
                <w:rFonts w:ascii="Consolas" w:cs="Consolas" w:eastAsia="Consolas" w:hAnsi="Consolas"/>
                <w:sz w:val="19"/>
                <w:szCs w:val="19"/>
              </w:rPr>
              <w:t xml:space="preserve">/geographie</w:t>
            </w:r>
            <w:r>
              <w:rPr>
                <w:sz w:val="19"/>
                <w:szCs w:val="19"/>
              </w:rPr>
              <w:t xml:space="preserve"> non fonctionnels/mock</w:t>
            </w:r>
          </w:p>
        </w:tc>
        <w:tc>
          <w:tcPr>
            <w:tcW w:type="dxa" w:w="4813"/>
            <w:tcMar>
              <w:top w:type="dxa" w:w="50"/>
              <w:left w:type="dxa" w:w="100"/>
              <w:bottom w:type="dxa" w:w="50"/>
              <w:right w:type="dxa" w:w="100"/>
            </w:tcMar>
          </w:tcPr>
          <w:p>
            <w:r>
              <w:rPr>
                <w:sz w:val="19"/>
                <w:szCs w:val="19"/>
              </w:rPr>
              <w:t xml:space="preserve">À finaliser ou retirer avant la soutenance</w:t>
            </w:r>
          </w:p>
        </w:tc>
      </w:tr>
      <w:tr>
        <w:tc>
          <w:tcPr>
            <w:tcW w:type="dxa" w:w="722"/>
            <w:tcMar>
              <w:top w:type="dxa" w:w="50"/>
              <w:left w:type="dxa" w:w="100"/>
              <w:bottom w:type="dxa" w:w="50"/>
              <w:right w:type="dxa" w:w="100"/>
            </w:tcMar>
          </w:tcPr>
          <w:p>
            <w:r>
              <w:rPr>
                <w:sz w:val="19"/>
                <w:szCs w:val="19"/>
              </w:rPr>
              <w:t xml:space="preserve">Sécurité</w:t>
            </w:r>
          </w:p>
        </w:tc>
        <w:tc>
          <w:tcPr>
            <w:tcW w:type="dxa" w:w="4211"/>
            <w:tcMar>
              <w:top w:type="dxa" w:w="50"/>
              <w:left w:type="dxa" w:w="100"/>
              <w:bottom w:type="dxa" w:w="50"/>
              <w:right w:type="dxa" w:w="100"/>
            </w:tcMar>
          </w:tcPr>
          <w:p>
            <w:r>
              <w:rPr>
                <w:sz w:val="19"/>
                <w:szCs w:val="19"/>
              </w:rPr>
              <w:t xml:space="preserve">Pas d'authentification sur l'API</w:t>
            </w:r>
          </w:p>
        </w:tc>
        <w:tc>
          <w:tcPr>
            <w:tcW w:type="dxa" w:w="4813"/>
            <w:tcMar>
              <w:top w:type="dxa" w:w="50"/>
              <w:left w:type="dxa" w:w="100"/>
              <w:bottom w:type="dxa" w:w="50"/>
              <w:right w:type="dxa" w:w="100"/>
            </w:tcMar>
          </w:tcPr>
          <w:p>
            <w:r>
              <w:rPr>
                <w:sz w:val="19"/>
                <w:szCs w:val="19"/>
              </w:rPr>
              <w:t xml:space="preserve">Acceptable pour un usage interne, à noter comme limite si extension du périmètre</w:t>
            </w:r>
          </w:p>
        </w:tc>
      </w:tr>
      <w:tr>
        <w:tc>
          <w:tcPr>
            <w:tcW w:type="dxa" w:w="722"/>
            <w:tcMar>
              <w:top w:type="dxa" w:w="50"/>
              <w:left w:type="dxa" w:w="100"/>
              <w:bottom w:type="dxa" w:w="50"/>
              <w:right w:type="dxa" w:w="100"/>
            </w:tcMar>
          </w:tcPr>
          <w:p>
            <w:r>
              <w:rPr>
                <w:sz w:val="19"/>
                <w:szCs w:val="19"/>
              </w:rPr>
              <w:t xml:space="preserve">Traçabilité</w:t>
            </w:r>
          </w:p>
        </w:tc>
        <w:tc>
          <w:tcPr>
            <w:tcW w:type="dxa" w:w="4211"/>
            <w:tcMar>
              <w:top w:type="dxa" w:w="50"/>
              <w:left w:type="dxa" w:w="100"/>
              <w:bottom w:type="dxa" w:w="50"/>
              <w:right w:type="dxa" w:w="100"/>
            </w:tcMar>
          </w:tcPr>
          <w:p>
            <w:r>
              <w:rPr>
                <w:sz w:val="19"/>
                <w:szCs w:val="19"/>
              </w:rPr>
              <w:t xml:space="preserve">Priorisation des sociétés à approfondir pour l'audit </w:t>
            </w:r>
            <w:r>
              <w:rPr>
                <w:rFonts w:ascii="Consolas" w:cs="Consolas" w:eastAsia="Consolas" w:hAnsi="Consolas"/>
                <w:sz w:val="19"/>
                <w:szCs w:val="19"/>
              </w:rPr>
              <w:t xml:space="preserve">/kpi-detail</w:t>
            </w:r>
          </w:p>
        </w:tc>
        <w:tc>
          <w:tcPr>
            <w:tcW w:type="dxa" w:w="4813"/>
            <w:tcMar>
              <w:top w:type="dxa" w:w="50"/>
              <w:left w:type="dxa" w:w="100"/>
              <w:bottom w:type="dxa" w:w="50"/>
              <w:right w:type="dxa" w:w="100"/>
            </w:tcMar>
          </w:tcPr>
          <w:p>
            <w:r>
              <w:rPr>
                <w:sz w:val="19"/>
                <w:szCs w:val="19"/>
              </w:rPr>
              <w:t xml:space="preserve">Jamais tranchée</w:t>
            </w:r>
          </w:p>
        </w:tc>
      </w:tr>
    </w:tbl>
    <w:p>
      <w:pPr>
        <w:spacing w:after="160"/>
      </w:pPr>
    </w:p>
    <w:p>
      <w:pPr>
        <w:spacing w:after="120"/>
      </w:pPr>
      <w:r>
        <w:rPr>
          <w:i/>
          <w:iCs/>
          <w:color w:val="777777"/>
          <w:sz w:val="18"/>
          <w:szCs w:val="18"/>
        </w:rPr>
        <w:t xml:space="preserve">Document compilé à partir d'une exploration systématique du code (5 agents dédiés : scraping/BDD/pipeline, extraction PDF, backend API, frontend, IA/ML) + lecture directe de </w:t>
      </w:r>
      <w:r>
        <w:rPr>
          <w:rFonts w:ascii="Consolas" w:cs="Consolas" w:eastAsia="Consolas" w:hAnsi="Consolas"/>
          <w:i/>
          <w:iCs/>
          <w:color w:val="777777"/>
          <w:sz w:val="18"/>
          <w:szCs w:val="18"/>
        </w:rPr>
        <w:t xml:space="preserve">requirements.txt</w:t>
      </w:r>
      <w:r>
        <w:rPr>
          <w:i/>
          <w:iCs/>
          <w:color w:val="777777"/>
          <w:sz w:val="18"/>
          <w:szCs w:val="18"/>
        </w:rPr>
        <w:t xml:space="preserve">, </w:t>
      </w:r>
      <w:r>
        <w:rPr>
          <w:rFonts w:ascii="Consolas" w:cs="Consolas" w:eastAsia="Consolas" w:hAnsi="Consolas"/>
          <w:i/>
          <w:iCs/>
          <w:color w:val="777777"/>
          <w:sz w:val="18"/>
          <w:szCs w:val="18"/>
        </w:rPr>
        <w:t xml:space="preserve">package.json</w:t>
      </w:r>
      <w:r>
        <w:rPr>
          <w:i/>
          <w:iCs/>
          <w:color w:val="777777"/>
          <w:sz w:val="18"/>
          <w:szCs w:val="18"/>
        </w:rPr>
        <w:t xml:space="preserve">, </w:t>
      </w:r>
      <w:r>
        <w:rPr>
          <w:rFonts w:ascii="Consolas" w:cs="Consolas" w:eastAsia="Consolas" w:hAnsi="Consolas"/>
          <w:i/>
          <w:iCs/>
          <w:color w:val="777777"/>
          <w:sz w:val="18"/>
          <w:szCs w:val="18"/>
        </w:rPr>
        <w:t xml:space="preserve">docker-compose.yml</w:t>
      </w:r>
      <w:r>
        <w:rPr>
          <w:i/>
          <w:iCs/>
          <w:color w:val="777777"/>
          <w:sz w:val="18"/>
          <w:szCs w:val="18"/>
        </w:rPr>
        <w:t xml:space="preserve">, </w:t>
      </w:r>
      <w:r>
        <w:rPr>
          <w:rFonts w:ascii="Consolas" w:cs="Consolas" w:eastAsia="Consolas" w:hAnsi="Consolas"/>
          <w:i/>
          <w:iCs/>
          <w:color w:val="777777"/>
          <w:sz w:val="18"/>
          <w:szCs w:val="18"/>
        </w:rPr>
        <w:t xml:space="preserve">README.md</w:t>
      </w:r>
      <w:r>
        <w:rPr>
          <w:i/>
          <w:iCs/>
          <w:color w:val="777777"/>
          <w:sz w:val="18"/>
          <w:szCs w:val="18"/>
        </w:rPr>
        <w:t xml:space="preserve"> et </w:t>
      </w:r>
      <w:r>
        <w:rPr>
          <w:rFonts w:ascii="Consolas" w:cs="Consolas" w:eastAsia="Consolas" w:hAnsi="Consolas"/>
          <w:i/>
          <w:iCs/>
          <w:color w:val="777777"/>
          <w:sz w:val="18"/>
          <w:szCs w:val="18"/>
        </w:rPr>
        <w:t xml:space="preserve">docs/pfe_phase_documentation.md</w:t>
      </w:r>
      <w:r>
        <w:rPr>
          <w:i/>
          <w:iCs/>
          <w:color w:val="777777"/>
          <w:sz w:val="18"/>
          <w:szCs w:val="18"/>
        </w:rPr>
        <w:t xml:space="preser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b6c45a6dde7bb87ae08e598365bc4099e7f88c.png"/><Relationship Id="rId8" Type="http://schemas.openxmlformats.org/officeDocument/2006/relationships/image" Target="media/9397d8ffab1a972729c38f397f8a97b389d22ba2.png"/><Relationship Id="rId9" Type="http://schemas.openxmlformats.org/officeDocument/2006/relationships/image" Target="media/0fe1fd39cb3ef38de218c424331c77a61976e12b.png"/><Relationship Id="rId10" Type="http://schemas.openxmlformats.org/officeDocument/2006/relationships/image" Target="media/f2b87c311c487c1c24b521f5acdd46d599666eb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2026-09-03T23:03:32.747Z</dcterms:created>
  <dcterms:modified xsi:type="dcterms:W3CDTF">2026-09-03T23:03:32.749Z</dcterms:modified>
</cp:coreProperties>
</file>

<file path=docProps/custom.xml><?xml version="1.0" encoding="utf-8"?>
<Properties xmlns="http://schemas.openxmlformats.org/officeDocument/2006/custom-properties" xmlns:vt="http://schemas.openxmlformats.org/officeDocument/2006/docPropsVTypes"/>
</file>