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2E2E38"/>
          <w:sz w:val="72"/>
          <w:szCs w:val="72"/>
        </w:rPr>
        <w:t xml:space="preserve">EY</w:t>
      </w:r>
    </w:p>
    <w:p>
      <w:pPr>
        <w:spacing w:after="0" w:before="200"/>
      </w:pPr>
      <w:r>
        <w:t xml:space="preserve"/>
      </w:r>
    </w:p>
    <w:p>
      <w:pPr>
        <w:shd w:fill="FFE600" w:color="auto" w:val="clear"/>
        <w:jc w:val="center"/>
      </w:pPr>
      <w:r>
        <w:rPr>
          <w:rFonts w:ascii="Arial" w:cs="Arial" w:eastAsia="Arial" w:hAnsi="Arial"/>
          <w:b/>
          <w:bCs/>
          <w:color w:val="2E2E38"/>
          <w:sz w:val="24"/>
          <w:szCs w:val="24"/>
        </w:rPr>
        <w:t xml:space="preserve">  FINANCIAL SERVICES · MARKET INTELLIGENCE  </w:t>
      </w:r>
    </w:p>
    <w:p>
      <w:pPr>
        <w:spacing w:after="0" w:before="400"/>
      </w:pPr>
      <w:r>
        <w:t xml:space="preserve"/>
      </w:r>
    </w:p>
    <w:p>
      <w:pPr>
        <w:jc w:val="center"/>
      </w:pPr>
      <w:r>
        <w:rPr>
          <w:rFonts w:ascii="Arial" w:cs="Arial" w:eastAsia="Arial" w:hAnsi="Arial"/>
          <w:b/>
          <w:bCs/>
          <w:color w:val="2E2E38"/>
          <w:sz w:val="56"/>
          <w:szCs w:val="56"/>
        </w:rPr>
        <w:t xml:space="preserve">FS Market Intelligence</w:t>
      </w:r>
    </w:p>
    <w:p>
      <w:pPr>
        <w:jc w:val="center"/>
      </w:pPr>
      <w:r>
        <w:rPr>
          <w:rFonts w:ascii="Arial" w:cs="Arial" w:eastAsia="Arial" w:hAnsi="Arial"/>
          <w:color w:val="5C5C6E"/>
          <w:sz w:val="36"/>
          <w:szCs w:val="36"/>
        </w:rPr>
        <w:t xml:space="preserve">Baromètre Assurance TN</w:t>
      </w:r>
    </w:p>
    <w:p>
      <w:pPr>
        <w:spacing w:after="0" w:before="600"/>
      </w:pPr>
      <w:r>
        <w:t xml:space="preserve"/>
      </w:r>
    </w:p>
    <w:p>
      <w:pPr>
        <w:jc w:val="center"/>
      </w:pPr>
      <w:r>
        <w:rPr>
          <w:rFonts w:ascii="Arial" w:cs="Arial" w:eastAsia="Arial" w:hAnsi="Arial"/>
          <w:b/>
          <w:bCs/>
          <w:color w:val="2E2E38"/>
          <w:spacing w:val="60"/>
          <w:sz w:val="22"/>
          <w:szCs w:val="22"/>
        </w:rPr>
        <w:t xml:space="preserve">DOCUMENTATION TECHNIQUE COMPLÈTE</w:t>
      </w:r>
    </w:p>
    <w:p>
      <w:pPr>
        <w:spacing w:after="0" w:before="100"/>
      </w:pPr>
      <w:r>
        <w:t xml:space="preserve"/>
      </w:r>
    </w:p>
    <w:p>
      <w:pPr>
        <w:jc w:val="center"/>
      </w:pPr>
      <w:r>
        <w:rPr>
          <w:rFonts w:ascii="Arial" w:cs="Arial" w:eastAsia="Arial" w:hAnsi="Arial"/>
          <w:color w:val="5C5C6E"/>
          <w:sz w:val="22"/>
          <w:szCs w:val="22"/>
        </w:rPr>
        <w:t xml:space="preserve">Projet de Fin d'Études — PFE 2025–2026</w:t>
      </w:r>
    </w:p>
    <w:p>
      <w:pPr>
        <w:spacing w:after="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600"/>
      </w:tblGrid>
      <w:tr>
        <w:tc>
          <w:tcPr>
            <w:tcW w:type="dxa" w:w="2400"/>
            <w:shd w:fill="2E2E38" w:color="auto" w:val="clear"/>
          </w:tcPr>
          <w:p>
            <w:pPr>
              <w:spacing w:after="80" w:before="80"/>
            </w:pPr>
            <w:r>
              <w:rPr>
                <w:rFonts w:ascii="Arial" w:cs="Arial" w:eastAsia="Arial" w:hAnsi="Arial"/>
                <w:b/>
                <w:bCs/>
                <w:color w:val="FFE600"/>
                <w:sz w:val="18"/>
                <w:szCs w:val="18"/>
              </w:rPr>
              <w:t xml:space="preserve">DOMAINE</w:t>
            </w:r>
          </w:p>
        </w:tc>
        <w:tc>
          <w:tcPr>
            <w:tcW w:type="dxa" w:w="3600"/>
            <w:shd w:fill="FFFFFF" w:color="auto" w:val="clear"/>
          </w:tcPr>
          <w:p>
            <w:pPr>
              <w:spacing w:after="80" w:before="80"/>
            </w:pPr>
            <w:r>
              <w:rPr>
                <w:rFonts w:ascii="Arial" w:cs="Arial" w:eastAsia="Arial" w:hAnsi="Arial"/>
                <w:b w:val="false"/>
                <w:bCs w:val="false"/>
                <w:color w:val="0C1B2E"/>
                <w:sz w:val="18"/>
                <w:szCs w:val="18"/>
              </w:rPr>
              <w:t xml:space="preserve">Assurance Tunisienne — 24 compagnies</w:t>
            </w:r>
          </w:p>
        </w:tc>
      </w:tr>
      <w:tr>
        <w:tc>
          <w:tcPr>
            <w:tcW w:type="dxa" w:w="2400"/>
            <w:shd w:fill="2E2E38" w:color="auto" w:val="clear"/>
          </w:tcPr>
          <w:p>
            <w:pPr>
              <w:spacing w:after="80" w:before="80"/>
            </w:pPr>
            <w:r>
              <w:rPr>
                <w:rFonts w:ascii="Arial" w:cs="Arial" w:eastAsia="Arial" w:hAnsi="Arial"/>
                <w:b/>
                <w:bCs/>
                <w:color w:val="FFE600"/>
                <w:sz w:val="18"/>
                <w:szCs w:val="18"/>
              </w:rPr>
              <w:t xml:space="preserve">DONNÉES COUVERTES</w:t>
            </w:r>
          </w:p>
        </w:tc>
        <w:tc>
          <w:tcPr>
            <w:tcW w:type="dxa" w:w="3600"/>
            <w:shd w:fill="FFFFFF" w:color="auto" w:val="clear"/>
          </w:tcPr>
          <w:p>
            <w:pPr>
              <w:spacing w:after="80" w:before="80"/>
            </w:pPr>
            <w:r>
              <w:rPr>
                <w:rFonts w:ascii="Arial" w:cs="Arial" w:eastAsia="Arial" w:hAnsi="Arial"/>
                <w:b w:val="false"/>
                <w:bCs w:val="false"/>
                <w:color w:val="0C1B2E"/>
                <w:sz w:val="18"/>
                <w:szCs w:val="18"/>
              </w:rPr>
              <w:t xml:space="preserve">2015 – 2024 (10 années)</w:t>
            </w:r>
          </w:p>
        </w:tc>
      </w:tr>
      <w:tr>
        <w:tc>
          <w:tcPr>
            <w:tcW w:type="dxa" w:w="2400"/>
            <w:shd w:fill="2E2E38" w:color="auto" w:val="clear"/>
          </w:tcPr>
          <w:p>
            <w:pPr>
              <w:spacing w:after="80" w:before="80"/>
            </w:pPr>
            <w:r>
              <w:rPr>
                <w:rFonts w:ascii="Arial" w:cs="Arial" w:eastAsia="Arial" w:hAnsi="Arial"/>
                <w:b/>
                <w:bCs/>
                <w:color w:val="FFE600"/>
                <w:sz w:val="18"/>
                <w:szCs w:val="18"/>
              </w:rPr>
              <w:t xml:space="preserve">SOURCES</w:t>
            </w:r>
          </w:p>
        </w:tc>
        <w:tc>
          <w:tcPr>
            <w:tcW w:type="dxa" w:w="3600"/>
            <w:shd w:fill="FFFFFF" w:color="auto" w:val="clear"/>
          </w:tcPr>
          <w:p>
            <w:pPr>
              <w:spacing w:after="80" w:before="80"/>
            </w:pPr>
            <w:r>
              <w:rPr>
                <w:rFonts w:ascii="Arial" w:cs="Arial" w:eastAsia="Arial" w:hAnsi="Arial"/>
                <w:b w:val="false"/>
                <w:bCs w:val="false"/>
                <w:color w:val="0C1B2E"/>
                <w:sz w:val="18"/>
                <w:szCs w:val="18"/>
              </w:rPr>
              <w:t xml:space="preserve">CMF · FTUSA · INS · BVMT · CGA</w:t>
            </w:r>
          </w:p>
        </w:tc>
      </w:tr>
      <w:tr>
        <w:tc>
          <w:tcPr>
            <w:tcW w:type="dxa" w:w="2400"/>
            <w:shd w:fill="2E2E38" w:color="auto" w:val="clear"/>
          </w:tcPr>
          <w:p>
            <w:pPr>
              <w:spacing w:after="80" w:before="80"/>
            </w:pPr>
            <w:r>
              <w:rPr>
                <w:rFonts w:ascii="Arial" w:cs="Arial" w:eastAsia="Arial" w:hAnsi="Arial"/>
                <w:b/>
                <w:bCs/>
                <w:color w:val="FFE600"/>
                <w:sz w:val="18"/>
                <w:szCs w:val="18"/>
              </w:rPr>
              <w:t xml:space="preserve">STACK TECHNIQUE</w:t>
            </w:r>
          </w:p>
        </w:tc>
        <w:tc>
          <w:tcPr>
            <w:tcW w:type="dxa" w:w="3600"/>
            <w:shd w:fill="FFFFFF" w:color="auto" w:val="clear"/>
          </w:tcPr>
          <w:p>
            <w:pPr>
              <w:spacing w:after="80" w:before="80"/>
            </w:pPr>
            <w:r>
              <w:rPr>
                <w:rFonts w:ascii="Arial" w:cs="Arial" w:eastAsia="Arial" w:hAnsi="Arial"/>
                <w:b w:val="false"/>
                <w:bCs w:val="false"/>
                <w:color w:val="0C1B2E"/>
                <w:sz w:val="18"/>
                <w:szCs w:val="18"/>
              </w:rPr>
              <w:t xml:space="preserve">Python · React · SQLite · Flask · Groq LLM</w:t>
            </w:r>
          </w:p>
        </w:tc>
      </w:tr>
      <w:tr>
        <w:tc>
          <w:tcPr>
            <w:tcW w:type="dxa" w:w="2400"/>
            <w:shd w:fill="2E2E38" w:color="auto" w:val="clear"/>
          </w:tcPr>
          <w:p>
            <w:pPr>
              <w:spacing w:after="80" w:before="80"/>
            </w:pPr>
            <w:r>
              <w:rPr>
                <w:rFonts w:ascii="Arial" w:cs="Arial" w:eastAsia="Arial" w:hAnsi="Arial"/>
                <w:b/>
                <w:bCs/>
                <w:color w:val="FFE600"/>
                <w:sz w:val="18"/>
                <w:szCs w:val="18"/>
              </w:rPr>
              <w:t xml:space="preserve">VERSION</w:t>
            </w:r>
          </w:p>
        </w:tc>
        <w:tc>
          <w:tcPr>
            <w:tcW w:type="dxa" w:w="3600"/>
            <w:shd w:fill="FFFFFF" w:color="auto" w:val="clear"/>
          </w:tcPr>
          <w:p>
            <w:pPr>
              <w:spacing w:after="80" w:before="80"/>
            </w:pPr>
            <w:r>
              <w:rPr>
                <w:rFonts w:ascii="Arial" w:cs="Arial" w:eastAsia="Arial" w:hAnsi="Arial"/>
                <w:b w:val="false"/>
                <w:bCs w:val="false"/>
                <w:color w:val="0C1B2E"/>
                <w:sz w:val="18"/>
                <w:szCs w:val="18"/>
              </w:rPr>
              <w:t xml:space="preserve">v1.0 — Juillet 2026</w:t>
            </w:r>
          </w:p>
        </w:tc>
      </w:tr>
      <w:tr>
        <w:tc>
          <w:tcPr>
            <w:tcW w:type="dxa" w:w="2400"/>
            <w:shd w:fill="2E2E38" w:color="auto" w:val="clear"/>
          </w:tcPr>
          <w:p>
            <w:pPr>
              <w:spacing w:after="80" w:before="80"/>
            </w:pPr>
            <w:r>
              <w:rPr>
                <w:rFonts w:ascii="Arial" w:cs="Arial" w:eastAsia="Arial" w:hAnsi="Arial"/>
                <w:b/>
                <w:bCs/>
                <w:color w:val="FFE600"/>
                <w:sz w:val="18"/>
                <w:szCs w:val="18"/>
              </w:rPr>
              <w:t xml:space="preserve">CLASSIFICATION</w:t>
            </w:r>
          </w:p>
        </w:tc>
        <w:tc>
          <w:tcPr>
            <w:tcW w:type="dxa" w:w="3600"/>
            <w:shd w:fill="FFFFFF" w:color="auto" w:val="clear"/>
          </w:tcPr>
          <w:p>
            <w:pPr>
              <w:spacing w:after="80" w:before="80"/>
            </w:pPr>
            <w:r>
              <w:rPr>
                <w:rFonts w:ascii="Arial" w:cs="Arial" w:eastAsia="Arial" w:hAnsi="Arial"/>
                <w:b w:val="false"/>
                <w:bCs w:val="false"/>
                <w:color w:val="0C1B2E"/>
                <w:sz w:val="18"/>
                <w:szCs w:val="18"/>
              </w:rPr>
              <w:t xml:space="preserve">Confidentiel EY</w:t>
            </w:r>
          </w:p>
        </w:tc>
      </w:tr>
    </w:tbl>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SECTION 1</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Résumé Exécutif</w:t>
      </w:r>
    </w:p>
    <w:p>
      <w:pPr>
        <w:spacing w:after="80" w:before="60"/>
      </w:pPr>
      <w:r>
        <w:rPr>
          <w:rFonts w:ascii="Arial" w:cs="Arial" w:eastAsia="Arial" w:hAnsi="Arial"/>
          <w:b/>
          <w:bCs/>
          <w:color w:val="0C1B2E"/>
          <w:sz w:val="20"/>
          <w:szCs w:val="20"/>
        </w:rPr>
        <w:t xml:space="preserve">FS Market Intelligence</w:t>
      </w:r>
      <w:r>
        <w:rPr>
          <w:rFonts w:ascii="Arial" w:cs="Arial" w:eastAsia="Arial" w:hAnsi="Arial"/>
          <w:color w:val="0C1B2E"/>
          <w:sz w:val="20"/>
          <w:szCs w:val="20"/>
        </w:rPr>
        <w:t xml:space="preserve"> est une plateforme web de veille et d'intelligence marché développée pour EY Tunisia dans le cadre d'un Projet de Fin d'Études. Elle agrège, extrait automatiquement, calcule et visualise les KPIs financiers des 24 compagnies d'assurance tunisiennes cotées au CMF (Conseil du Marché Financier), couvrant les années 2015 à 2024.</w:t>
      </w:r>
    </w:p>
    <w:p>
      <w:pPr>
        <w:spacing w:after="80" w:before="60"/>
      </w:pPr>
      <w:r>
        <w:rPr>
          <w:rFonts w:ascii="Arial" w:cs="Arial" w:eastAsia="Arial" w:hAnsi="Arial"/>
          <w:color w:val="0C1B2E"/>
          <w:sz w:val="20"/>
          <w:szCs w:val="20"/>
        </w:rPr>
        <w:t xml:space="preserve">Le projet répond à un besoin concret : les analystes EY devaient auparavant consulter manuellement des dizaines de rapports annuels PDF — parfois 200 à 400 pages chacun — pour extraire les indicateurs clés. La plateforme automatise intégralement ce processus, de la collecte jusqu'à la visualisation interactive, en y ajoutant un chatbot IA capable de répondre à des questions en langage naturel.</w:t>
      </w:r>
    </w:p>
    <w:p>
      <w:pPr>
        <w:pStyle w:val="Heading3"/>
        <w:spacing w:after="80" w:before="240"/>
      </w:pPr>
      <w:r>
        <w:rPr>
          <w:rFonts w:ascii="Arial" w:cs="Arial" w:eastAsia="Arial" w:hAnsi="Arial"/>
          <w:b/>
          <w:bCs/>
          <w:color w:val="2E2E38"/>
          <w:sz w:val="22"/>
          <w:szCs w:val="22"/>
        </w:rPr>
        <w:t xml:space="preserve">Périmètre fonctionnel</w:t>
      </w:r>
    </w:p>
    <w:p>
      <w:pPr>
        <w:pStyle w:val="ListParagraph"/>
        <w:numPr>
          <w:ilvl w:val="0"/>
          <w:numId w:val="2"/>
        </w:numPr>
        <w:spacing w:after="40" w:before="40"/>
        <w:ind w:left="360" w:hanging="360"/>
      </w:pPr>
      <w:r>
        <w:rPr>
          <w:rFonts w:ascii="Arial" w:cs="Arial" w:eastAsia="Arial" w:hAnsi="Arial"/>
          <w:b/>
          <w:bCs/>
          <w:color w:val="0C1B2E"/>
          <w:sz w:val="20"/>
          <w:szCs w:val="20"/>
        </w:rPr>
        <w:t xml:space="preserve">Aperçu marché :</w:t>
      </w:r>
      <w:r>
        <w:rPr>
          <w:rFonts w:ascii="Arial" w:cs="Arial" w:eastAsia="Arial" w:hAnsi="Arial"/>
          <w:color w:val="0C1B2E"/>
          <w:sz w:val="20"/>
          <w:szCs w:val="20"/>
        </w:rPr>
        <w:t xml:space="preserve"> taux de pénétration, densité, primes totales, comparaisons régionales</w:t>
      </w:r>
    </w:p>
    <w:p>
      <w:pPr>
        <w:pStyle w:val="ListParagraph"/>
        <w:numPr>
          <w:ilvl w:val="0"/>
          <w:numId w:val="2"/>
        </w:numPr>
        <w:spacing w:after="40" w:before="40"/>
        <w:ind w:left="360" w:hanging="360"/>
      </w:pPr>
      <w:r>
        <w:rPr>
          <w:rFonts w:ascii="Arial" w:cs="Arial" w:eastAsia="Arial" w:hAnsi="Arial"/>
          <w:b/>
          <w:bCs/>
          <w:color w:val="0C1B2E"/>
          <w:sz w:val="20"/>
          <w:szCs w:val="20"/>
        </w:rPr>
        <w:t xml:space="preserve">Analyse comparative :</w:t>
      </w:r>
      <w:r>
        <w:rPr>
          <w:rFonts w:ascii="Arial" w:cs="Arial" w:eastAsia="Arial" w:hAnsi="Arial"/>
          <w:color w:val="0C1B2E"/>
          <w:sz w:val="20"/>
          <w:szCs w:val="20"/>
        </w:rPr>
        <w:t xml:space="preserve"> tableau croisé compagnies × KPIs, filtres multi-critères, tri, export</w:t>
      </w:r>
    </w:p>
    <w:p>
      <w:pPr>
        <w:pStyle w:val="ListParagraph"/>
        <w:numPr>
          <w:ilvl w:val="0"/>
          <w:numId w:val="2"/>
        </w:numPr>
        <w:spacing w:after="40" w:before="40"/>
        <w:ind w:left="360" w:hanging="360"/>
      </w:pPr>
      <w:r>
        <w:rPr>
          <w:rFonts w:ascii="Arial" w:cs="Arial" w:eastAsia="Arial" w:hAnsi="Arial"/>
          <w:b/>
          <w:bCs/>
          <w:color w:val="0C1B2E"/>
          <w:sz w:val="20"/>
          <w:szCs w:val="20"/>
        </w:rPr>
        <w:t xml:space="preserve">Fiche compagnie :</w:t>
      </w:r>
      <w:r>
        <w:rPr>
          <w:rFonts w:ascii="Arial" w:cs="Arial" w:eastAsia="Arial" w:hAnsi="Arial"/>
          <w:color w:val="0C1B2E"/>
          <w:sz w:val="20"/>
          <w:szCs w:val="20"/>
        </w:rPr>
        <w:t xml:space="preserve"> KPIs financiers, bilan, résultats techniques, visualisation PDF source avec surlignage de la cellule</w:t>
      </w:r>
    </w:p>
    <w:p>
      <w:pPr>
        <w:pStyle w:val="ListParagraph"/>
        <w:numPr>
          <w:ilvl w:val="0"/>
          <w:numId w:val="2"/>
        </w:numPr>
        <w:spacing w:after="40" w:before="40"/>
        <w:ind w:left="360" w:hanging="360"/>
      </w:pPr>
      <w:r>
        <w:rPr>
          <w:rFonts w:ascii="Arial" w:cs="Arial" w:eastAsia="Arial" w:hAnsi="Arial"/>
          <w:b/>
          <w:bCs/>
          <w:color w:val="0C1B2E"/>
          <w:sz w:val="20"/>
          <w:szCs w:val="20"/>
        </w:rPr>
        <w:t xml:space="preserve">Enquête de marché :</w:t>
      </w:r>
      <w:r>
        <w:rPr>
          <w:rFonts w:ascii="Arial" w:cs="Arial" w:eastAsia="Arial" w:hAnsi="Arial"/>
          <w:color w:val="0C1B2E"/>
          <w:sz w:val="20"/>
          <w:szCs w:val="20"/>
        </w:rPr>
        <w:t xml:space="preserve"> carte interactive SVG Tunisie par gouvernorat, distribution des agences</w:t>
      </w:r>
    </w:p>
    <w:p>
      <w:pPr>
        <w:pStyle w:val="ListParagraph"/>
        <w:numPr>
          <w:ilvl w:val="0"/>
          <w:numId w:val="2"/>
        </w:numPr>
        <w:spacing w:after="40" w:before="40"/>
        <w:ind w:left="360" w:hanging="360"/>
      </w:pPr>
      <w:r>
        <w:rPr>
          <w:rFonts w:ascii="Arial" w:cs="Arial" w:eastAsia="Arial" w:hAnsi="Arial"/>
          <w:b/>
          <w:bCs/>
          <w:color w:val="0C1B2E"/>
          <w:sz w:val="20"/>
          <w:szCs w:val="20"/>
        </w:rPr>
        <w:t xml:space="preserve">Veille :</w:t>
      </w:r>
      <w:r>
        <w:rPr>
          <w:rFonts w:ascii="Arial" w:cs="Arial" w:eastAsia="Arial" w:hAnsi="Arial"/>
          <w:color w:val="0C1B2E"/>
          <w:sz w:val="20"/>
          <w:szCs w:val="20"/>
        </w:rPr>
        <w:t xml:space="preserve"> articles de presse (IlBoursa, Atlas-Mag), séminaires, circulaires CGA</w:t>
      </w:r>
    </w:p>
    <w:p>
      <w:pPr>
        <w:pStyle w:val="ListParagraph"/>
        <w:numPr>
          <w:ilvl w:val="0"/>
          <w:numId w:val="2"/>
        </w:numPr>
        <w:spacing w:after="40" w:before="40"/>
        <w:ind w:left="360" w:hanging="360"/>
      </w:pPr>
      <w:r>
        <w:rPr>
          <w:rFonts w:ascii="Arial" w:cs="Arial" w:eastAsia="Arial" w:hAnsi="Arial"/>
          <w:b/>
          <w:bCs/>
          <w:color w:val="0C1B2E"/>
          <w:sz w:val="20"/>
          <w:szCs w:val="20"/>
        </w:rPr>
        <w:t xml:space="preserve">Qualité des données :</w:t>
      </w:r>
      <w:r>
        <w:rPr>
          <w:rFonts w:ascii="Arial" w:cs="Arial" w:eastAsia="Arial" w:hAnsi="Arial"/>
          <w:color w:val="0C1B2E"/>
          <w:sz w:val="20"/>
          <w:szCs w:val="20"/>
        </w:rPr>
        <w:t xml:space="preserve"> audit pipeline 6 étapes, score qualité pondéré, anomalies classifiées, rapport PDF automatique</w:t>
      </w:r>
    </w:p>
    <w:p>
      <w:pPr>
        <w:pStyle w:val="ListParagraph"/>
        <w:numPr>
          <w:ilvl w:val="0"/>
          <w:numId w:val="2"/>
        </w:numPr>
        <w:spacing w:after="40" w:before="40"/>
        <w:ind w:left="360" w:hanging="360"/>
      </w:pPr>
      <w:r>
        <w:rPr>
          <w:rFonts w:ascii="Arial" w:cs="Arial" w:eastAsia="Arial" w:hAnsi="Arial"/>
          <w:b/>
          <w:bCs/>
          <w:color w:val="0C1B2E"/>
          <w:sz w:val="20"/>
          <w:szCs w:val="20"/>
        </w:rPr>
        <w:t xml:space="preserve">Chatbot IA :</w:t>
      </w:r>
      <w:r>
        <w:rPr>
          <w:rFonts w:ascii="Arial" w:cs="Arial" w:eastAsia="Arial" w:hAnsi="Arial"/>
          <w:color w:val="0C1B2E"/>
          <w:sz w:val="20"/>
          <w:szCs w:val="20"/>
        </w:rPr>
        <w:t xml:space="preserve"> questions en langage naturel sur toutes les données historiques 2015–2024 avec rendu adaptatif</w:t>
      </w:r>
    </w:p>
    <w:p>
      <w:pPr>
        <w:pStyle w:val="Heading3"/>
        <w:spacing w:after="80" w:before="240"/>
      </w:pPr>
      <w:r>
        <w:rPr>
          <w:rFonts w:ascii="Arial" w:cs="Arial" w:eastAsia="Arial" w:hAnsi="Arial"/>
          <w:b/>
          <w:bCs/>
          <w:color w:val="2E2E38"/>
          <w:sz w:val="22"/>
          <w:szCs w:val="22"/>
        </w:rPr>
        <w:t xml:space="preserve">Compagnies couvertes (24)</w:t>
      </w:r>
    </w:p>
    <w:p>
      <w:pPr>
        <w:spacing w:after="80" w:before="60"/>
      </w:pPr>
      <w:r>
        <w:rPr>
          <w:rFonts w:ascii="Arial" w:cs="Arial" w:eastAsia="Arial" w:hAnsi="Arial"/>
          <w:color w:val="0C1B2E"/>
          <w:sz w:val="20"/>
          <w:szCs w:val="20"/>
        </w:rPr>
        <w:t xml:space="preserve">STAR · COMAR · GAT · GAT VIE · AMI · MAGHREBIA · MAGHREBIA VIE · ASTREE · BH · CARTE · CARTE VIE · CTAMA · ATTIJARI · BNA · LLOYD TUNISIEN · LLOYD VIE · COTUNACE · UIB · HAYETT · TUNIS RE · ZITOUNA TAKAFUL · AT TAKAFULIA · AL AMANAH TAKAFUL · BIAT</w:t>
      </w:r>
    </w:p>
    <w:p>
      <w:pPr>
        <w:spacing w:after="0" w:before="120"/>
      </w:pPr>
      <w:r>
        <w:t xml:space="preserve"/>
      </w:r>
    </w:p>
    <w:p>
      <w:pPr>
        <w:pBdr>
          <w:left w:val="single" w:color="1A73E8" w:sz="12"/>
        </w:pBdr>
        <w:shd w:fill="F8F9FA" w:color="auto" w:val="clear"/>
        <w:spacing w:after="100" w:before="100"/>
        <w:ind w:left="200" w:right="200"/>
      </w:pPr>
      <w:r>
        <w:rPr>
          <w:rFonts w:ascii="Arial" w:cs="Arial" w:eastAsia="Arial" w:hAnsi="Arial"/>
          <w:b/>
          <w:bCs/>
          <w:color w:val="1A73E8"/>
          <w:sz w:val="20"/>
          <w:szCs w:val="20"/>
        </w:rPr>
        <w:t xml:space="preserve">ℹ  </w:t>
      </w:r>
      <w:r>
        <w:rPr>
          <w:rFonts w:ascii="Arial" w:cs="Arial" w:eastAsia="Arial" w:hAnsi="Arial"/>
          <w:color w:val="0C1B2E"/>
          <w:sz w:val="20"/>
          <w:szCs w:val="20"/>
        </w:rPr>
        <w:t xml:space="preserve">Ce document constitue la référence technique complète du projet et peut servir de base pour la présentation PFE devant un jury.</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SECTION 2</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Architecture Globale</w:t>
      </w:r>
    </w:p>
    <w:p>
      <w:pPr>
        <w:spacing w:after="80" w:before="60"/>
      </w:pPr>
      <w:r>
        <w:rPr>
          <w:rFonts w:ascii="Arial" w:cs="Arial" w:eastAsia="Arial" w:hAnsi="Arial"/>
          <w:color w:val="0C1B2E"/>
          <w:sz w:val="20"/>
          <w:szCs w:val="20"/>
        </w:rPr>
        <w:t xml:space="preserve">La plateforme est organisée en couches distinctes et découplées, communicant par API REST. Chaque composant peut être développé, testé et déployé indépendamment.</w:t>
      </w:r>
    </w:p>
    <w:p>
      <w:pPr>
        <w:pStyle w:val="Heading3"/>
        <w:spacing w:after="80" w:before="240"/>
      </w:pPr>
      <w:r>
        <w:rPr>
          <w:rFonts w:ascii="Arial" w:cs="Arial" w:eastAsia="Arial" w:hAnsi="Arial"/>
          <w:b/>
          <w:bCs/>
          <w:color w:val="2E2E38"/>
          <w:sz w:val="22"/>
          <w:szCs w:val="22"/>
        </w:rPr>
        <w:t xml:space="preserve">Schéma d'architecture</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SOURCES EXTERNES</w:t>
        <w:br/>
        <w:t xml:space="preserve">  CMF (portail)   FTUSA   INS   BVMT   CGA   Presse</w:t>
        <w:br/>
        <w:t xml:space="preserve">        │              │       │      │      │</w:t>
        <w:br/>
        <w:t xml:space="preserve">        └──────────────┴───────┴──────┴──────┘</w:t>
        <w:br/>
        <w:t xml:space="preserve">                            │</w:t>
        <w:br/>
        <w:t xml:space="preserve">                   SCRAPERS PYTHON  (scraping/)</w:t>
        <w:br/>
        <w:t xml:space="preserve">                            │</w:t>
        <w:br/>
        <w:t xml:space="preserve">          PDFs → data/cmf/{CODE}/{CODE}_{ANNEE}.pdf</w:t>
        <w:br/>
        <w:t xml:space="preserve">          Métadonnées → MySQL → SQLite (market_intel.db)</w:t>
        <w:br/>
        <w:t xml:space="preserve">                            │</w:t>
        <w:br/>
        <w:t xml:space="preserve">             PIPELINE D'EXTRACTION PDF  (extraction/)</w:t>
        <w:br/>
        <w:t xml:space="preserve">          pdf_sections.py  ▶  annexe12/13_kpi_extractor.py</w:t>
        <w:br/>
        <w:t xml:space="preserve">          bilan_kpi_extractor.py  ▶  calculated_kpi_extractor.py</w:t>
        <w:br/>
        <w:t xml:space="preserve">                            │</w:t>
        <w:br/>
        <w:t xml:space="preserve">               market_intel.db  (SQLite — API)</w:t>
        <w:br/>
        <w:t xml:space="preserve">                     ┌──────┤</w:t>
        <w:br/>
        <w:t xml:space="preserve">              Flask :8002  Flask :5001 + Groq LLM</w:t>
        <w:br/>
        <w:t xml:space="preserve">              (api/app.py) (chatbot_portable/app.py)</w:t>
        <w:br/>
        <w:t xml:space="preserve">                     └──────┤</w:t>
        <w:br/>
        <w:t xml:space="preserve">               FRONTEND REACT + VITE  :5173</w:t>
        <w:br/>
        <w:t xml:space="preserve">         10 pages · EY Design · Chatbot FAB · PDF Viewer</w:t>
      </w:r>
    </w:p>
    <w:p>
      <w:pPr>
        <w:pStyle w:val="Heading3"/>
        <w:spacing w:after="80" w:before="240"/>
      </w:pPr>
      <w:r>
        <w:rPr>
          <w:rFonts w:ascii="Arial" w:cs="Arial" w:eastAsia="Arial" w:hAnsi="Arial"/>
          <w:b/>
          <w:bCs/>
          <w:color w:val="2E2E38"/>
          <w:sz w:val="22"/>
          <w:szCs w:val="22"/>
        </w:rPr>
        <w:t xml:space="preserve">Choix technologiques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600"/>
        <w:gridCol w:w="4360"/>
      </w:tblGrid>
      <w:tr>
        <w:trPr>
          <w:tblHeader/>
        </w:trPr>
        <w:tc>
          <w:tcPr>
            <w:tcW w:type="dxa" w:w="2200"/>
            <w:shd w:fill="2E2E38" w:color="auto" w:val="clear"/>
          </w:tcPr>
          <w:p>
            <w:pPr>
              <w:jc w:val="left"/>
            </w:pPr>
            <w:r>
              <w:rPr>
                <w:rFonts w:ascii="Arial" w:cs="Arial" w:eastAsia="Arial" w:hAnsi="Arial"/>
                <w:b/>
                <w:bCs/>
                <w:color w:val="FFE600"/>
                <w:spacing w:val="20"/>
                <w:sz w:val="17"/>
                <w:szCs w:val="17"/>
              </w:rPr>
              <w:t xml:space="preserve">COUCHE</w:t>
            </w:r>
          </w:p>
        </w:tc>
        <w:tc>
          <w:tcPr>
            <w:tcW w:type="dxa" w:w="2200"/>
            <w:shd w:fill="2E2E38" w:color="auto" w:val="clear"/>
          </w:tcPr>
          <w:p>
            <w:pPr>
              <w:jc w:val="left"/>
            </w:pPr>
            <w:r>
              <w:rPr>
                <w:rFonts w:ascii="Arial" w:cs="Arial" w:eastAsia="Arial" w:hAnsi="Arial"/>
                <w:b/>
                <w:bCs/>
                <w:color w:val="FFE600"/>
                <w:spacing w:val="20"/>
                <w:sz w:val="17"/>
                <w:szCs w:val="17"/>
              </w:rPr>
              <w:t xml:space="preserve">TECHNOLOGIE</w:t>
            </w:r>
          </w:p>
        </w:tc>
        <w:tc>
          <w:tcPr>
            <w:tcW w:type="dxa" w:w="600"/>
            <w:shd w:fill="2E2E38" w:color="auto" w:val="clear"/>
          </w:tcPr>
          <w:p>
            <w:pPr>
              <w:jc w:val="left"/>
            </w:pPr>
            <w:r>
              <w:rPr>
                <w:rFonts w:ascii="Arial" w:cs="Arial" w:eastAsia="Arial" w:hAnsi="Arial"/>
                <w:b/>
                <w:bCs/>
                <w:color w:val="FFE600"/>
                <w:spacing w:val="20"/>
                <w:sz w:val="17"/>
                <w:szCs w:val="17"/>
              </w:rPr>
              <w:t xml:space="preserve">PORT</w:t>
            </w:r>
          </w:p>
        </w:tc>
        <w:tc>
          <w:tcPr>
            <w:tcW w:type="dxa" w:w="4360"/>
            <w:shd w:fill="2E2E38" w:color="auto" w:val="clear"/>
          </w:tcPr>
          <w:p>
            <w:pPr>
              <w:jc w:val="left"/>
            </w:pPr>
            <w:r>
              <w:rPr>
                <w:rFonts w:ascii="Arial" w:cs="Arial" w:eastAsia="Arial" w:hAnsi="Arial"/>
                <w:b/>
                <w:bCs/>
                <w:color w:val="FFE600"/>
                <w:spacing w:val="20"/>
                <w:sz w:val="17"/>
                <w:szCs w:val="17"/>
              </w:rPr>
              <w:t xml:space="preserve">JUSTIFICATION</w:t>
            </w:r>
          </w:p>
        </w:tc>
      </w:tr>
      <w:tr>
        <w:tc>
          <w:tcPr>
            <w:tcW w:type="dxa" w:w="2200"/>
            <w:shd w:fill="FFFFFF" w:color="auto" w:val="clear"/>
          </w:tcPr>
          <w:p>
            <w:pPr>
              <w:spacing w:after="60" w:before="60"/>
            </w:pPr>
            <w:r>
              <w:rPr>
                <w:rFonts w:ascii="Arial" w:cs="Arial" w:eastAsia="Arial" w:hAnsi="Arial"/>
                <w:color w:val="0C1B2E"/>
                <w:sz w:val="18"/>
                <w:szCs w:val="18"/>
              </w:rPr>
              <w:t xml:space="preserve">Scraping web</w:t>
            </w:r>
          </w:p>
        </w:tc>
        <w:tc>
          <w:tcPr>
            <w:tcW w:type="dxa" w:w="2200"/>
            <w:shd w:fill="FFFFFF" w:color="auto" w:val="clear"/>
          </w:tcPr>
          <w:p>
            <w:pPr>
              <w:spacing w:after="60" w:before="60"/>
            </w:pPr>
            <w:r>
              <w:rPr>
                <w:rFonts w:ascii="Arial" w:cs="Arial" w:eastAsia="Arial" w:hAnsi="Arial"/>
                <w:color w:val="0C1B2E"/>
                <w:sz w:val="18"/>
                <w:szCs w:val="18"/>
              </w:rPr>
              <w:t xml:space="preserve">Python · Selenium · Requests · BeautifulSoup</w:t>
            </w:r>
          </w:p>
        </w:tc>
        <w:tc>
          <w:tcPr>
            <w:tcW w:type="dxa" w:w="600"/>
            <w:shd w:fill="FFFFFF" w:color="auto" w:val="clear"/>
          </w:tcPr>
          <w:p>
            <w:pPr>
              <w:spacing w:after="60" w:before="60"/>
            </w:pPr>
            <w:r>
              <w:rPr>
                <w:rFonts w:ascii="Arial" w:cs="Arial" w:eastAsia="Arial" w:hAnsi="Arial"/>
                <w:color w:val="0C1B2E"/>
                <w:sz w:val="18"/>
                <w:szCs w:val="18"/>
              </w:rPr>
              <w:t xml:space="preserve">—</w:t>
            </w:r>
          </w:p>
        </w:tc>
        <w:tc>
          <w:tcPr>
            <w:tcW w:type="dxa" w:w="4360"/>
            <w:shd w:fill="FFFFFF" w:color="auto" w:val="clear"/>
          </w:tcPr>
          <w:p>
            <w:pPr>
              <w:spacing w:after="60" w:before="60"/>
            </w:pPr>
            <w:r>
              <w:rPr>
                <w:rFonts w:ascii="Arial" w:cs="Arial" w:eastAsia="Arial" w:hAnsi="Arial"/>
                <w:color w:val="0C1B2E"/>
                <w:sz w:val="18"/>
                <w:szCs w:val="18"/>
              </w:rPr>
              <w:t xml:space="preserve">CMF utilise un widget JS dynamique (Chosen) nécessitant un navigateur. Sources statiques : Requests+BS4 (10× plus rapide).</w:t>
            </w:r>
          </w:p>
        </w:tc>
      </w:tr>
      <w:tr>
        <w:tc>
          <w:tcPr>
            <w:tcW w:type="dxa" w:w="2200"/>
            <w:shd w:fill="F8F9FA" w:color="auto" w:val="clear"/>
          </w:tcPr>
          <w:p>
            <w:pPr>
              <w:spacing w:after="60" w:before="60"/>
            </w:pPr>
            <w:r>
              <w:rPr>
                <w:rFonts w:ascii="Arial" w:cs="Arial" w:eastAsia="Arial" w:hAnsi="Arial"/>
                <w:color w:val="0C1B2E"/>
                <w:sz w:val="18"/>
                <w:szCs w:val="18"/>
              </w:rPr>
              <w:t xml:space="preserve">Extraction PDF</w:t>
            </w:r>
          </w:p>
        </w:tc>
        <w:tc>
          <w:tcPr>
            <w:tcW w:type="dxa" w:w="2200"/>
            <w:shd w:fill="F8F9FA" w:color="auto" w:val="clear"/>
          </w:tcPr>
          <w:p>
            <w:pPr>
              <w:spacing w:after="60" w:before="60"/>
            </w:pPr>
            <w:r>
              <w:rPr>
                <w:rFonts w:ascii="Arial" w:cs="Arial" w:eastAsia="Arial" w:hAnsi="Arial"/>
                <w:color w:val="0C1B2E"/>
                <w:sz w:val="18"/>
                <w:szCs w:val="18"/>
              </w:rPr>
              <w:t xml:space="preserve">pdfplumber · unicodedata · re</w:t>
            </w:r>
          </w:p>
        </w:tc>
        <w:tc>
          <w:tcPr>
            <w:tcW w:type="dxa" w:w="600"/>
            <w:shd w:fill="F8F9FA" w:color="auto" w:val="clear"/>
          </w:tcPr>
          <w:p>
            <w:pPr>
              <w:spacing w:after="60" w:before="60"/>
            </w:pPr>
            <w:r>
              <w:rPr>
                <w:rFonts w:ascii="Arial" w:cs="Arial" w:eastAsia="Arial" w:hAnsi="Arial"/>
                <w:color w:val="0C1B2E"/>
                <w:sz w:val="18"/>
                <w:szCs w:val="18"/>
              </w:rPr>
              <w:t xml:space="preserve">—</w:t>
            </w:r>
          </w:p>
        </w:tc>
        <w:tc>
          <w:tcPr>
            <w:tcW w:type="dxa" w:w="4360"/>
            <w:shd w:fill="F8F9FA" w:color="auto" w:val="clear"/>
          </w:tcPr>
          <w:p>
            <w:pPr>
              <w:spacing w:after="60" w:before="60"/>
            </w:pPr>
            <w:r>
              <w:rPr>
                <w:rFonts w:ascii="Arial" w:cs="Arial" w:eastAsia="Arial" w:hAnsi="Arial"/>
                <w:color w:val="0C1B2E"/>
                <w:sz w:val="18"/>
                <w:szCs w:val="18"/>
              </w:rPr>
              <w:t xml:space="preserve">Meilleure gestion des tableaux PDF que PyPDF2. extract_words() avec coordonnées précises (x0,y0,x1,y1) pour les tableaux fusionnés.</w:t>
            </w:r>
          </w:p>
        </w:tc>
      </w:tr>
      <w:tr>
        <w:tc>
          <w:tcPr>
            <w:tcW w:type="dxa" w:w="2200"/>
            <w:shd w:fill="FFFFFF" w:color="auto" w:val="clear"/>
          </w:tcPr>
          <w:p>
            <w:pPr>
              <w:spacing w:after="60" w:before="60"/>
            </w:pPr>
            <w:r>
              <w:rPr>
                <w:rFonts w:ascii="Arial" w:cs="Arial" w:eastAsia="Arial" w:hAnsi="Arial"/>
                <w:color w:val="0C1B2E"/>
                <w:sz w:val="18"/>
                <w:szCs w:val="18"/>
              </w:rPr>
              <w:t xml:space="preserve">Base pipeline</w:t>
            </w:r>
          </w:p>
        </w:tc>
        <w:tc>
          <w:tcPr>
            <w:tcW w:type="dxa" w:w="2200"/>
            <w:shd w:fill="FFFFFF" w:color="auto" w:val="clear"/>
          </w:tcPr>
          <w:p>
            <w:pPr>
              <w:spacing w:after="60" w:before="60"/>
            </w:pPr>
            <w:r>
              <w:rPr>
                <w:rFonts w:ascii="Arial" w:cs="Arial" w:eastAsia="Arial" w:hAnsi="Arial"/>
                <w:color w:val="0C1B2E"/>
                <w:sz w:val="18"/>
                <w:szCs w:val="18"/>
              </w:rPr>
              <w:t xml:space="preserve">MySQL (pymysql)</w:t>
            </w:r>
          </w:p>
        </w:tc>
        <w:tc>
          <w:tcPr>
            <w:tcW w:type="dxa" w:w="600"/>
            <w:shd w:fill="FFFFFF" w:color="auto" w:val="clear"/>
          </w:tcPr>
          <w:p>
            <w:pPr>
              <w:spacing w:after="60" w:before="60"/>
            </w:pPr>
            <w:r>
              <w:rPr>
                <w:rFonts w:ascii="Arial" w:cs="Arial" w:eastAsia="Arial" w:hAnsi="Arial"/>
                <w:color w:val="0C1B2E"/>
                <w:sz w:val="18"/>
                <w:szCs w:val="18"/>
              </w:rPr>
              <w:t xml:space="preserve">3306</w:t>
            </w:r>
          </w:p>
        </w:tc>
        <w:tc>
          <w:tcPr>
            <w:tcW w:type="dxa" w:w="4360"/>
            <w:shd w:fill="FFFFFF" w:color="auto" w:val="clear"/>
          </w:tcPr>
          <w:p>
            <w:pPr>
              <w:spacing w:after="60" w:before="60"/>
            </w:pPr>
            <w:r>
              <w:rPr>
                <w:rFonts w:ascii="Arial" w:cs="Arial" w:eastAsia="Arial" w:hAnsi="Arial"/>
                <w:color w:val="0C1B2E"/>
                <w:sz w:val="18"/>
                <w:szCs w:val="18"/>
              </w:rPr>
              <w:t xml:space="preserve">Robustesse des contraintes d'intégrité pour le pipeline multi-compagnies. Transactions ACID.</w:t>
            </w:r>
          </w:p>
        </w:tc>
      </w:tr>
      <w:tr>
        <w:tc>
          <w:tcPr>
            <w:tcW w:type="dxa" w:w="2200"/>
            <w:shd w:fill="F8F9FA" w:color="auto" w:val="clear"/>
          </w:tcPr>
          <w:p>
            <w:pPr>
              <w:spacing w:after="60" w:before="60"/>
            </w:pPr>
            <w:r>
              <w:rPr>
                <w:rFonts w:ascii="Arial" w:cs="Arial" w:eastAsia="Arial" w:hAnsi="Arial"/>
                <w:color w:val="0C1B2E"/>
                <w:sz w:val="18"/>
                <w:szCs w:val="18"/>
              </w:rPr>
              <w:t xml:space="preserve">Base API</w:t>
            </w:r>
          </w:p>
        </w:tc>
        <w:tc>
          <w:tcPr>
            <w:tcW w:type="dxa" w:w="2200"/>
            <w:shd w:fill="F8F9FA" w:color="auto" w:val="clear"/>
          </w:tcPr>
          <w:p>
            <w:pPr>
              <w:spacing w:after="60" w:before="60"/>
            </w:pPr>
            <w:r>
              <w:rPr>
                <w:rFonts w:ascii="Arial" w:cs="Arial" w:eastAsia="Arial" w:hAnsi="Arial"/>
                <w:color w:val="0C1B2E"/>
                <w:sz w:val="18"/>
                <w:szCs w:val="18"/>
              </w:rPr>
              <w:t xml:space="preserve">SQLite (sqlite3)</w:t>
            </w:r>
          </w:p>
        </w:tc>
        <w:tc>
          <w:tcPr>
            <w:tcW w:type="dxa" w:w="600"/>
            <w:shd w:fill="F8F9FA" w:color="auto" w:val="clear"/>
          </w:tcPr>
          <w:p>
            <w:pPr>
              <w:spacing w:after="60" w:before="60"/>
            </w:pPr>
            <w:r>
              <w:rPr>
                <w:rFonts w:ascii="Arial" w:cs="Arial" w:eastAsia="Arial" w:hAnsi="Arial"/>
                <w:color w:val="0C1B2E"/>
                <w:sz w:val="18"/>
                <w:szCs w:val="18"/>
              </w:rPr>
              <w:t xml:space="preserve">—</w:t>
            </w:r>
          </w:p>
        </w:tc>
        <w:tc>
          <w:tcPr>
            <w:tcW w:type="dxa" w:w="4360"/>
            <w:shd w:fill="F8F9FA" w:color="auto" w:val="clear"/>
          </w:tcPr>
          <w:p>
            <w:pPr>
              <w:spacing w:after="60" w:before="60"/>
            </w:pPr>
            <w:r>
              <w:rPr>
                <w:rFonts w:ascii="Arial" w:cs="Arial" w:eastAsia="Arial" w:hAnsi="Arial"/>
                <w:color w:val="0C1B2E"/>
                <w:sz w:val="18"/>
                <w:szCs w:val="18"/>
              </w:rPr>
              <w:t xml:space="preserve">Portabilité totale (fichier unique). Zéro dépendance serveur. Performances suffisantes pour 24×10 ans×20 KPIs.</w:t>
            </w:r>
          </w:p>
        </w:tc>
      </w:tr>
      <w:tr>
        <w:tc>
          <w:tcPr>
            <w:tcW w:type="dxa" w:w="2200"/>
            <w:shd w:fill="FFFFFF" w:color="auto" w:val="clear"/>
          </w:tcPr>
          <w:p>
            <w:pPr>
              <w:spacing w:after="60" w:before="60"/>
            </w:pPr>
            <w:r>
              <w:rPr>
                <w:rFonts w:ascii="Arial" w:cs="Arial" w:eastAsia="Arial" w:hAnsi="Arial"/>
                <w:color w:val="0C1B2E"/>
                <w:sz w:val="18"/>
                <w:szCs w:val="18"/>
              </w:rPr>
              <w:t xml:space="preserve">Backend API</w:t>
            </w:r>
          </w:p>
        </w:tc>
        <w:tc>
          <w:tcPr>
            <w:tcW w:type="dxa" w:w="2200"/>
            <w:shd w:fill="FFFFFF" w:color="auto" w:val="clear"/>
          </w:tcPr>
          <w:p>
            <w:pPr>
              <w:spacing w:after="60" w:before="60"/>
            </w:pPr>
            <w:r>
              <w:rPr>
                <w:rFonts w:ascii="Arial" w:cs="Arial" w:eastAsia="Arial" w:hAnsi="Arial"/>
                <w:color w:val="0C1B2E"/>
                <w:sz w:val="18"/>
                <w:szCs w:val="18"/>
              </w:rPr>
              <w:t xml:space="preserve">Flask 3 · Flask-CORS</w:t>
            </w:r>
          </w:p>
        </w:tc>
        <w:tc>
          <w:tcPr>
            <w:tcW w:type="dxa" w:w="600"/>
            <w:shd w:fill="FFFFFF" w:color="auto" w:val="clear"/>
          </w:tcPr>
          <w:p>
            <w:pPr>
              <w:spacing w:after="60" w:before="60"/>
            </w:pPr>
            <w:r>
              <w:rPr>
                <w:rFonts w:ascii="Arial" w:cs="Arial" w:eastAsia="Arial" w:hAnsi="Arial"/>
                <w:color w:val="0C1B2E"/>
                <w:sz w:val="18"/>
                <w:szCs w:val="18"/>
              </w:rPr>
              <w:t xml:space="preserve">8002</w:t>
            </w:r>
          </w:p>
        </w:tc>
        <w:tc>
          <w:tcPr>
            <w:tcW w:type="dxa" w:w="4360"/>
            <w:shd w:fill="FFFFFF" w:color="auto" w:val="clear"/>
          </w:tcPr>
          <w:p>
            <w:pPr>
              <w:spacing w:after="60" w:before="60"/>
            </w:pPr>
            <w:r>
              <w:rPr>
                <w:rFonts w:ascii="Arial" w:cs="Arial" w:eastAsia="Arial" w:hAnsi="Arial"/>
                <w:color w:val="0C1B2E"/>
                <w:sz w:val="18"/>
                <w:szCs w:val="18"/>
              </w:rPr>
              <w:t xml:space="preserve">Légèreté et lisibilité pour des routes CRUD classiques. FastAPI non justifié sans besoin d'async ou de validation forte.</w:t>
            </w:r>
          </w:p>
        </w:tc>
      </w:tr>
      <w:tr>
        <w:tc>
          <w:tcPr>
            <w:tcW w:type="dxa" w:w="2200"/>
            <w:shd w:fill="F8F9FA" w:color="auto" w:val="clear"/>
          </w:tcPr>
          <w:p>
            <w:pPr>
              <w:spacing w:after="60" w:before="60"/>
            </w:pPr>
            <w:r>
              <w:rPr>
                <w:rFonts w:ascii="Arial" w:cs="Arial" w:eastAsia="Arial" w:hAnsi="Arial"/>
                <w:color w:val="0C1B2E"/>
                <w:sz w:val="18"/>
                <w:szCs w:val="18"/>
              </w:rPr>
              <w:t xml:space="preserve">Frontend</w:t>
            </w:r>
          </w:p>
        </w:tc>
        <w:tc>
          <w:tcPr>
            <w:tcW w:type="dxa" w:w="2200"/>
            <w:shd w:fill="F8F9FA" w:color="auto" w:val="clear"/>
          </w:tcPr>
          <w:p>
            <w:pPr>
              <w:spacing w:after="60" w:before="60"/>
            </w:pPr>
            <w:r>
              <w:rPr>
                <w:rFonts w:ascii="Arial" w:cs="Arial" w:eastAsia="Arial" w:hAnsi="Arial"/>
                <w:color w:val="0C1B2E"/>
                <w:sz w:val="18"/>
                <w:szCs w:val="18"/>
              </w:rPr>
              <w:t xml:space="preserve">React 18 · Vite · React Router v6</w:t>
            </w:r>
          </w:p>
        </w:tc>
        <w:tc>
          <w:tcPr>
            <w:tcW w:type="dxa" w:w="600"/>
            <w:shd w:fill="F8F9FA" w:color="auto" w:val="clear"/>
          </w:tcPr>
          <w:p>
            <w:pPr>
              <w:spacing w:after="60" w:before="60"/>
            </w:pPr>
            <w:r>
              <w:rPr>
                <w:rFonts w:ascii="Arial" w:cs="Arial" w:eastAsia="Arial" w:hAnsi="Arial"/>
                <w:color w:val="0C1B2E"/>
                <w:sz w:val="18"/>
                <w:szCs w:val="18"/>
              </w:rPr>
              <w:t xml:space="preserve">5173</w:t>
            </w:r>
          </w:p>
        </w:tc>
        <w:tc>
          <w:tcPr>
            <w:tcW w:type="dxa" w:w="4360"/>
            <w:shd w:fill="F8F9FA" w:color="auto" w:val="clear"/>
          </w:tcPr>
          <w:p>
            <w:pPr>
              <w:spacing w:after="60" w:before="60"/>
            </w:pPr>
            <w:r>
              <w:rPr>
                <w:rFonts w:ascii="Arial" w:cs="Arial" w:eastAsia="Arial" w:hAnsi="Arial"/>
                <w:color w:val="0C1B2E"/>
                <w:sz w:val="18"/>
                <w:szCs w:val="18"/>
              </w:rPr>
              <w:t xml:space="preserve">Vite = HMR instantané (&lt;200ms), bundling Rollup optimisé. Graphiques en SVG React inline (pas de lib externe).</w:t>
            </w:r>
          </w:p>
        </w:tc>
      </w:tr>
      <w:tr>
        <w:tc>
          <w:tcPr>
            <w:tcW w:type="dxa" w:w="2200"/>
            <w:shd w:fill="FFFFFF" w:color="auto" w:val="clear"/>
          </w:tcPr>
          <w:p>
            <w:pPr>
              <w:spacing w:after="60" w:before="60"/>
            </w:pPr>
            <w:r>
              <w:rPr>
                <w:rFonts w:ascii="Arial" w:cs="Arial" w:eastAsia="Arial" w:hAnsi="Arial"/>
                <w:color w:val="0C1B2E"/>
                <w:sz w:val="18"/>
                <w:szCs w:val="18"/>
              </w:rPr>
              <w:t xml:space="preserve">Chatbot LLM</w:t>
            </w:r>
          </w:p>
        </w:tc>
        <w:tc>
          <w:tcPr>
            <w:tcW w:type="dxa" w:w="2200"/>
            <w:shd w:fill="FFFFFF" w:color="auto" w:val="clear"/>
          </w:tcPr>
          <w:p>
            <w:pPr>
              <w:spacing w:after="60" w:before="60"/>
            </w:pPr>
            <w:r>
              <w:rPr>
                <w:rFonts w:ascii="Arial" w:cs="Arial" w:eastAsia="Arial" w:hAnsi="Arial"/>
                <w:color w:val="0C1B2E"/>
                <w:sz w:val="18"/>
                <w:szCs w:val="18"/>
              </w:rPr>
              <w:t xml:space="preserve">Flask · Groq · Llama 3.3 70B · rapidfuzz</w:t>
            </w:r>
          </w:p>
        </w:tc>
        <w:tc>
          <w:tcPr>
            <w:tcW w:type="dxa" w:w="600"/>
            <w:shd w:fill="FFFFFF" w:color="auto" w:val="clear"/>
          </w:tcPr>
          <w:p>
            <w:pPr>
              <w:spacing w:after="60" w:before="60"/>
            </w:pPr>
            <w:r>
              <w:rPr>
                <w:rFonts w:ascii="Arial" w:cs="Arial" w:eastAsia="Arial" w:hAnsi="Arial"/>
                <w:color w:val="0C1B2E"/>
                <w:sz w:val="18"/>
                <w:szCs w:val="18"/>
              </w:rPr>
              <w:t xml:space="preserve">5001</w:t>
            </w:r>
          </w:p>
        </w:tc>
        <w:tc>
          <w:tcPr>
            <w:tcW w:type="dxa" w:w="4360"/>
            <w:shd w:fill="FFFFFF" w:color="auto" w:val="clear"/>
          </w:tcPr>
          <w:p>
            <w:pPr>
              <w:spacing w:after="60" w:before="60"/>
            </w:pPr>
            <w:r>
              <w:rPr>
                <w:rFonts w:ascii="Arial" w:cs="Arial" w:eastAsia="Arial" w:hAnsi="Arial"/>
                <w:color w:val="0C1B2E"/>
                <w:sz w:val="18"/>
                <w:szCs w:val="18"/>
              </w:rPr>
              <w:t xml:space="preserve">Groq : inférence ~500ms (vs 3–5s OpenAI). Llama 70B suffisant pour reformuler des données structurées. API gratuite adaptée au PFE.</w:t>
            </w:r>
          </w:p>
        </w:tc>
      </w:tr>
      <w:tr>
        <w:tc>
          <w:tcPr>
            <w:tcW w:type="dxa" w:w="2200"/>
            <w:shd w:fill="F8F9FA" w:color="auto" w:val="clear"/>
          </w:tcPr>
          <w:p>
            <w:pPr>
              <w:spacing w:after="60" w:before="60"/>
            </w:pPr>
            <w:r>
              <w:rPr>
                <w:rFonts w:ascii="Arial" w:cs="Arial" w:eastAsia="Arial" w:hAnsi="Arial"/>
                <w:color w:val="0C1B2E"/>
                <w:sz w:val="18"/>
                <w:szCs w:val="18"/>
              </w:rPr>
              <w:t xml:space="preserve">Prévisions</w:t>
            </w:r>
          </w:p>
        </w:tc>
        <w:tc>
          <w:tcPr>
            <w:tcW w:type="dxa" w:w="2200"/>
            <w:shd w:fill="F8F9FA" w:color="auto" w:val="clear"/>
          </w:tcPr>
          <w:p>
            <w:pPr>
              <w:spacing w:after="60" w:before="60"/>
            </w:pPr>
            <w:r>
              <w:rPr>
                <w:rFonts w:ascii="Arial" w:cs="Arial" w:eastAsia="Arial" w:hAnsi="Arial"/>
                <w:color w:val="0C1B2E"/>
                <w:sz w:val="18"/>
                <w:szCs w:val="18"/>
              </w:rPr>
              <w:t xml:space="preserve">Prophet · XGBoost · SHAP</w:t>
            </w:r>
          </w:p>
        </w:tc>
        <w:tc>
          <w:tcPr>
            <w:tcW w:type="dxa" w:w="600"/>
            <w:shd w:fill="F8F9FA" w:color="auto" w:val="clear"/>
          </w:tcPr>
          <w:p>
            <w:pPr>
              <w:spacing w:after="60" w:before="60"/>
            </w:pPr>
            <w:r>
              <w:rPr>
                <w:rFonts w:ascii="Arial" w:cs="Arial" w:eastAsia="Arial" w:hAnsi="Arial"/>
                <w:color w:val="0C1B2E"/>
                <w:sz w:val="18"/>
                <w:szCs w:val="18"/>
              </w:rPr>
              <w:t xml:space="preserve">—</w:t>
            </w:r>
          </w:p>
        </w:tc>
        <w:tc>
          <w:tcPr>
            <w:tcW w:type="dxa" w:w="4360"/>
            <w:shd w:fill="F8F9FA" w:color="auto" w:val="clear"/>
          </w:tcPr>
          <w:p>
            <w:pPr>
              <w:spacing w:after="60" w:before="60"/>
            </w:pPr>
            <w:r>
              <w:rPr>
                <w:rFonts w:ascii="Arial" w:cs="Arial" w:eastAsia="Arial" w:hAnsi="Arial"/>
                <w:color w:val="0C1B2E"/>
                <w:sz w:val="18"/>
                <w:szCs w:val="18"/>
              </w:rPr>
              <w:t xml:space="preserve">Prophet pour séries temporelles avec saisonnalité. XGBoost pour patterns non-linéaires. SHAP pour l'explicabilité métier.</w:t>
            </w:r>
          </w:p>
        </w:tc>
      </w:tr>
    </w:tbl>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SECTION 3</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shd w:fill="2E2E38" w:color="auto" w:val="clear"/>
          </w:tcPr>
          <w:p>
            <w:pPr>
              <w:jc w:val="left"/>
            </w:pPr>
            <w:r>
              <w:rPr>
                <w:rFonts w:ascii="Arial" w:cs="Arial" w:eastAsia="Arial" w:hAnsi="Arial"/>
                <w:b/>
                <w:bCs/>
                <w:color w:val="FFE600"/>
                <w:spacing w:val="20"/>
                <w:sz w:val="17"/>
                <w:szCs w:val="17"/>
              </w:rPr>
              <w:t xml:space="preserve">TERME</w:t>
            </w:r>
          </w:p>
        </w:tc>
        <w:tc>
          <w:tcPr>
            <w:tcW w:type="dxa" w:w="7360"/>
            <w:shd w:fill="2E2E38" w:color="auto" w:val="clear"/>
          </w:tcPr>
          <w:p>
            <w:pPr>
              <w:jc w:val="left"/>
            </w:pPr>
            <w:r>
              <w:rPr>
                <w:rFonts w:ascii="Arial" w:cs="Arial" w:eastAsia="Arial" w:hAnsi="Arial"/>
                <w:b/>
                <w:bCs/>
                <w:color w:val="FFE600"/>
                <w:spacing w:val="20"/>
                <w:sz w:val="17"/>
                <w:szCs w:val="17"/>
              </w:rPr>
              <w:t xml:space="preserve">DÉFINITION</w:t>
            </w:r>
          </w:p>
        </w:tc>
      </w:tr>
      <w:tr>
        <w:tc>
          <w:tcPr>
            <w:tcW w:type="dxa" w:w="2000"/>
            <w:shd w:fill="FFFFFF" w:color="auto" w:val="clear"/>
          </w:tcPr>
          <w:p>
            <w:pPr>
              <w:spacing w:after="60" w:before="60"/>
            </w:pPr>
            <w:r>
              <w:rPr>
                <w:rFonts w:ascii="Arial" w:cs="Arial" w:eastAsia="Arial" w:hAnsi="Arial"/>
                <w:color w:val="0C1B2E"/>
                <w:sz w:val="18"/>
                <w:szCs w:val="18"/>
              </w:rPr>
              <w:t xml:space="preserve">CMF</w:t>
            </w:r>
          </w:p>
        </w:tc>
        <w:tc>
          <w:tcPr>
            <w:tcW w:type="dxa" w:w="7360"/>
            <w:shd w:fill="FFFFFF" w:color="auto" w:val="clear"/>
          </w:tcPr>
          <w:p>
            <w:pPr>
              <w:spacing w:after="60" w:before="60"/>
            </w:pPr>
            <w:r>
              <w:rPr>
                <w:rFonts w:ascii="Arial" w:cs="Arial" w:eastAsia="Arial" w:hAnsi="Arial"/>
                <w:color w:val="0C1B2E"/>
                <w:sz w:val="18"/>
                <w:szCs w:val="18"/>
              </w:rPr>
              <w:t xml:space="preserve">Conseil du Marché Financier — régulateur tunisien des marchés financiers. Publie les rapports annuels des sociétés faisant appel public à l'épargne (assureurs, banques).</w:t>
            </w:r>
          </w:p>
        </w:tc>
      </w:tr>
      <w:tr>
        <w:tc>
          <w:tcPr>
            <w:tcW w:type="dxa" w:w="2000"/>
            <w:shd w:fill="F8F9FA" w:color="auto" w:val="clear"/>
          </w:tcPr>
          <w:p>
            <w:pPr>
              <w:spacing w:after="60" w:before="60"/>
            </w:pPr>
            <w:r>
              <w:rPr>
                <w:rFonts w:ascii="Arial" w:cs="Arial" w:eastAsia="Arial" w:hAnsi="Arial"/>
                <w:color w:val="0C1B2E"/>
                <w:sz w:val="18"/>
                <w:szCs w:val="18"/>
              </w:rPr>
              <w:t xml:space="preserve">FTUSA</w:t>
            </w:r>
          </w:p>
        </w:tc>
        <w:tc>
          <w:tcPr>
            <w:tcW w:type="dxa" w:w="7360"/>
            <w:shd w:fill="F8F9FA" w:color="auto" w:val="clear"/>
          </w:tcPr>
          <w:p>
            <w:pPr>
              <w:spacing w:after="60" w:before="60"/>
            </w:pPr>
            <w:r>
              <w:rPr>
                <w:rFonts w:ascii="Arial" w:cs="Arial" w:eastAsia="Arial" w:hAnsi="Arial"/>
                <w:color w:val="0C1B2E"/>
                <w:sz w:val="18"/>
                <w:szCs w:val="18"/>
              </w:rPr>
              <w:t xml:space="preserve">Fédération Tunisienne des Sociétés d'Assurance — publie les statistiques sectorielles globales annuelles (total marché, sinistralité, répartition Vie/Non-Vie).</w:t>
            </w:r>
          </w:p>
        </w:tc>
      </w:tr>
      <w:tr>
        <w:tc>
          <w:tcPr>
            <w:tcW w:type="dxa" w:w="2000"/>
            <w:shd w:fill="FFFFFF" w:color="auto" w:val="clear"/>
          </w:tcPr>
          <w:p>
            <w:pPr>
              <w:spacing w:after="60" w:before="60"/>
            </w:pPr>
            <w:r>
              <w:rPr>
                <w:rFonts w:ascii="Arial" w:cs="Arial" w:eastAsia="Arial" w:hAnsi="Arial"/>
                <w:color w:val="0C1B2E"/>
                <w:sz w:val="18"/>
                <w:szCs w:val="18"/>
              </w:rPr>
              <w:t xml:space="preserve">CGA</w:t>
            </w:r>
          </w:p>
        </w:tc>
        <w:tc>
          <w:tcPr>
            <w:tcW w:type="dxa" w:w="7360"/>
            <w:shd w:fill="FFFFFF" w:color="auto" w:val="clear"/>
          </w:tcPr>
          <w:p>
            <w:pPr>
              <w:spacing w:after="60" w:before="60"/>
            </w:pPr>
            <w:r>
              <w:rPr>
                <w:rFonts w:ascii="Arial" w:cs="Arial" w:eastAsia="Arial" w:hAnsi="Arial"/>
                <w:color w:val="0C1B2E"/>
                <w:sz w:val="18"/>
                <w:szCs w:val="18"/>
              </w:rPr>
              <w:t xml:space="preserve">Conseil Général des Assurances — autorité de contrôle sectorielle. Publie circulaires et textes réglementaires.</w:t>
            </w:r>
          </w:p>
        </w:tc>
      </w:tr>
      <w:tr>
        <w:tc>
          <w:tcPr>
            <w:tcW w:type="dxa" w:w="2000"/>
            <w:shd w:fill="F8F9FA" w:color="auto" w:val="clear"/>
          </w:tcPr>
          <w:p>
            <w:pPr>
              <w:spacing w:after="60" w:before="60"/>
            </w:pPr>
            <w:r>
              <w:rPr>
                <w:rFonts w:ascii="Arial" w:cs="Arial" w:eastAsia="Arial" w:hAnsi="Arial"/>
                <w:color w:val="0C1B2E"/>
                <w:sz w:val="18"/>
                <w:szCs w:val="18"/>
              </w:rPr>
              <w:t xml:space="preserve">INS</w:t>
            </w:r>
          </w:p>
        </w:tc>
        <w:tc>
          <w:tcPr>
            <w:tcW w:type="dxa" w:w="7360"/>
            <w:shd w:fill="F8F9FA" w:color="auto" w:val="clear"/>
          </w:tcPr>
          <w:p>
            <w:pPr>
              <w:spacing w:after="60" w:before="60"/>
            </w:pPr>
            <w:r>
              <w:rPr>
                <w:rFonts w:ascii="Arial" w:cs="Arial" w:eastAsia="Arial" w:hAnsi="Arial"/>
                <w:color w:val="0C1B2E"/>
                <w:sz w:val="18"/>
                <w:szCs w:val="18"/>
              </w:rPr>
              <w:t xml:space="preserve">Institut National de la Statistique — fournit PIB et population pour le calcul du taux de pénétration et de la densité d'assurance.</w:t>
            </w:r>
          </w:p>
        </w:tc>
      </w:tr>
      <w:tr>
        <w:tc>
          <w:tcPr>
            <w:tcW w:type="dxa" w:w="2000"/>
            <w:shd w:fill="FFFFFF" w:color="auto" w:val="clear"/>
          </w:tcPr>
          <w:p>
            <w:pPr>
              <w:spacing w:after="60" w:before="60"/>
            </w:pPr>
            <w:r>
              <w:rPr>
                <w:rFonts w:ascii="Arial" w:cs="Arial" w:eastAsia="Arial" w:hAnsi="Arial"/>
                <w:color w:val="0C1B2E"/>
                <w:sz w:val="18"/>
                <w:szCs w:val="18"/>
              </w:rPr>
              <w:t xml:space="preserve">BVMT</w:t>
            </w:r>
          </w:p>
        </w:tc>
        <w:tc>
          <w:tcPr>
            <w:tcW w:type="dxa" w:w="7360"/>
            <w:shd w:fill="FFFFFF" w:color="auto" w:val="clear"/>
          </w:tcPr>
          <w:p>
            <w:pPr>
              <w:spacing w:after="60" w:before="60"/>
            </w:pPr>
            <w:r>
              <w:rPr>
                <w:rFonts w:ascii="Arial" w:cs="Arial" w:eastAsia="Arial" w:hAnsi="Arial"/>
                <w:color w:val="0C1B2E"/>
                <w:sz w:val="18"/>
                <w:szCs w:val="18"/>
              </w:rPr>
              <w:t xml:space="preserve">Bourse des Valeurs Mobilières de Tunis — cours boursiers des compagnies cotées.</w:t>
            </w:r>
          </w:p>
        </w:tc>
      </w:tr>
      <w:tr>
        <w:tc>
          <w:tcPr>
            <w:tcW w:type="dxa" w:w="2000"/>
            <w:shd w:fill="F8F9FA" w:color="auto" w:val="clear"/>
          </w:tcPr>
          <w:p>
            <w:pPr>
              <w:spacing w:after="60" w:before="60"/>
            </w:pPr>
            <w:r>
              <w:rPr>
                <w:rFonts w:ascii="Arial" w:cs="Arial" w:eastAsia="Arial" w:hAnsi="Arial"/>
                <w:color w:val="0C1B2E"/>
                <w:sz w:val="18"/>
                <w:szCs w:val="18"/>
              </w:rPr>
              <w:t xml:space="preserve">KPI</w:t>
            </w:r>
          </w:p>
        </w:tc>
        <w:tc>
          <w:tcPr>
            <w:tcW w:type="dxa" w:w="7360"/>
            <w:shd w:fill="F8F9FA" w:color="auto" w:val="clear"/>
          </w:tcPr>
          <w:p>
            <w:pPr>
              <w:spacing w:after="60" w:before="60"/>
            </w:pPr>
            <w:r>
              <w:rPr>
                <w:rFonts w:ascii="Arial" w:cs="Arial" w:eastAsia="Arial" w:hAnsi="Arial"/>
                <w:color w:val="0C1B2E"/>
                <w:sz w:val="18"/>
                <w:szCs w:val="18"/>
              </w:rPr>
              <w:t xml:space="preserve">Key Performance Indicator — indicateur clé de performance financière.</w:t>
            </w:r>
          </w:p>
        </w:tc>
      </w:tr>
      <w:tr>
        <w:tc>
          <w:tcPr>
            <w:tcW w:type="dxa" w:w="2000"/>
            <w:shd w:fill="FFFFFF" w:color="auto" w:val="clear"/>
          </w:tcPr>
          <w:p>
            <w:pPr>
              <w:spacing w:after="60" w:before="60"/>
            </w:pPr>
            <w:r>
              <w:rPr>
                <w:rFonts w:ascii="Arial" w:cs="Arial" w:eastAsia="Arial" w:hAnsi="Arial"/>
                <w:color w:val="0C1B2E"/>
                <w:sz w:val="18"/>
                <w:szCs w:val="18"/>
              </w:rPr>
              <w:t xml:space="preserve">Ratio combiné</w:t>
            </w:r>
          </w:p>
        </w:tc>
        <w:tc>
          <w:tcPr>
            <w:tcW w:type="dxa" w:w="7360"/>
            <w:shd w:fill="FFFFFF" w:color="auto" w:val="clear"/>
          </w:tcPr>
          <w:p>
            <w:pPr>
              <w:spacing w:after="60" w:before="60"/>
            </w:pPr>
            <w:r>
              <w:rPr>
                <w:rFonts w:ascii="Arial" w:cs="Arial" w:eastAsia="Arial" w:hAnsi="Arial"/>
                <w:color w:val="0C1B2E"/>
                <w:sz w:val="18"/>
                <w:szCs w:val="18"/>
              </w:rPr>
              <w:t xml:space="preserve">(Charges de prestations + Charges d'acquisition) / Primes émises × 100. Un ratio &gt; 100 % signifie une perte technique sur l'activité assurantielle.</w:t>
            </w:r>
          </w:p>
        </w:tc>
      </w:tr>
      <w:tr>
        <w:tc>
          <w:tcPr>
            <w:tcW w:type="dxa" w:w="2000"/>
            <w:shd w:fill="F8F9FA" w:color="auto" w:val="clear"/>
          </w:tcPr>
          <w:p>
            <w:pPr>
              <w:spacing w:after="60" w:before="60"/>
            </w:pPr>
            <w:r>
              <w:rPr>
                <w:rFonts w:ascii="Arial" w:cs="Arial" w:eastAsia="Arial" w:hAnsi="Arial"/>
                <w:color w:val="0C1B2E"/>
                <w:sz w:val="18"/>
                <w:szCs w:val="18"/>
              </w:rPr>
              <w:t xml:space="preserve">Taux de pénétration</w:t>
            </w:r>
          </w:p>
        </w:tc>
        <w:tc>
          <w:tcPr>
            <w:tcW w:type="dxa" w:w="7360"/>
            <w:shd w:fill="F8F9FA" w:color="auto" w:val="clear"/>
          </w:tcPr>
          <w:p>
            <w:pPr>
              <w:spacing w:after="60" w:before="60"/>
            </w:pPr>
            <w:r>
              <w:rPr>
                <w:rFonts w:ascii="Arial" w:cs="Arial" w:eastAsia="Arial" w:hAnsi="Arial"/>
                <w:color w:val="0C1B2E"/>
                <w:sz w:val="18"/>
                <w:szCs w:val="18"/>
              </w:rPr>
              <w:t xml:space="preserve">Primes totales du marché / PIB × 100. Mesure le développement du secteur assurantiel dans l'économie nationale.</w:t>
            </w:r>
          </w:p>
        </w:tc>
      </w:tr>
      <w:tr>
        <w:tc>
          <w:tcPr>
            <w:tcW w:type="dxa" w:w="2000"/>
            <w:shd w:fill="FFFFFF" w:color="auto" w:val="clear"/>
          </w:tcPr>
          <w:p>
            <w:pPr>
              <w:spacing w:after="60" w:before="60"/>
            </w:pPr>
            <w:r>
              <w:rPr>
                <w:rFonts w:ascii="Arial" w:cs="Arial" w:eastAsia="Arial" w:hAnsi="Arial"/>
                <w:color w:val="0C1B2E"/>
                <w:sz w:val="18"/>
                <w:szCs w:val="18"/>
              </w:rPr>
              <w:t xml:space="preserve">Densité d'assurance</w:t>
            </w:r>
          </w:p>
        </w:tc>
        <w:tc>
          <w:tcPr>
            <w:tcW w:type="dxa" w:w="7360"/>
            <w:shd w:fill="FFFFFF" w:color="auto" w:val="clear"/>
          </w:tcPr>
          <w:p>
            <w:pPr>
              <w:spacing w:after="60" w:before="60"/>
            </w:pPr>
            <w:r>
              <w:rPr>
                <w:rFonts w:ascii="Arial" w:cs="Arial" w:eastAsia="Arial" w:hAnsi="Arial"/>
                <w:color w:val="0C1B2E"/>
                <w:sz w:val="18"/>
                <w:szCs w:val="18"/>
              </w:rPr>
              <w:t xml:space="preserve">Primes totales / Population. Prime moyenne par habitant, en dinars tunisiens.</w:t>
            </w:r>
          </w:p>
        </w:tc>
      </w:tr>
      <w:tr>
        <w:tc>
          <w:tcPr>
            <w:tcW w:type="dxa" w:w="2000"/>
            <w:shd w:fill="F8F9FA" w:color="auto" w:val="clear"/>
          </w:tcPr>
          <w:p>
            <w:pPr>
              <w:spacing w:after="60" w:before="60"/>
            </w:pPr>
            <w:r>
              <w:rPr>
                <w:rFonts w:ascii="Arial" w:cs="Arial" w:eastAsia="Arial" w:hAnsi="Arial"/>
                <w:color w:val="0C1B2E"/>
                <w:sz w:val="18"/>
                <w:szCs w:val="18"/>
              </w:rPr>
              <w:t xml:space="preserve">PDM</w:t>
            </w:r>
          </w:p>
        </w:tc>
        <w:tc>
          <w:tcPr>
            <w:tcW w:type="dxa" w:w="7360"/>
            <w:shd w:fill="F8F9FA" w:color="auto" w:val="clear"/>
          </w:tcPr>
          <w:p>
            <w:pPr>
              <w:spacing w:after="60" w:before="60"/>
            </w:pPr>
            <w:r>
              <w:rPr>
                <w:rFonts w:ascii="Arial" w:cs="Arial" w:eastAsia="Arial" w:hAnsi="Arial"/>
                <w:color w:val="0C1B2E"/>
                <w:sz w:val="18"/>
                <w:szCs w:val="18"/>
              </w:rPr>
              <w:t xml:space="preserve">Part de Marché — Primes d'une compagnie / Total marché × 100.</w:t>
            </w:r>
          </w:p>
        </w:tc>
      </w:tr>
      <w:tr>
        <w:tc>
          <w:tcPr>
            <w:tcW w:type="dxa" w:w="2000"/>
            <w:shd w:fill="FFFFFF" w:color="auto" w:val="clear"/>
          </w:tcPr>
          <w:p>
            <w:pPr>
              <w:spacing w:after="60" w:before="60"/>
            </w:pPr>
            <w:r>
              <w:rPr>
                <w:rFonts w:ascii="Arial" w:cs="Arial" w:eastAsia="Arial" w:hAnsi="Arial"/>
                <w:color w:val="0C1B2E"/>
                <w:sz w:val="18"/>
                <w:szCs w:val="18"/>
              </w:rPr>
              <w:t xml:space="preserve">Annexe 12</w:t>
            </w:r>
          </w:p>
        </w:tc>
        <w:tc>
          <w:tcPr>
            <w:tcW w:type="dxa" w:w="7360"/>
            <w:shd w:fill="FFFFFF" w:color="auto" w:val="clear"/>
          </w:tcPr>
          <w:p>
            <w:pPr>
              <w:spacing w:after="60" w:before="60"/>
            </w:pPr>
            <w:r>
              <w:rPr>
                <w:rFonts w:ascii="Arial" w:cs="Arial" w:eastAsia="Arial" w:hAnsi="Arial"/>
                <w:color w:val="0C1B2E"/>
                <w:sz w:val="18"/>
                <w:szCs w:val="18"/>
              </w:rPr>
              <w:t xml:space="preserve">Tableau réglementaire des résultats techniques Vie (vie individuelle, vie collective, capitalisation). Section obligatoire des rapports annuels CMF.</w:t>
            </w:r>
          </w:p>
        </w:tc>
      </w:tr>
      <w:tr>
        <w:tc>
          <w:tcPr>
            <w:tcW w:type="dxa" w:w="2000"/>
            <w:shd w:fill="F8F9FA" w:color="auto" w:val="clear"/>
          </w:tcPr>
          <w:p>
            <w:pPr>
              <w:spacing w:after="60" w:before="60"/>
            </w:pPr>
            <w:r>
              <w:rPr>
                <w:rFonts w:ascii="Arial" w:cs="Arial" w:eastAsia="Arial" w:hAnsi="Arial"/>
                <w:color w:val="0C1B2E"/>
                <w:sz w:val="18"/>
                <w:szCs w:val="18"/>
              </w:rPr>
              <w:t xml:space="preserve">Annexe 13</w:t>
            </w:r>
          </w:p>
        </w:tc>
        <w:tc>
          <w:tcPr>
            <w:tcW w:type="dxa" w:w="7360"/>
            <w:shd w:fill="F8F9FA" w:color="auto" w:val="clear"/>
          </w:tcPr>
          <w:p>
            <w:pPr>
              <w:spacing w:after="60" w:before="60"/>
            </w:pPr>
            <w:r>
              <w:rPr>
                <w:rFonts w:ascii="Arial" w:cs="Arial" w:eastAsia="Arial" w:hAnsi="Arial"/>
                <w:color w:val="0C1B2E"/>
                <w:sz w:val="18"/>
                <w:szCs w:val="18"/>
              </w:rPr>
              <w:t xml:space="preserve">Tableau réglementaire des résultats techniques Non-Vie (automobile, incendie, responsabilité civile, transport, accidents). Section obligatoire des rapports annuels CMF.</w:t>
            </w:r>
          </w:p>
        </w:tc>
      </w:tr>
      <w:tr>
        <w:tc>
          <w:tcPr>
            <w:tcW w:type="dxa" w:w="2000"/>
            <w:shd w:fill="FFFFFF" w:color="auto" w:val="clear"/>
          </w:tcPr>
          <w:p>
            <w:pPr>
              <w:spacing w:after="60" w:before="60"/>
            </w:pPr>
            <w:r>
              <w:rPr>
                <w:rFonts w:ascii="Arial" w:cs="Arial" w:eastAsia="Arial" w:hAnsi="Arial"/>
                <w:color w:val="0C1B2E"/>
                <w:sz w:val="18"/>
                <w:szCs w:val="18"/>
              </w:rPr>
              <w:t xml:space="preserve">ROE</w:t>
            </w:r>
          </w:p>
        </w:tc>
        <w:tc>
          <w:tcPr>
            <w:tcW w:type="dxa" w:w="7360"/>
            <w:shd w:fill="FFFFFF" w:color="auto" w:val="clear"/>
          </w:tcPr>
          <w:p>
            <w:pPr>
              <w:spacing w:after="60" w:before="60"/>
            </w:pPr>
            <w:r>
              <w:rPr>
                <w:rFonts w:ascii="Arial" w:cs="Arial" w:eastAsia="Arial" w:hAnsi="Arial"/>
                <w:color w:val="0C1B2E"/>
                <w:sz w:val="18"/>
                <w:szCs w:val="18"/>
              </w:rPr>
              <w:t xml:space="preserve">Return on Equity — Résultat net / Capitaux propres × 100. Rentabilité des fonds propres.</w:t>
            </w:r>
          </w:p>
        </w:tc>
      </w:tr>
      <w:tr>
        <w:tc>
          <w:tcPr>
            <w:tcW w:type="dxa" w:w="2000"/>
            <w:shd w:fill="F8F9FA" w:color="auto" w:val="clear"/>
          </w:tcPr>
          <w:p>
            <w:pPr>
              <w:spacing w:after="60" w:before="60"/>
            </w:pPr>
            <w:r>
              <w:rPr>
                <w:rFonts w:ascii="Arial" w:cs="Arial" w:eastAsia="Arial" w:hAnsi="Arial"/>
                <w:color w:val="0C1B2E"/>
                <w:sz w:val="18"/>
                <w:szCs w:val="18"/>
              </w:rPr>
              <w:t xml:space="preserve">ROA</w:t>
            </w:r>
          </w:p>
        </w:tc>
        <w:tc>
          <w:tcPr>
            <w:tcW w:type="dxa" w:w="7360"/>
            <w:shd w:fill="F8F9FA" w:color="auto" w:val="clear"/>
          </w:tcPr>
          <w:p>
            <w:pPr>
              <w:spacing w:after="60" w:before="60"/>
            </w:pPr>
            <w:r>
              <w:rPr>
                <w:rFonts w:ascii="Arial" w:cs="Arial" w:eastAsia="Arial" w:hAnsi="Arial"/>
                <w:color w:val="0C1B2E"/>
                <w:sz w:val="18"/>
                <w:szCs w:val="18"/>
              </w:rPr>
              <w:t xml:space="preserve">Return on Assets — Résultat net / Total actif × 100. Rentabilité de l'ensemble des actifs.</w:t>
            </w:r>
          </w:p>
        </w:tc>
      </w:tr>
      <w:tr>
        <w:tc>
          <w:tcPr>
            <w:tcW w:type="dxa" w:w="2000"/>
            <w:shd w:fill="FFFFFF" w:color="auto" w:val="clear"/>
          </w:tcPr>
          <w:p>
            <w:pPr>
              <w:spacing w:after="60" w:before="60"/>
            </w:pPr>
            <w:r>
              <w:rPr>
                <w:rFonts w:ascii="Arial" w:cs="Arial" w:eastAsia="Arial" w:hAnsi="Arial"/>
                <w:color w:val="0C1B2E"/>
                <w:sz w:val="18"/>
                <w:szCs w:val="18"/>
              </w:rPr>
              <w:t xml:space="preserve">PFE</w:t>
            </w:r>
          </w:p>
        </w:tc>
        <w:tc>
          <w:tcPr>
            <w:tcW w:type="dxa" w:w="7360"/>
            <w:shd w:fill="FFFFFF" w:color="auto" w:val="clear"/>
          </w:tcPr>
          <w:p>
            <w:pPr>
              <w:spacing w:after="60" w:before="60"/>
            </w:pPr>
            <w:r>
              <w:rPr>
                <w:rFonts w:ascii="Arial" w:cs="Arial" w:eastAsia="Arial" w:hAnsi="Arial"/>
                <w:color w:val="0C1B2E"/>
                <w:sz w:val="18"/>
                <w:szCs w:val="18"/>
              </w:rPr>
              <w:t xml:space="preserve">Projet de Fin d'Études — travail académique de fin de cursus d'ingénieur ou master.</w:t>
            </w:r>
          </w:p>
        </w:tc>
      </w:tr>
      <w:tr>
        <w:tc>
          <w:tcPr>
            <w:tcW w:type="dxa" w:w="2000"/>
            <w:shd w:fill="F8F9FA" w:color="auto" w:val="clear"/>
          </w:tcPr>
          <w:p>
            <w:pPr>
              <w:spacing w:after="60" w:before="60"/>
            </w:pPr>
            <w:r>
              <w:rPr>
                <w:rFonts w:ascii="Arial" w:cs="Arial" w:eastAsia="Arial" w:hAnsi="Arial"/>
                <w:color w:val="0C1B2E"/>
                <w:sz w:val="18"/>
                <w:szCs w:val="18"/>
              </w:rPr>
              <w:t xml:space="preserve">pdfplumber</w:t>
            </w:r>
          </w:p>
        </w:tc>
        <w:tc>
          <w:tcPr>
            <w:tcW w:type="dxa" w:w="7360"/>
            <w:shd w:fill="F8F9FA" w:color="auto" w:val="clear"/>
          </w:tcPr>
          <w:p>
            <w:pPr>
              <w:spacing w:after="60" w:before="60"/>
            </w:pPr>
            <w:r>
              <w:rPr>
                <w:rFonts w:ascii="Arial" w:cs="Arial" w:eastAsia="Arial" w:hAnsi="Arial"/>
                <w:color w:val="0C1B2E"/>
                <w:sz w:val="18"/>
                <w:szCs w:val="18"/>
              </w:rPr>
              <w:t xml:space="preserve">Bibliothèque Python d'extraction de texte et de tableaux depuis des fichiers PDF, basée sur pdfminer.six.</w:t>
            </w:r>
          </w:p>
        </w:tc>
      </w:tr>
      <w:tr>
        <w:tc>
          <w:tcPr>
            <w:tcW w:type="dxa" w:w="2000"/>
            <w:shd w:fill="FFFFFF" w:color="auto" w:val="clear"/>
          </w:tcPr>
          <w:p>
            <w:pPr>
              <w:spacing w:after="60" w:before="60"/>
            </w:pPr>
            <w:r>
              <w:rPr>
                <w:rFonts w:ascii="Arial" w:cs="Arial" w:eastAsia="Arial" w:hAnsi="Arial"/>
                <w:color w:val="0C1B2E"/>
                <w:sz w:val="18"/>
                <w:szCs w:val="18"/>
              </w:rPr>
              <w:t xml:space="preserve">Selenium</w:t>
            </w:r>
          </w:p>
        </w:tc>
        <w:tc>
          <w:tcPr>
            <w:tcW w:type="dxa" w:w="7360"/>
            <w:shd w:fill="FFFFFF" w:color="auto" w:val="clear"/>
          </w:tcPr>
          <w:p>
            <w:pPr>
              <w:spacing w:after="60" w:before="60"/>
            </w:pPr>
            <w:r>
              <w:rPr>
                <w:rFonts w:ascii="Arial" w:cs="Arial" w:eastAsia="Arial" w:hAnsi="Arial"/>
                <w:color w:val="0C1B2E"/>
                <w:sz w:val="18"/>
                <w:szCs w:val="18"/>
              </w:rPr>
              <w:t xml:space="preserve">Framework d'automatisation de navigateur web. Utilisé ici pour interagir avec le widget JavaScript dynamique du portail CMF.</w:t>
            </w:r>
          </w:p>
        </w:tc>
      </w:tr>
      <w:tr>
        <w:tc>
          <w:tcPr>
            <w:tcW w:type="dxa" w:w="2000"/>
            <w:shd w:fill="F8F9FA" w:color="auto" w:val="clear"/>
          </w:tcPr>
          <w:p>
            <w:pPr>
              <w:spacing w:after="60" w:before="60"/>
            </w:pPr>
            <w:r>
              <w:rPr>
                <w:rFonts w:ascii="Arial" w:cs="Arial" w:eastAsia="Arial" w:hAnsi="Arial"/>
                <w:color w:val="0C1B2E"/>
                <w:sz w:val="18"/>
                <w:szCs w:val="18"/>
              </w:rPr>
              <w:t xml:space="preserve">Groq</w:t>
            </w:r>
          </w:p>
        </w:tc>
        <w:tc>
          <w:tcPr>
            <w:tcW w:type="dxa" w:w="7360"/>
            <w:shd w:fill="F8F9FA" w:color="auto" w:val="clear"/>
          </w:tcPr>
          <w:p>
            <w:pPr>
              <w:spacing w:after="60" w:before="60"/>
            </w:pPr>
            <w:r>
              <w:rPr>
                <w:rFonts w:ascii="Arial" w:cs="Arial" w:eastAsia="Arial" w:hAnsi="Arial"/>
                <w:color w:val="0C1B2E"/>
                <w:sz w:val="18"/>
                <w:szCs w:val="18"/>
              </w:rPr>
              <w:t xml:space="preserve">Fournisseur d'inférence LLM ultra-rapide (modèle Llama 3.3 70B). Utilisé pour la reformulation en français des résultats SQL du chatbot.</w:t>
            </w:r>
          </w:p>
        </w:tc>
      </w:tr>
      <w:tr>
        <w:tc>
          <w:tcPr>
            <w:tcW w:type="dxa" w:w="2000"/>
            <w:shd w:fill="FFFFFF" w:color="auto" w:val="clear"/>
          </w:tcPr>
          <w:p>
            <w:pPr>
              <w:spacing w:after="60" w:before="60"/>
            </w:pPr>
            <w:r>
              <w:rPr>
                <w:rFonts w:ascii="Arial" w:cs="Arial" w:eastAsia="Arial" w:hAnsi="Arial"/>
                <w:color w:val="0C1B2E"/>
                <w:sz w:val="18"/>
                <w:szCs w:val="18"/>
              </w:rPr>
              <w:t xml:space="preserve">Prophet</w:t>
            </w:r>
          </w:p>
        </w:tc>
        <w:tc>
          <w:tcPr>
            <w:tcW w:type="dxa" w:w="7360"/>
            <w:shd w:fill="FFFFFF" w:color="auto" w:val="clear"/>
          </w:tcPr>
          <w:p>
            <w:pPr>
              <w:spacing w:after="60" w:before="60"/>
            </w:pPr>
            <w:r>
              <w:rPr>
                <w:rFonts w:ascii="Arial" w:cs="Arial" w:eastAsia="Arial" w:hAnsi="Arial"/>
                <w:color w:val="0C1B2E"/>
                <w:sz w:val="18"/>
                <w:szCs w:val="18"/>
              </w:rPr>
              <w:t xml:space="preserve">Bibliothèque de prévision de séries temporelles développée par Meta. Gère la saisonnalité et les tendances avec décomposition additive.</w:t>
            </w:r>
          </w:p>
        </w:tc>
      </w:tr>
      <w:tr>
        <w:tc>
          <w:tcPr>
            <w:tcW w:type="dxa" w:w="2000"/>
            <w:shd w:fill="F8F9FA" w:color="auto" w:val="clear"/>
          </w:tcPr>
          <w:p>
            <w:pPr>
              <w:spacing w:after="60" w:before="60"/>
            </w:pPr>
            <w:r>
              <w:rPr>
                <w:rFonts w:ascii="Arial" w:cs="Arial" w:eastAsia="Arial" w:hAnsi="Arial"/>
                <w:color w:val="0C1B2E"/>
                <w:sz w:val="18"/>
                <w:szCs w:val="18"/>
              </w:rPr>
              <w:t xml:space="preserve">SHAP</w:t>
            </w:r>
          </w:p>
        </w:tc>
        <w:tc>
          <w:tcPr>
            <w:tcW w:type="dxa" w:w="7360"/>
            <w:shd w:fill="F8F9FA" w:color="auto" w:val="clear"/>
          </w:tcPr>
          <w:p>
            <w:pPr>
              <w:spacing w:after="60" w:before="60"/>
            </w:pPr>
            <w:r>
              <w:rPr>
                <w:rFonts w:ascii="Arial" w:cs="Arial" w:eastAsia="Arial" w:hAnsi="Arial"/>
                <w:color w:val="0C1B2E"/>
                <w:sz w:val="18"/>
                <w:szCs w:val="18"/>
              </w:rPr>
              <w:t xml:space="preserve">SHapley Additive exPlanations — méthode d'explicabilité ML qui quantifie la contribution de chaque feature à la prédiction.</w:t>
            </w:r>
          </w:p>
        </w:tc>
      </w:tr>
    </w:tbl>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PARTIE I — COLLECTE DES DONNÉES</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1 — Scraping du Portail CMF</w:t>
      </w:r>
    </w:p>
    <w:p>
      <w:pPr>
        <w:spacing w:after="80" w:before="60"/>
      </w:pPr>
      <w:r>
        <w:rPr>
          <w:rFonts w:ascii="Arial" w:cs="Arial" w:eastAsia="Arial" w:hAnsi="Arial"/>
          <w:color w:val="0C1B2E"/>
          <w:sz w:val="20"/>
          <w:szCs w:val="20"/>
        </w:rPr>
        <w:t xml:space="preserve">Le portail CMF (cmf.tn) publie les états financiers annuels de toutes les sociétés tunisiennes faisant appel public à l'épargne. C'est la source primaire du projet : tous les rapports annuels PDF des 24 compagnies d'assurance en sont extraits automatiquement.</w:t>
      </w:r>
    </w:p>
    <w:p>
      <w:pPr>
        <w:pStyle w:val="Heading3"/>
        <w:spacing w:after="80" w:before="240"/>
      </w:pPr>
      <w:r>
        <w:rPr>
          <w:rFonts w:ascii="Arial" w:cs="Arial" w:eastAsia="Arial" w:hAnsi="Arial"/>
          <w:b/>
          <w:bCs/>
          <w:color w:val="2E2E38"/>
          <w:sz w:val="22"/>
          <w:szCs w:val="22"/>
        </w:rPr>
        <w:t xml:space="preserve">Problème technique : widget JavaScript dynamique</w:t>
      </w:r>
    </w:p>
    <w:p>
      <w:pPr>
        <w:spacing w:after="80" w:before="60"/>
      </w:pPr>
      <w:r>
        <w:rPr>
          <w:rFonts w:ascii="Arial" w:cs="Arial" w:eastAsia="Arial" w:hAnsi="Arial"/>
          <w:color w:val="0C1B2E"/>
          <w:sz w:val="20"/>
          <w:szCs w:val="20"/>
        </w:rPr>
        <w:t xml:space="preserve">La page CMF utilise un composant </w:t>
      </w:r>
      <w:r>
        <w:rPr>
          <w:rFonts w:ascii="Arial" w:cs="Arial" w:eastAsia="Arial" w:hAnsi="Arial"/>
          <w:b/>
          <w:bCs/>
          <w:color w:val="0C1B2E"/>
          <w:sz w:val="20"/>
          <w:szCs w:val="20"/>
        </w:rPr>
        <w:t xml:space="preserve">Chosen.js</w:t>
      </w:r>
      <w:r>
        <w:rPr>
          <w:rFonts w:ascii="Arial" w:cs="Arial" w:eastAsia="Arial" w:hAnsi="Arial"/>
          <w:color w:val="0C1B2E"/>
          <w:sz w:val="20"/>
          <w:szCs w:val="20"/>
        </w:rPr>
        <w:t xml:space="preserve"> — une liste déroulante enrichie JavaScript — pour la sélection de la société. Une approche naïve par `requests` retournerait le HTML statique sans le DOM rendu, rendant impossible la sélection.</w:t>
      </w:r>
    </w:p>
    <w:p>
      <w:pPr>
        <w:pBdr>
          <w:left w:val="single" w:color="0D7A3E" w:sz="12"/>
        </w:pBdr>
        <w:shd w:fill="F8F9FA" w:color="auto" w:val="clear"/>
        <w:spacing w:after="100" w:before="100"/>
        <w:ind w:left="200" w:right="200"/>
      </w:pPr>
      <w:r>
        <w:rPr>
          <w:rFonts w:ascii="Arial" w:cs="Arial" w:eastAsia="Arial" w:hAnsi="Arial"/>
          <w:b/>
          <w:bCs/>
          <w:color w:val="0D7A3E"/>
          <w:sz w:val="20"/>
          <w:szCs w:val="20"/>
        </w:rPr>
        <w:t xml:space="preserve">✓  </w:t>
      </w:r>
      <w:r>
        <w:rPr>
          <w:rFonts w:ascii="Arial" w:cs="Arial" w:eastAsia="Arial" w:hAnsi="Arial"/>
          <w:color w:val="0C1B2E"/>
          <w:sz w:val="20"/>
          <w:szCs w:val="20"/>
        </w:rPr>
        <w:t xml:space="preserve">Solution : automatiser un navigateur Chrome complet (headless) via Selenium WebDriver, qui exécute JavaScript exactement comme un utilisateur réel.</w:t>
      </w:r>
    </w:p>
    <w:p>
      <w:pPr>
        <w:pStyle w:val="Heading3"/>
        <w:spacing w:after="80" w:before="240"/>
      </w:pPr>
      <w:r>
        <w:rPr>
          <w:rFonts w:ascii="Arial" w:cs="Arial" w:eastAsia="Arial" w:hAnsi="Arial"/>
          <w:b/>
          <w:bCs/>
          <w:color w:val="2E2E38"/>
          <w:sz w:val="22"/>
          <w:szCs w:val="22"/>
        </w:rPr>
        <w:t xml:space="preserve">Fichier : scraping/cmf_portal_scraper.py</w:t>
      </w:r>
    </w:p>
    <w:p>
      <w:pPr>
        <w:pStyle w:val="Heading4"/>
        <w:spacing w:after="60" w:before="180"/>
      </w:pPr>
      <w:r>
        <w:rPr>
          <w:rFonts w:ascii="Arial" w:cs="Arial" w:eastAsia="Arial" w:hAnsi="Arial"/>
          <w:b/>
          <w:bCs/>
          <w:color w:val="5C5C6E"/>
          <w:spacing w:val="30"/>
          <w:sz w:val="18"/>
          <w:szCs w:val="18"/>
        </w:rPr>
        <w:t xml:space="preserve">SÉQUENCE D'AUTOMATISATION</w:t>
      </w:r>
    </w:p>
    <w:p>
      <w:pPr>
        <w:pStyle w:val="ListParagraph"/>
        <w:numPr>
          <w:ilvl w:val="0"/>
          <w:numId w:val="2"/>
        </w:numPr>
        <w:spacing w:after="40" w:before="40"/>
        <w:ind w:left="360" w:hanging="360"/>
      </w:pPr>
      <w:r>
        <w:rPr>
          <w:rFonts w:ascii="Arial" w:cs="Arial" w:eastAsia="Arial" w:hAnsi="Arial"/>
          <w:color w:val="0C1B2E"/>
          <w:sz w:val="20"/>
          <w:szCs w:val="20"/>
        </w:rPr>
        <w:t xml:space="preserve">Ouverture de Chrome en mode headless (</w:t>
      </w:r>
      <w:r>
        <w:rPr>
          <w:rFonts w:ascii="Courier New" w:cs="Courier New" w:eastAsia="Courier New" w:hAnsi="Courier New"/>
          <w:color w:val="1A73E8"/>
          <w:sz w:val="18"/>
          <w:szCs w:val="18"/>
        </w:rPr>
        <w:t xml:space="preserve">--headless --no-sandbox</w:t>
      </w:r>
      <w:r>
        <w:rPr>
          <w:rFonts w:ascii="Arial" w:cs="Arial" w:eastAsia="Arial" w:hAnsi="Arial"/>
          <w:color w:val="0C1B2E"/>
          <w:sz w:val="20"/>
          <w:szCs w:val="20"/>
        </w:rPr>
        <w:t xml:space="preserve">)</w:t>
      </w:r>
    </w:p>
    <w:p>
      <w:pPr>
        <w:pStyle w:val="ListParagraph"/>
        <w:numPr>
          <w:ilvl w:val="0"/>
          <w:numId w:val="2"/>
        </w:numPr>
        <w:spacing w:after="40" w:before="40"/>
        <w:ind w:left="360" w:hanging="360"/>
      </w:pPr>
      <w:r>
        <w:rPr>
          <w:rFonts w:ascii="Arial" w:cs="Arial" w:eastAsia="Arial" w:hAnsi="Arial"/>
          <w:color w:val="0C1B2E"/>
          <w:sz w:val="20"/>
          <w:szCs w:val="20"/>
        </w:rPr>
        <w:t xml:space="preserve">Navigation vers la page CMF</w:t>
      </w:r>
    </w:p>
    <w:p>
      <w:pPr>
        <w:pStyle w:val="ListParagraph"/>
        <w:numPr>
          <w:ilvl w:val="0"/>
          <w:numId w:val="2"/>
        </w:numPr>
        <w:spacing w:after="40" w:before="40"/>
        <w:ind w:left="360" w:hanging="360"/>
      </w:pPr>
      <w:r>
        <w:rPr>
          <w:rFonts w:ascii="Arial" w:cs="Arial" w:eastAsia="Arial" w:hAnsi="Arial"/>
          <w:color w:val="0C1B2E"/>
          <w:sz w:val="20"/>
          <w:szCs w:val="20"/>
        </w:rPr>
        <w:t xml:space="preserve">Attente de chargement du widget Chosen (WebDriverWait, timeout 15s)</w:t>
      </w:r>
    </w:p>
    <w:p>
      <w:pPr>
        <w:pStyle w:val="ListParagraph"/>
        <w:numPr>
          <w:ilvl w:val="0"/>
          <w:numId w:val="2"/>
        </w:numPr>
        <w:spacing w:after="40" w:before="40"/>
        <w:ind w:left="360" w:hanging="360"/>
      </w:pPr>
      <w:r>
        <w:rPr>
          <w:rFonts w:ascii="Arial" w:cs="Arial" w:eastAsia="Arial" w:hAnsi="Arial"/>
          <w:color w:val="0C1B2E"/>
          <w:sz w:val="20"/>
          <w:szCs w:val="20"/>
        </w:rPr>
        <w:t xml:space="preserve">Sélection de la société par son nom exact (</w:t>
      </w:r>
      <w:r>
        <w:rPr>
          <w:rFonts w:ascii="Courier New" w:cs="Courier New" w:eastAsia="Courier New" w:hAnsi="Courier New"/>
          <w:color w:val="1A73E8"/>
          <w:sz w:val="18"/>
          <w:szCs w:val="18"/>
        </w:rPr>
        <w:t xml:space="preserve">cmf_name</w:t>
      </w:r>
      <w:r>
        <w:rPr>
          <w:rFonts w:ascii="Arial" w:cs="Arial" w:eastAsia="Arial" w:hAnsi="Arial"/>
          <w:color w:val="0C1B2E"/>
          <w:sz w:val="20"/>
          <w:szCs w:val="20"/>
        </w:rPr>
        <w:t xml:space="preserve"> depuis COMPANY_REGISTRY)</w:t>
      </w:r>
    </w:p>
    <w:p>
      <w:pPr>
        <w:pStyle w:val="ListParagraph"/>
        <w:numPr>
          <w:ilvl w:val="0"/>
          <w:numId w:val="2"/>
        </w:numPr>
        <w:spacing w:after="40" w:before="40"/>
        <w:ind w:left="360" w:hanging="360"/>
      </w:pPr>
      <w:r>
        <w:rPr>
          <w:rFonts w:ascii="Arial" w:cs="Arial" w:eastAsia="Arial" w:hAnsi="Arial"/>
          <w:color w:val="0C1B2E"/>
          <w:sz w:val="20"/>
          <w:szCs w:val="20"/>
        </w:rPr>
        <w:t xml:space="preserve">Clic sur 'Rechercher' et attente des résultats</w:t>
      </w:r>
    </w:p>
    <w:p>
      <w:pPr>
        <w:pStyle w:val="ListParagraph"/>
        <w:numPr>
          <w:ilvl w:val="0"/>
          <w:numId w:val="2"/>
        </w:numPr>
        <w:spacing w:after="40" w:before="40"/>
        <w:ind w:left="360" w:hanging="360"/>
      </w:pPr>
      <w:r>
        <w:rPr>
          <w:rFonts w:ascii="Arial" w:cs="Arial" w:eastAsia="Arial" w:hAnsi="Arial"/>
          <w:color w:val="0C1B2E"/>
          <w:sz w:val="20"/>
          <w:szCs w:val="20"/>
        </w:rPr>
        <w:t xml:space="preserve">Extraction des lignes du tableau : année, type de document, lien PDF</w:t>
      </w:r>
    </w:p>
    <w:p>
      <w:pPr>
        <w:pStyle w:val="ListParagraph"/>
        <w:numPr>
          <w:ilvl w:val="0"/>
          <w:numId w:val="2"/>
        </w:numPr>
        <w:spacing w:after="40" w:before="40"/>
        <w:ind w:left="360" w:hanging="360"/>
      </w:pPr>
      <w:r>
        <w:rPr>
          <w:rFonts w:ascii="Arial" w:cs="Arial" w:eastAsia="Arial" w:hAnsi="Arial"/>
          <w:color w:val="0C1B2E"/>
          <w:sz w:val="20"/>
          <w:szCs w:val="20"/>
        </w:rPr>
        <w:t xml:space="preserve">Filtrage : conservation uniquement des états annuels au 31/12 (rejet des intermédiaires au 30/06)</w:t>
      </w:r>
    </w:p>
    <w:p>
      <w:pPr>
        <w:pStyle w:val="ListParagraph"/>
        <w:numPr>
          <w:ilvl w:val="0"/>
          <w:numId w:val="2"/>
        </w:numPr>
        <w:spacing w:after="40" w:before="40"/>
        <w:ind w:left="360" w:hanging="360"/>
      </w:pPr>
      <w:r>
        <w:rPr>
          <w:rFonts w:ascii="Arial" w:cs="Arial" w:eastAsia="Arial" w:hAnsi="Arial"/>
          <w:color w:val="0C1B2E"/>
          <w:sz w:val="20"/>
          <w:szCs w:val="20"/>
        </w:rPr>
        <w:t xml:space="preserve">Vérification d'idempotence : </w:t>
      </w:r>
      <w:r>
        <w:rPr>
          <w:rFonts w:ascii="Courier New" w:cs="Courier New" w:eastAsia="Courier New" w:hAnsi="Courier New"/>
          <w:color w:val="1A73E8"/>
          <w:sz w:val="18"/>
          <w:szCs w:val="18"/>
        </w:rPr>
        <w:t xml:space="preserve">document_exists(code, annee)</w:t>
      </w:r>
      <w:r>
        <w:rPr>
          <w:rFonts w:ascii="Arial" w:cs="Arial" w:eastAsia="Arial" w:hAnsi="Arial"/>
          <w:color w:val="0C1B2E"/>
          <w:sz w:val="20"/>
          <w:szCs w:val="20"/>
        </w:rPr>
        <w:t xml:space="preserve"> avant insertion</w:t>
      </w:r>
    </w:p>
    <w:p>
      <w:pPr>
        <w:pStyle w:val="ListParagraph"/>
        <w:numPr>
          <w:ilvl w:val="0"/>
          <w:numId w:val="2"/>
        </w:numPr>
        <w:spacing w:after="40" w:before="40"/>
        <w:ind w:left="360" w:hanging="360"/>
      </w:pPr>
      <w:r>
        <w:rPr>
          <w:rFonts w:ascii="Arial" w:cs="Arial" w:eastAsia="Arial" w:hAnsi="Arial"/>
          <w:color w:val="0C1B2E"/>
          <w:sz w:val="20"/>
          <w:szCs w:val="20"/>
        </w:rPr>
        <w:t xml:space="preserve">Téléchargement du PDF via requests.get() avec User-Agent réaliste → </w:t>
      </w:r>
      <w:r>
        <w:rPr>
          <w:rFonts w:ascii="Courier New" w:cs="Courier New" w:eastAsia="Courier New" w:hAnsi="Courier New"/>
          <w:color w:val="1A73E8"/>
          <w:sz w:val="18"/>
          <w:szCs w:val="18"/>
        </w:rPr>
        <w:t xml:space="preserve">data/cmf/{CODE}/{CODE}_{ANNEE}.pdf</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from selenium import webdriver</w:t>
        <w:br/>
        <w:t xml:space="preserve">from selenium.webdriver.common.by import By</w:t>
        <w:br/>
        <w:t xml:space="preserve">from selenium.webdriver.support.ui import WebDriverWait, Select</w:t>
        <w:br/>
        <w:t xml:space="preserve">from selenium.webdriver.support import expected_conditions as EC</w:t>
        <w:br/>
        <w:t xml:space="preserve"/>
        <w:br/>
        <w:t xml:space="preserve"># Chrome headless</w:t>
        <w:br/>
        <w:t xml:space="preserve">options = webdriver.ChromeOptions()</w:t>
        <w:br/>
        <w:t xml:space="preserve">options.add_argument('--headless')</w:t>
        <w:br/>
        <w:t xml:space="preserve">options.add_argument('--no-sandbox')</w:t>
        <w:br/>
        <w:t xml:space="preserve">driver = webdriver.Chrome(options=options)</w:t>
        <w:br/>
        <w:t xml:space="preserve"/>
        <w:br/>
        <w:t xml:space="preserve"># Sélection dans le widget Chosen</w:t>
        <w:br/>
        <w:t xml:space="preserve">wait = WebDriverWait(driver, 15)</w:t>
        <w:br/>
        <w:t xml:space="preserve">select_el = wait.until(EC.presence_of_element_located(</w:t>
        <w:br/>
        <w:t xml:space="preserve">    (By.ID, 'edit-field-societesape-value')</w:t>
        <w:br/>
        <w:t xml:space="preserve">))</w:t>
        <w:br/>
        <w:t xml:space="preserve">Select(select_el).select_by_visible_text(company['cmf_name'])</w:t>
      </w:r>
    </w:p>
    <w:p>
      <w:pPr>
        <w:pStyle w:val="Heading3"/>
        <w:spacing w:after="80" w:before="240"/>
      </w:pPr>
      <w:r>
        <w:rPr>
          <w:rFonts w:ascii="Arial" w:cs="Arial" w:eastAsia="Arial" w:hAnsi="Arial"/>
          <w:b/>
          <w:bCs/>
          <w:color w:val="2E2E38"/>
          <w:sz w:val="22"/>
          <w:szCs w:val="22"/>
        </w:rPr>
        <w:t xml:space="preserve">Registre des compagnies : config/company_registry.py</w:t>
      </w:r>
    </w:p>
    <w:p>
      <w:pPr>
        <w:spacing w:after="80" w:before="60"/>
      </w:pPr>
      <w:r>
        <w:rPr>
          <w:rFonts w:ascii="Arial" w:cs="Arial" w:eastAsia="Arial" w:hAnsi="Arial"/>
          <w:color w:val="0C1B2E"/>
          <w:sz w:val="20"/>
          <w:szCs w:val="20"/>
        </w:rPr>
        <w:t xml:space="preserve">Chaque compagnie est définie par un code court (ex: `'STAR'`), son nom exact tel qu'il apparaît dans le widget CMF (`cmf_name`), et des alias pour les autres sources. Ce registre est maintenu manuellement car le nom exact du widget est critique.</w:t>
      </w:r>
    </w:p>
    <w:p>
      <w:pPr>
        <w:pBdr>
          <w:left w:val="single" w:color="D97706" w:sz="12"/>
        </w:pBdr>
        <w:shd w:fill="F8F9FA" w:color="auto" w:val="clear"/>
        <w:spacing w:after="100" w:before="100"/>
        <w:ind w:left="200" w:right="200"/>
      </w:pPr>
      <w:r>
        <w:rPr>
          <w:rFonts w:ascii="Arial" w:cs="Arial" w:eastAsia="Arial" w:hAnsi="Arial"/>
          <w:b/>
          <w:bCs/>
          <w:color w:val="D97706"/>
          <w:sz w:val="20"/>
          <w:szCs w:val="20"/>
        </w:rPr>
        <w:t xml:space="preserve">⚠  </w:t>
      </w:r>
      <w:r>
        <w:rPr>
          <w:rFonts w:ascii="Arial" w:cs="Arial" w:eastAsia="Arial" w:hAnsi="Arial"/>
          <w:color w:val="0C1B2E"/>
          <w:sz w:val="20"/>
          <w:szCs w:val="20"/>
        </w:rPr>
        <w:t xml:space="preserve">Le champ cmf_name doit correspondre EXACTEMENT à l'option du widget Chosen. Une différence d'espace, d'accent ou de ponctuation provoque un échec silencieux de sélection.</w:t>
      </w:r>
    </w:p>
    <w:p>
      <w:pPr>
        <w:pStyle w:val="Heading3"/>
        <w:spacing w:after="80" w:before="240"/>
      </w:pPr>
      <w:r>
        <w:rPr>
          <w:rFonts w:ascii="Arial" w:cs="Arial" w:eastAsia="Arial" w:hAnsi="Arial"/>
          <w:b/>
          <w:bCs/>
          <w:color w:val="2E2E38"/>
          <w:sz w:val="22"/>
          <w:szCs w:val="22"/>
        </w:rPr>
        <w:t xml:space="preserve">Robustesse du pipeline</w:t>
      </w:r>
    </w:p>
    <w:p>
      <w:pPr>
        <w:spacing w:after="80" w:before="60"/>
      </w:pPr>
      <w:r>
        <w:rPr>
          <w:rFonts w:ascii="Arial" w:cs="Arial" w:eastAsia="Arial" w:hAnsi="Arial"/>
          <w:color w:val="0C1B2E"/>
          <w:sz w:val="20"/>
          <w:szCs w:val="20"/>
        </w:rPr>
        <w:t xml:space="preserve">Chaque compagnie est traitée dans un bloc try/except indépendant dans le pipeline principal (pipelines/cmf_pipeline.py). Un échec sur une compagnie n'interrompt pas le traitement des 23 autres. Un rapport de synthèse est produit en fin de pipeline. La séquence Selenium complète (ouverture de page, sélection de la société, recherche) est elle-même rejouée jusqu'à 3 fois en cas de timeout avant d'abandonner la compagnie en cours pour ce cycle.</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ÉTAPE 2</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2 — Autres Sources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2000"/>
        <w:gridCol w:w="3360"/>
      </w:tblGrid>
      <w:tr>
        <w:trPr>
          <w:tblHeader/>
        </w:trPr>
        <w:tc>
          <w:tcPr>
            <w:tcW w:type="dxa" w:w="1400"/>
            <w:shd w:fill="2E2E38" w:color="auto" w:val="clear"/>
          </w:tcPr>
          <w:p>
            <w:pPr>
              <w:jc w:val="left"/>
            </w:pPr>
            <w:r>
              <w:rPr>
                <w:rFonts w:ascii="Arial" w:cs="Arial" w:eastAsia="Arial" w:hAnsi="Arial"/>
                <w:b/>
                <w:bCs/>
                <w:color w:val="FFE600"/>
                <w:spacing w:val="20"/>
                <w:sz w:val="17"/>
                <w:szCs w:val="17"/>
              </w:rPr>
              <w:t xml:space="preserve">SOURCE</w:t>
            </w:r>
          </w:p>
        </w:tc>
        <w:tc>
          <w:tcPr>
            <w:tcW w:type="dxa" w:w="2600"/>
            <w:shd w:fill="2E2E38" w:color="auto" w:val="clear"/>
          </w:tcPr>
          <w:p>
            <w:pPr>
              <w:jc w:val="left"/>
            </w:pPr>
            <w:r>
              <w:rPr>
                <w:rFonts w:ascii="Arial" w:cs="Arial" w:eastAsia="Arial" w:hAnsi="Arial"/>
                <w:b/>
                <w:bCs/>
                <w:color w:val="FFE600"/>
                <w:spacing w:val="20"/>
                <w:sz w:val="17"/>
                <w:szCs w:val="17"/>
              </w:rPr>
              <w:t xml:space="preserve">FICHIER</w:t>
            </w:r>
          </w:p>
        </w:tc>
        <w:tc>
          <w:tcPr>
            <w:tcW w:type="dxa" w:w="2000"/>
            <w:shd w:fill="2E2E38" w:color="auto" w:val="clear"/>
          </w:tcPr>
          <w:p>
            <w:pPr>
              <w:jc w:val="left"/>
            </w:pPr>
            <w:r>
              <w:rPr>
                <w:rFonts w:ascii="Arial" w:cs="Arial" w:eastAsia="Arial" w:hAnsi="Arial"/>
                <w:b/>
                <w:bCs/>
                <w:color w:val="FFE600"/>
                <w:spacing w:val="20"/>
                <w:sz w:val="17"/>
                <w:szCs w:val="17"/>
              </w:rPr>
              <w:t xml:space="preserve">MÉTHODE</w:t>
            </w:r>
          </w:p>
        </w:tc>
        <w:tc>
          <w:tcPr>
            <w:tcW w:type="dxa" w:w="3360"/>
            <w:shd w:fill="2E2E38" w:color="auto" w:val="clear"/>
          </w:tcPr>
          <w:p>
            <w:pPr>
              <w:jc w:val="left"/>
            </w:pPr>
            <w:r>
              <w:rPr>
                <w:rFonts w:ascii="Arial" w:cs="Arial" w:eastAsia="Arial" w:hAnsi="Arial"/>
                <w:b/>
                <w:bCs/>
                <w:color w:val="FFE600"/>
                <w:spacing w:val="20"/>
                <w:sz w:val="17"/>
                <w:szCs w:val="17"/>
              </w:rPr>
              <w:t xml:space="preserve">DONNÉES EXTRAITES</w:t>
            </w:r>
          </w:p>
        </w:tc>
      </w:tr>
      <w:tr>
        <w:tc>
          <w:tcPr>
            <w:tcW w:type="dxa" w:w="1400"/>
            <w:shd w:fill="FFFFFF" w:color="auto" w:val="clear"/>
          </w:tcPr>
          <w:p>
            <w:pPr>
              <w:spacing w:after="60" w:before="60"/>
            </w:pPr>
            <w:r>
              <w:rPr>
                <w:rFonts w:ascii="Arial" w:cs="Arial" w:eastAsia="Arial" w:hAnsi="Arial"/>
                <w:color w:val="0C1B2E"/>
                <w:sz w:val="18"/>
                <w:szCs w:val="18"/>
              </w:rPr>
              <w:t xml:space="preserve">FTUSA</w:t>
            </w:r>
          </w:p>
        </w:tc>
        <w:tc>
          <w:tcPr>
            <w:tcW w:type="dxa" w:w="2600"/>
            <w:shd w:fill="FFFFFF" w:color="auto" w:val="clear"/>
          </w:tcPr>
          <w:p>
            <w:pPr>
              <w:spacing w:after="60" w:before="60"/>
            </w:pPr>
            <w:r>
              <w:rPr>
                <w:rFonts w:ascii="Arial" w:cs="Arial" w:eastAsia="Arial" w:hAnsi="Arial"/>
                <w:color w:val="0C1B2E"/>
                <w:sz w:val="18"/>
                <w:szCs w:val="18"/>
              </w:rPr>
              <w:t xml:space="preserve">scraping/ftusa_scraper.py</w:t>
            </w:r>
          </w:p>
        </w:tc>
        <w:tc>
          <w:tcPr>
            <w:tcW w:type="dxa" w:w="2000"/>
            <w:shd w:fill="FFFFFF" w:color="auto" w:val="clear"/>
          </w:tcPr>
          <w:p>
            <w:pPr>
              <w:spacing w:after="60" w:before="60"/>
            </w:pPr>
            <w:r>
              <w:rPr>
                <w:rFonts w:ascii="Arial" w:cs="Arial" w:eastAsia="Arial" w:hAnsi="Arial"/>
                <w:color w:val="0C1B2E"/>
                <w:sz w:val="18"/>
                <w:szCs w:val="18"/>
              </w:rPr>
              <w:t xml:space="preserve">Requests + BeautifulSoup</w:t>
            </w:r>
          </w:p>
        </w:tc>
        <w:tc>
          <w:tcPr>
            <w:tcW w:type="dxa" w:w="3360"/>
            <w:shd w:fill="FFFFFF" w:color="auto" w:val="clear"/>
          </w:tcPr>
          <w:p>
            <w:pPr>
              <w:spacing w:after="60" w:before="60"/>
            </w:pPr>
            <w:r>
              <w:rPr>
                <w:rFonts w:ascii="Arial" w:cs="Arial" w:eastAsia="Arial" w:hAnsi="Arial"/>
                <w:color w:val="0C1B2E"/>
                <w:sz w:val="18"/>
                <w:szCs w:val="18"/>
              </w:rPr>
              <w:t xml:space="preserve">Total primes marché, sinistralité, répartition Vie/Non-Vie par année</w:t>
            </w:r>
          </w:p>
        </w:tc>
      </w:tr>
      <w:tr>
        <w:tc>
          <w:tcPr>
            <w:tcW w:type="dxa" w:w="1400"/>
            <w:shd w:fill="F8F9FA" w:color="auto" w:val="clear"/>
          </w:tcPr>
          <w:p>
            <w:pPr>
              <w:spacing w:after="60" w:before="60"/>
            </w:pPr>
            <w:r>
              <w:rPr>
                <w:rFonts w:ascii="Arial" w:cs="Arial" w:eastAsia="Arial" w:hAnsi="Arial"/>
                <w:color w:val="0C1B2E"/>
                <w:sz w:val="18"/>
                <w:szCs w:val="18"/>
              </w:rPr>
              <w:t xml:space="preserve">INS</w:t>
            </w:r>
          </w:p>
        </w:tc>
        <w:tc>
          <w:tcPr>
            <w:tcW w:type="dxa" w:w="2600"/>
            <w:shd w:fill="F8F9FA" w:color="auto" w:val="clear"/>
          </w:tcPr>
          <w:p>
            <w:pPr>
              <w:spacing w:after="60" w:before="60"/>
            </w:pPr>
            <w:r>
              <w:rPr>
                <w:rFonts w:ascii="Arial" w:cs="Arial" w:eastAsia="Arial" w:hAnsi="Arial"/>
                <w:color w:val="0C1B2E"/>
                <w:sz w:val="18"/>
                <w:szCs w:val="18"/>
              </w:rPr>
              <w:t xml:space="preserve">scraping/ins_scraper.py</w:t>
            </w:r>
          </w:p>
        </w:tc>
        <w:tc>
          <w:tcPr>
            <w:tcW w:type="dxa" w:w="2000"/>
            <w:shd w:fill="F8F9FA" w:color="auto" w:val="clear"/>
          </w:tcPr>
          <w:p>
            <w:pPr>
              <w:spacing w:after="60" w:before="60"/>
            </w:pPr>
            <w:r>
              <w:rPr>
                <w:rFonts w:ascii="Arial" w:cs="Arial" w:eastAsia="Arial" w:hAnsi="Arial"/>
                <w:color w:val="0C1B2E"/>
                <w:sz w:val="18"/>
                <w:szCs w:val="18"/>
              </w:rPr>
              <w:t xml:space="preserve">Requests + BeautifulSoup</w:t>
            </w:r>
          </w:p>
        </w:tc>
        <w:tc>
          <w:tcPr>
            <w:tcW w:type="dxa" w:w="3360"/>
            <w:shd w:fill="F8F9FA" w:color="auto" w:val="clear"/>
          </w:tcPr>
          <w:p>
            <w:pPr>
              <w:spacing w:after="60" w:before="60"/>
            </w:pPr>
            <w:r>
              <w:rPr>
                <w:rFonts w:ascii="Arial" w:cs="Arial" w:eastAsia="Arial" w:hAnsi="Arial"/>
                <w:color w:val="0C1B2E"/>
                <w:sz w:val="18"/>
                <w:szCs w:val="18"/>
              </w:rPr>
              <w:t xml:space="preserve">PIB nominal annuel, population — pour taux de pénétration et densité</w:t>
            </w:r>
          </w:p>
        </w:tc>
      </w:tr>
      <w:tr>
        <w:tc>
          <w:tcPr>
            <w:tcW w:type="dxa" w:w="1400"/>
            <w:shd w:fill="FFFFFF" w:color="auto" w:val="clear"/>
          </w:tcPr>
          <w:p>
            <w:pPr>
              <w:spacing w:after="60" w:before="60"/>
            </w:pPr>
            <w:r>
              <w:rPr>
                <w:rFonts w:ascii="Arial" w:cs="Arial" w:eastAsia="Arial" w:hAnsi="Arial"/>
                <w:color w:val="0C1B2E"/>
                <w:sz w:val="18"/>
                <w:szCs w:val="18"/>
              </w:rPr>
              <w:t xml:space="preserve">BVMT</w:t>
            </w:r>
          </w:p>
        </w:tc>
        <w:tc>
          <w:tcPr>
            <w:tcW w:type="dxa" w:w="2600"/>
            <w:shd w:fill="FFFFFF" w:color="auto" w:val="clear"/>
          </w:tcPr>
          <w:p>
            <w:pPr>
              <w:spacing w:after="60" w:before="60"/>
            </w:pPr>
            <w:r>
              <w:rPr>
                <w:rFonts w:ascii="Arial" w:cs="Arial" w:eastAsia="Arial" w:hAnsi="Arial"/>
                <w:color w:val="0C1B2E"/>
                <w:sz w:val="18"/>
                <w:szCs w:val="18"/>
              </w:rPr>
              <w:t xml:space="preserve">scraping/bvmt_scraper.py</w:t>
            </w:r>
          </w:p>
        </w:tc>
        <w:tc>
          <w:tcPr>
            <w:tcW w:type="dxa" w:w="2000"/>
            <w:shd w:fill="FFFFFF" w:color="auto" w:val="clear"/>
          </w:tcPr>
          <w:p>
            <w:pPr>
              <w:spacing w:after="60" w:before="60"/>
            </w:pPr>
            <w:r>
              <w:rPr>
                <w:rFonts w:ascii="Arial" w:cs="Arial" w:eastAsia="Arial" w:hAnsi="Arial"/>
                <w:color w:val="0C1B2E"/>
                <w:sz w:val="18"/>
                <w:szCs w:val="18"/>
              </w:rPr>
              <w:t xml:space="preserve">Requests + BeautifulSoup</w:t>
            </w:r>
          </w:p>
        </w:tc>
        <w:tc>
          <w:tcPr>
            <w:tcW w:type="dxa" w:w="3360"/>
            <w:shd w:fill="FFFFFF" w:color="auto" w:val="clear"/>
          </w:tcPr>
          <w:p>
            <w:pPr>
              <w:spacing w:after="60" w:before="60"/>
            </w:pPr>
            <w:r>
              <w:rPr>
                <w:rFonts w:ascii="Arial" w:cs="Arial" w:eastAsia="Arial" w:hAnsi="Arial"/>
                <w:color w:val="0C1B2E"/>
                <w:sz w:val="18"/>
                <w:szCs w:val="18"/>
              </w:rPr>
              <w:t xml:space="preserve">Cours boursiers des compagnies cotées, capitalisation, PER</w:t>
            </w:r>
          </w:p>
        </w:tc>
      </w:tr>
      <w:tr>
        <w:tc>
          <w:tcPr>
            <w:tcW w:type="dxa" w:w="1400"/>
            <w:shd w:fill="F8F9FA" w:color="auto" w:val="clear"/>
          </w:tcPr>
          <w:p>
            <w:pPr>
              <w:spacing w:after="60" w:before="60"/>
            </w:pPr>
            <w:r>
              <w:rPr>
                <w:rFonts w:ascii="Arial" w:cs="Arial" w:eastAsia="Arial" w:hAnsi="Arial"/>
                <w:color w:val="0C1B2E"/>
                <w:sz w:val="18"/>
                <w:szCs w:val="18"/>
              </w:rPr>
              <w:t xml:space="preserve">CGA</w:t>
            </w:r>
          </w:p>
        </w:tc>
        <w:tc>
          <w:tcPr>
            <w:tcW w:type="dxa" w:w="2600"/>
            <w:shd w:fill="F8F9FA" w:color="auto" w:val="clear"/>
          </w:tcPr>
          <w:p>
            <w:pPr>
              <w:spacing w:after="60" w:before="60"/>
            </w:pPr>
            <w:r>
              <w:rPr>
                <w:rFonts w:ascii="Arial" w:cs="Arial" w:eastAsia="Arial" w:hAnsi="Arial"/>
                <w:color w:val="0C1B2E"/>
                <w:sz w:val="18"/>
                <w:szCs w:val="18"/>
              </w:rPr>
              <w:t xml:space="preserve">scraping/cga_scraper.py</w:t>
            </w:r>
          </w:p>
        </w:tc>
        <w:tc>
          <w:tcPr>
            <w:tcW w:type="dxa" w:w="2000"/>
            <w:shd w:fill="F8F9FA" w:color="auto" w:val="clear"/>
          </w:tcPr>
          <w:p>
            <w:pPr>
              <w:spacing w:after="60" w:before="60"/>
            </w:pPr>
            <w:r>
              <w:rPr>
                <w:rFonts w:ascii="Arial" w:cs="Arial" w:eastAsia="Arial" w:hAnsi="Arial"/>
                <w:color w:val="0C1B2E"/>
                <w:sz w:val="18"/>
                <w:szCs w:val="18"/>
              </w:rPr>
              <w:t xml:space="preserve">Requests + BeautifulSoup</w:t>
            </w:r>
          </w:p>
        </w:tc>
        <w:tc>
          <w:tcPr>
            <w:tcW w:type="dxa" w:w="3360"/>
            <w:shd w:fill="F8F9FA" w:color="auto" w:val="clear"/>
          </w:tcPr>
          <w:p>
            <w:pPr>
              <w:spacing w:after="60" w:before="60"/>
            </w:pPr>
            <w:r>
              <w:rPr>
                <w:rFonts w:ascii="Arial" w:cs="Arial" w:eastAsia="Arial" w:hAnsi="Arial"/>
                <w:color w:val="0C1B2E"/>
                <w:sz w:val="18"/>
                <w:szCs w:val="18"/>
              </w:rPr>
              <w:t xml:space="preserve">Circulaires réglementaires, textes de loi sectoriels</w:t>
            </w:r>
          </w:p>
        </w:tc>
      </w:tr>
      <w:tr>
        <w:tc>
          <w:tcPr>
            <w:tcW w:type="dxa" w:w="1400"/>
            <w:shd w:fill="FFFFFF" w:color="auto" w:val="clear"/>
          </w:tcPr>
          <w:p>
            <w:pPr>
              <w:spacing w:after="60" w:before="60"/>
            </w:pPr>
            <w:r>
              <w:rPr>
                <w:rFonts w:ascii="Arial" w:cs="Arial" w:eastAsia="Arial" w:hAnsi="Arial"/>
                <w:color w:val="0C1B2E"/>
                <w:sz w:val="18"/>
                <w:szCs w:val="18"/>
              </w:rPr>
              <w:t xml:space="preserve">Presse (IlBoursa, Atlas-Mag)</w:t>
            </w:r>
          </w:p>
        </w:tc>
        <w:tc>
          <w:tcPr>
            <w:tcW w:type="dxa" w:w="2600"/>
            <w:shd w:fill="FFFFFF" w:color="auto" w:val="clear"/>
          </w:tcPr>
          <w:p>
            <w:pPr>
              <w:spacing w:after="60" w:before="60"/>
            </w:pPr>
            <w:r>
              <w:rPr>
                <w:rFonts w:ascii="Arial" w:cs="Arial" w:eastAsia="Arial" w:hAnsi="Arial"/>
                <w:color w:val="0C1B2E"/>
                <w:sz w:val="18"/>
                <w:szCs w:val="18"/>
              </w:rPr>
              <w:t xml:space="preserve">docs/veille/backend/scraper_actualites.py</w:t>
            </w:r>
          </w:p>
        </w:tc>
        <w:tc>
          <w:tcPr>
            <w:tcW w:type="dxa" w:w="2000"/>
            <w:shd w:fill="FFFFFF" w:color="auto" w:val="clear"/>
          </w:tcPr>
          <w:p>
            <w:pPr>
              <w:spacing w:after="60" w:before="60"/>
            </w:pPr>
            <w:r>
              <w:rPr>
                <w:rFonts w:ascii="Arial" w:cs="Arial" w:eastAsia="Arial" w:hAnsi="Arial"/>
                <w:color w:val="0C1B2E"/>
                <w:sz w:val="18"/>
                <w:szCs w:val="18"/>
              </w:rPr>
              <w:t xml:space="preserve">Requests + BeautifulSoup + RSS</w:t>
            </w:r>
          </w:p>
        </w:tc>
        <w:tc>
          <w:tcPr>
            <w:tcW w:type="dxa" w:w="3360"/>
            <w:shd w:fill="FFFFFF" w:color="auto" w:val="clear"/>
          </w:tcPr>
          <w:p>
            <w:pPr>
              <w:spacing w:after="60" w:before="60"/>
            </w:pPr>
            <w:r>
              <w:rPr>
                <w:rFonts w:ascii="Arial" w:cs="Arial" w:eastAsia="Arial" w:hAnsi="Arial"/>
                <w:color w:val="0C1B2E"/>
                <w:sz w:val="18"/>
                <w:szCs w:val="18"/>
              </w:rPr>
              <w:t xml:space="preserve">Articles, séminaires, événements (titre, résumé, date, lien source)</w:t>
            </w:r>
          </w:p>
        </w:tc>
      </w:tr>
    </w:tbl>
    <w:p>
      <w:pPr>
        <w:spacing w:after="0" w:before="120"/>
      </w:pPr>
      <w:r>
        <w:t xml:space="preserve"/>
      </w:r>
    </w:p>
    <w:p>
      <w:pPr>
        <w:pBdr>
          <w:left w:val="single" w:color="1A73E8" w:sz="12"/>
        </w:pBdr>
        <w:shd w:fill="F8F9FA" w:color="auto" w:val="clear"/>
        <w:spacing w:after="100" w:before="100"/>
        <w:ind w:left="200" w:right="200"/>
      </w:pPr>
      <w:r>
        <w:rPr>
          <w:rFonts w:ascii="Arial" w:cs="Arial" w:eastAsia="Arial" w:hAnsi="Arial"/>
          <w:b/>
          <w:bCs/>
          <w:color w:val="1A73E8"/>
          <w:sz w:val="20"/>
          <w:szCs w:val="20"/>
        </w:rPr>
        <w:t xml:space="preserve">ℹ  </w:t>
      </w:r>
      <w:r>
        <w:rPr>
          <w:rFonts w:ascii="Arial" w:cs="Arial" w:eastAsia="Arial" w:hAnsi="Arial"/>
          <w:color w:val="0C1B2E"/>
          <w:sz w:val="20"/>
          <w:szCs w:val="20"/>
        </w:rPr>
        <w:t xml:space="preserve">Justification Requests+BS4 vs Selenium pour ces sources : elles utilisent du HTML statique ou paginé sans JavaScript dynamique. Requests+BeautifulSoup est 10× plus rapide et ne nécessite pas un navigateur complet en mémoire.</w:t>
      </w:r>
    </w:p>
    <w:p>
      <w:pPr>
        <w:pStyle w:val="Heading3"/>
        <w:spacing w:after="80" w:before="240"/>
      </w:pPr>
      <w:r>
        <w:rPr>
          <w:rFonts w:ascii="Arial" w:cs="Arial" w:eastAsia="Arial" w:hAnsi="Arial"/>
          <w:b/>
          <w:bCs/>
          <w:color w:val="2E2E38"/>
          <w:sz w:val="22"/>
          <w:szCs w:val="22"/>
        </w:rPr>
        <w:t xml:space="preserve">Pipeline de veille (automatisé séparément)</w:t>
      </w:r>
    </w:p>
    <w:p>
      <w:pPr>
        <w:spacing w:after="80" w:before="60"/>
      </w:pPr>
      <w:r>
        <w:rPr>
          <w:rFonts w:ascii="Arial" w:cs="Arial" w:eastAsia="Arial" w:hAnsi="Arial"/>
          <w:color w:val="0C1B2E"/>
          <w:sz w:val="20"/>
          <w:szCs w:val="20"/>
        </w:rPr>
        <w:t xml:space="preserve">Les scrapers de veille tournent plus fréquemment (quotidien ou bi-quotidien) car IlBoursa et Atlas-Mag publient des articles plusieurs fois par jour. La déduplication est gérée par hash du titre + date avant insertion en base.</w:t>
      </w:r>
    </w:p>
    <w:p>
      <w:pPr>
        <w:pStyle w:val="Heading3"/>
        <w:spacing w:after="80" w:before="240"/>
      </w:pPr>
      <w:r>
        <w:rPr>
          <w:rFonts w:ascii="Arial" w:cs="Arial" w:eastAsia="Arial" w:hAnsi="Arial"/>
          <w:b/>
          <w:bCs/>
          <w:color w:val="2E2E38"/>
          <w:sz w:val="22"/>
          <w:szCs w:val="22"/>
        </w:rPr>
        <w:t xml:space="preserve">Robustesse de la collecte (retry automatique)</w:t>
      </w:r>
    </w:p>
    <w:p>
      <w:pPr>
        <w:spacing w:after="80" w:before="60"/>
      </w:pPr>
      <w:r>
        <w:rPr>
          <w:rFonts w:ascii="Arial" w:cs="Arial" w:eastAsia="Arial" w:hAnsi="Arial"/>
          <w:color w:val="0C1B2E"/>
          <w:sz w:val="20"/>
          <w:szCs w:val="20"/>
        </w:rPr>
        <w:t xml:space="preserve">Chaque requête HTTP vers FTUSA, CGA et INS est rejouée automatiquement jusqu'à 3 tentatives (délai croissant : 1,5s entre chaque essai) en cas d'échec réseau ponctuel (timeout, erreur 5xx passagère), avant d'être considérée comme un vrai échec pour ce cycle.</w:t>
      </w:r>
    </w:p>
    <w:p>
      <w:pPr>
        <w:spacing w:after="80" w:before="60"/>
      </w:pPr>
      <w:r>
        <w:rPr>
          <w:rFonts w:ascii="Arial" w:cs="Arial" w:eastAsia="Arial" w:hAnsi="Arial"/>
          <w:color w:val="0C1B2E"/>
          <w:sz w:val="20"/>
          <w:szCs w:val="20"/>
        </w:rPr>
        <w:t xml:space="preserve">L'orchestrateur pipelines/run_pipeline.py (planifié en cron/Task Scheduler) va plus loin : il distingue, pour chaque source, un succès normal, un succès à 0 nouveau document (peut être légitime — rien de neuf publié cette semaine) et un échec réel après 3 tentatives avec backoff exponentiel (2s, 4s, 8s). Cette distinction est journalisée en JSON Lines (logs/pipeline.log) et affichée dans un rapport HTML généré à chaque exécution (reports/pipeline_run_&lt;horodatage&gt;.html).</w:t>
      </w:r>
    </w:p>
    <w:p>
      <w:pPr>
        <w:pBdr>
          <w:left w:val="single" w:color="0D7A3E" w:sz="12"/>
        </w:pBdr>
        <w:shd w:fill="F8F9FA" w:color="auto" w:val="clear"/>
        <w:spacing w:after="100" w:before="100"/>
        <w:ind w:left="200" w:right="200"/>
      </w:pPr>
      <w:r>
        <w:rPr>
          <w:rFonts w:ascii="Arial" w:cs="Arial" w:eastAsia="Arial" w:hAnsi="Arial"/>
          <w:b/>
          <w:bCs/>
          <w:color w:val="0D7A3E"/>
          <w:sz w:val="20"/>
          <w:szCs w:val="20"/>
        </w:rPr>
        <w:t xml:space="preserve">✓  </w:t>
      </w:r>
      <w:r>
        <w:rPr>
          <w:rFonts w:ascii="Arial" w:cs="Arial" w:eastAsia="Arial" w:hAnsi="Arial"/>
          <w:color w:val="0C1B2E"/>
          <w:sz w:val="20"/>
          <w:szCs w:val="20"/>
        </w:rPr>
        <w:t xml:space="preserve">Résultat : une panne silencieuse (ex. le site d'une source change de structure sans lever d'erreur) reste désormais visible — au lieu de se confondre avec une semaine normale sans nouvelle publication.</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PARTIE II — PIPELINE D'EXTRACTION PDF</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3 — Détection des Sections PDF</w:t>
      </w:r>
    </w:p>
    <w:p>
      <w:pPr>
        <w:spacing w:after="80" w:before="60"/>
      </w:pPr>
      <w:r>
        <w:rPr>
          <w:rFonts w:ascii="Arial" w:cs="Arial" w:eastAsia="Arial" w:hAnsi="Arial"/>
          <w:color w:val="0C1B2E"/>
          <w:sz w:val="20"/>
          <w:szCs w:val="20"/>
        </w:rPr>
        <w:t xml:space="preserve">Fichier principal : api/services/pdf_sections.py</w:t>
      </w:r>
    </w:p>
    <w:p>
      <w:pPr>
        <w:pStyle w:val="Heading3"/>
        <w:spacing w:after="80" w:before="240"/>
      </w:pPr>
      <w:r>
        <w:rPr>
          <w:rFonts w:ascii="Arial" w:cs="Arial" w:eastAsia="Arial" w:hAnsi="Arial"/>
          <w:b/>
          <w:bCs/>
          <w:color w:val="2E2E38"/>
          <w:sz w:val="22"/>
          <w:szCs w:val="22"/>
        </w:rPr>
        <w:t xml:space="preserve">Problème fondamental</w:t>
      </w:r>
    </w:p>
    <w:p>
      <w:pPr>
        <w:spacing w:after="80" w:before="60"/>
      </w:pPr>
      <w:r>
        <w:rPr>
          <w:rFonts w:ascii="Arial" w:cs="Arial" w:eastAsia="Arial" w:hAnsi="Arial"/>
          <w:color w:val="0C1B2E"/>
          <w:sz w:val="20"/>
          <w:szCs w:val="20"/>
        </w:rPr>
        <w:t xml:space="preserve">Les 24 compagnies n'utilisent pas de structure PDF uniforme. Un rapport peut faire 200 à 400 pages. L'Annexe 12 (résultats techniques Vie) peut se trouver en page 85 ou en page 210 selon la compagnie. Une détection naïve par le texte 'Annexe 12' retournerait la table des matières au lieu du vrai tableau de données.</w:t>
      </w:r>
    </w:p>
    <w:p>
      <w:pPr>
        <w:pStyle w:val="Heading3"/>
        <w:spacing w:after="80" w:before="240"/>
      </w:pPr>
      <w:r>
        <w:rPr>
          <w:rFonts w:ascii="Arial" w:cs="Arial" w:eastAsia="Arial" w:hAnsi="Arial"/>
          <w:b/>
          <w:bCs/>
          <w:color w:val="2E2E38"/>
          <w:sz w:val="22"/>
          <w:szCs w:val="22"/>
        </w:rPr>
        <w:t xml:space="preserve">Solution : système de scoring pondéré multi-couches</w:t>
      </w:r>
    </w:p>
    <w:p>
      <w:pPr>
        <w:pStyle w:val="Heading4"/>
        <w:spacing w:after="60" w:before="180"/>
      </w:pPr>
      <w:r>
        <w:rPr>
          <w:rFonts w:ascii="Arial" w:cs="Arial" w:eastAsia="Arial" w:hAnsi="Arial"/>
          <w:b/>
          <w:bCs/>
          <w:color w:val="5C5C6E"/>
          <w:spacing w:val="30"/>
          <w:sz w:val="18"/>
          <w:szCs w:val="18"/>
        </w:rPr>
        <w:t xml:space="preserve">COUCHE 1 — PRÉ-FILTRE REQUIRED PATTERNS</w:t>
      </w:r>
    </w:p>
    <w:p>
      <w:pPr>
        <w:spacing w:after="80" w:before="60"/>
      </w:pPr>
      <w:r>
        <w:rPr>
          <w:rFonts w:ascii="Arial" w:cs="Arial" w:eastAsia="Arial" w:hAnsi="Arial"/>
          <w:color w:val="0C1B2E"/>
          <w:sz w:val="20"/>
          <w:szCs w:val="20"/>
        </w:rPr>
        <w:t xml:space="preserve">Avant tout scoring, une page candidate doit contenir au moins un terme qui ne peut physiquement apparaître que dans le corps du tableau (jamais en TOC ou page titre) :</w:t>
      </w:r>
    </w:p>
    <w:p>
      <w:pPr>
        <w:pStyle w:val="ListParagraph"/>
        <w:numPr>
          <w:ilvl w:val="0"/>
          <w:numId w:val="2"/>
        </w:numPr>
        <w:spacing w:after="40" w:before="40"/>
        <w:ind w:left="360" w:hanging="360"/>
      </w:pPr>
      <w:r>
        <w:rPr>
          <w:rFonts w:ascii="Arial" w:cs="Arial" w:eastAsia="Arial" w:hAnsi="Arial"/>
          <w:b/>
          <w:bCs/>
          <w:color w:val="0C1B2E"/>
          <w:sz w:val="20"/>
          <w:szCs w:val="20"/>
        </w:rPr>
        <w:t xml:space="preserve">Annexe 12 :</w:t>
      </w:r>
      <w:r>
        <w:rPr>
          <w:rFonts w:ascii="Arial" w:cs="Arial" w:eastAsia="Arial" w:hAnsi="Arial"/>
          <w:color w:val="0C1B2E"/>
          <w:sz w:val="20"/>
          <w:szCs w:val="20"/>
        </w:rPr>
        <w:t xml:space="preserve"> </w:t>
      </w:r>
      <w:r>
        <w:rPr>
          <w:rFonts w:ascii="Courier New" w:cs="Courier New" w:eastAsia="Courier New" w:hAnsi="Courier New"/>
          <w:color w:val="1A73E8"/>
          <w:sz w:val="18"/>
          <w:szCs w:val="18"/>
        </w:rPr>
        <w:t xml:space="preserve">'vie individuelle'</w:t>
      </w:r>
      <w:r>
        <w:rPr>
          <w:rFonts w:ascii="Arial" w:cs="Arial" w:eastAsia="Arial" w:hAnsi="Arial"/>
          <w:color w:val="0C1B2E"/>
          <w:sz w:val="20"/>
          <w:szCs w:val="20"/>
        </w:rPr>
        <w:t xml:space="preserve"> ou </w:t>
      </w:r>
      <w:r>
        <w:rPr>
          <w:rFonts w:ascii="Courier New" w:cs="Courier New" w:eastAsia="Courier New" w:hAnsi="Courier New"/>
          <w:color w:val="1A73E8"/>
          <w:sz w:val="18"/>
          <w:szCs w:val="18"/>
        </w:rPr>
        <w:t xml:space="preserve">'vie collective'</w:t>
      </w:r>
    </w:p>
    <w:p>
      <w:pPr>
        <w:pStyle w:val="ListParagraph"/>
        <w:numPr>
          <w:ilvl w:val="0"/>
          <w:numId w:val="2"/>
        </w:numPr>
        <w:spacing w:after="40" w:before="40"/>
        <w:ind w:left="360" w:hanging="360"/>
      </w:pPr>
      <w:r>
        <w:rPr>
          <w:rFonts w:ascii="Arial" w:cs="Arial" w:eastAsia="Arial" w:hAnsi="Arial"/>
          <w:b/>
          <w:bCs/>
          <w:color w:val="0C1B2E"/>
          <w:sz w:val="20"/>
          <w:szCs w:val="20"/>
        </w:rPr>
        <w:t xml:space="preserve">Annexe 13 :</w:t>
      </w:r>
      <w:r>
        <w:rPr>
          <w:rFonts w:ascii="Arial" w:cs="Arial" w:eastAsia="Arial" w:hAnsi="Arial"/>
          <w:color w:val="0C1B2E"/>
          <w:sz w:val="20"/>
          <w:szCs w:val="20"/>
        </w:rPr>
        <w:t xml:space="preserve"> </w:t>
      </w:r>
      <w:r>
        <w:rPr>
          <w:rFonts w:ascii="Courier New" w:cs="Courier New" w:eastAsia="Courier New" w:hAnsi="Courier New"/>
          <w:color w:val="1A73E8"/>
          <w:sz w:val="18"/>
          <w:szCs w:val="18"/>
        </w:rPr>
        <w:t xml:space="preserve">'automobile'</w:t>
      </w:r>
      <w:r>
        <w:rPr>
          <w:rFonts w:ascii="Arial" w:cs="Arial" w:eastAsia="Arial" w:hAnsi="Arial"/>
          <w:color w:val="0C1B2E"/>
          <w:sz w:val="20"/>
          <w:szCs w:val="20"/>
        </w:rPr>
        <w:t xml:space="preserve">, </w:t>
      </w:r>
      <w:r>
        <w:rPr>
          <w:rFonts w:ascii="Courier New" w:cs="Courier New" w:eastAsia="Courier New" w:hAnsi="Courier New"/>
          <w:color w:val="1A73E8"/>
          <w:sz w:val="18"/>
          <w:szCs w:val="18"/>
        </w:rPr>
        <w:t xml:space="preserve">'incendie'</w:t>
      </w:r>
      <w:r>
        <w:rPr>
          <w:rFonts w:ascii="Arial" w:cs="Arial" w:eastAsia="Arial" w:hAnsi="Arial"/>
          <w:color w:val="0C1B2E"/>
          <w:sz w:val="20"/>
          <w:szCs w:val="20"/>
        </w:rPr>
        <w:t xml:space="preserve">, </w:t>
      </w:r>
      <w:r>
        <w:rPr>
          <w:rFonts w:ascii="Courier New" w:cs="Courier New" w:eastAsia="Courier New" w:hAnsi="Courier New"/>
          <w:color w:val="1A73E8"/>
          <w:sz w:val="18"/>
          <w:szCs w:val="18"/>
        </w:rPr>
        <w:t xml:space="preserve">'responsabilite civile'</w:t>
      </w:r>
      <w:r>
        <w:rPr>
          <w:rFonts w:ascii="Arial" w:cs="Arial" w:eastAsia="Arial" w:hAnsi="Arial"/>
          <w:color w:val="0C1B2E"/>
          <w:sz w:val="20"/>
          <w:szCs w:val="20"/>
        </w:rPr>
        <w:t xml:space="preserve">, </w:t>
      </w:r>
      <w:r>
        <w:rPr>
          <w:rFonts w:ascii="Courier New" w:cs="Courier New" w:eastAsia="Courier New" w:hAnsi="Courier New"/>
          <w:color w:val="1A73E8"/>
          <w:sz w:val="18"/>
          <w:szCs w:val="18"/>
        </w:rPr>
        <w:t xml:space="preserve">'transport'</w:t>
      </w:r>
    </w:p>
    <w:p>
      <w:pPr>
        <w:pBdr>
          <w:left w:val="single" w:color="0D7A3E" w:sz="12"/>
        </w:pBdr>
        <w:shd w:fill="F8F9FA" w:color="auto" w:val="clear"/>
        <w:spacing w:after="100" w:before="100"/>
        <w:ind w:left="200" w:right="200"/>
      </w:pPr>
      <w:r>
        <w:rPr>
          <w:rFonts w:ascii="Arial" w:cs="Arial" w:eastAsia="Arial" w:hAnsi="Arial"/>
          <w:b/>
          <w:bCs/>
          <w:color w:val="0D7A3E"/>
          <w:sz w:val="20"/>
          <w:szCs w:val="20"/>
        </w:rPr>
        <w:t xml:space="preserve">✓  </w:t>
      </w:r>
      <w:r>
        <w:rPr>
          <w:rFonts w:ascii="Arial" w:cs="Arial" w:eastAsia="Arial" w:hAnsi="Arial"/>
          <w:color w:val="0C1B2E"/>
          <w:sz w:val="20"/>
          <w:szCs w:val="20"/>
        </w:rPr>
        <w:t xml:space="preserve">Ces termes sont les en-têtes de colonnes exclusifs du tableau. Ils n'apparaissent JAMAIS dans une table des matières.</w:t>
      </w:r>
    </w:p>
    <w:p>
      <w:pPr>
        <w:pStyle w:val="Heading4"/>
        <w:spacing w:after="60" w:before="180"/>
      </w:pPr>
      <w:r>
        <w:rPr>
          <w:rFonts w:ascii="Arial" w:cs="Arial" w:eastAsia="Arial" w:hAnsi="Arial"/>
          <w:b/>
          <w:bCs/>
          <w:color w:val="5C5C6E"/>
          <w:spacing w:val="30"/>
          <w:sz w:val="18"/>
          <w:szCs w:val="18"/>
        </w:rPr>
        <w:t xml:space="preserve">COUCHE 2 — SCORE BRUT PONDÉRÉ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3600"/>
        <w:gridCol w:w="4560"/>
      </w:tblGrid>
      <w:tr>
        <w:trPr>
          <w:tblHeader/>
        </w:trPr>
        <w:tc>
          <w:tcPr>
            <w:tcW w:type="dxa" w:w="1200"/>
            <w:shd w:fill="2E2E38" w:color="auto" w:val="clear"/>
          </w:tcPr>
          <w:p>
            <w:pPr>
              <w:jc w:val="left"/>
            </w:pPr>
            <w:r>
              <w:rPr>
                <w:rFonts w:ascii="Arial" w:cs="Arial" w:eastAsia="Arial" w:hAnsi="Arial"/>
                <w:b/>
                <w:bCs/>
                <w:color w:val="FFE600"/>
                <w:spacing w:val="20"/>
                <w:sz w:val="17"/>
                <w:szCs w:val="17"/>
              </w:rPr>
              <w:t xml:space="preserve">POIDS</w:t>
            </w:r>
          </w:p>
        </w:tc>
        <w:tc>
          <w:tcPr>
            <w:tcW w:type="dxa" w:w="3600"/>
            <w:shd w:fill="2E2E38" w:color="auto" w:val="clear"/>
          </w:tcPr>
          <w:p>
            <w:pPr>
              <w:jc w:val="left"/>
            </w:pPr>
            <w:r>
              <w:rPr>
                <w:rFonts w:ascii="Arial" w:cs="Arial" w:eastAsia="Arial" w:hAnsi="Arial"/>
                <w:b/>
                <w:bCs/>
                <w:color w:val="FFE600"/>
                <w:spacing w:val="20"/>
                <w:sz w:val="17"/>
                <w:szCs w:val="17"/>
              </w:rPr>
              <w:t xml:space="preserve">SIGNIFICATION</w:t>
            </w:r>
          </w:p>
        </w:tc>
        <w:tc>
          <w:tcPr>
            <w:tcW w:type="dxa" w:w="4560"/>
            <w:shd w:fill="2E2E38" w:color="auto" w:val="clear"/>
          </w:tcPr>
          <w:p>
            <w:pPr>
              <w:jc w:val="left"/>
            </w:pPr>
            <w:r>
              <w:rPr>
                <w:rFonts w:ascii="Arial" w:cs="Arial" w:eastAsia="Arial" w:hAnsi="Arial"/>
                <w:b/>
                <w:bCs/>
                <w:color w:val="FFE600"/>
                <w:spacing w:val="20"/>
                <w:sz w:val="17"/>
                <w:szCs w:val="17"/>
              </w:rPr>
              <w:t xml:space="preserve">EXEMPLE DE PATTERN</w:t>
            </w:r>
          </w:p>
        </w:tc>
      </w:tr>
      <w:tr>
        <w:tc>
          <w:tcPr>
            <w:tcW w:type="dxa" w:w="1200"/>
            <w:shd w:fill="FFFFFF" w:color="auto" w:val="clear"/>
          </w:tcPr>
          <w:p>
            <w:pPr>
              <w:spacing w:after="60" w:before="60"/>
            </w:pPr>
            <w:r>
              <w:rPr>
                <w:rFonts w:ascii="Arial" w:cs="Arial" w:eastAsia="Arial" w:hAnsi="Arial"/>
                <w:color w:val="0C1B2E"/>
                <w:sz w:val="18"/>
                <w:szCs w:val="18"/>
              </w:rPr>
              <w:t xml:space="preserve">5 (très fort)</w:t>
            </w:r>
          </w:p>
        </w:tc>
        <w:tc>
          <w:tcPr>
            <w:tcW w:type="dxa" w:w="3600"/>
            <w:shd w:fill="FFFFFF" w:color="auto" w:val="clear"/>
          </w:tcPr>
          <w:p>
            <w:pPr>
              <w:spacing w:after="60" w:before="60"/>
            </w:pPr>
            <w:r>
              <w:rPr>
                <w:rFonts w:ascii="Arial" w:cs="Arial" w:eastAsia="Arial" w:hAnsi="Arial"/>
                <w:color w:val="0C1B2E"/>
                <w:sz w:val="18"/>
                <w:szCs w:val="18"/>
              </w:rPr>
              <w:t xml:space="preserve">En-tête de colonne du tableau réel</w:t>
            </w:r>
          </w:p>
        </w:tc>
        <w:tc>
          <w:tcPr>
            <w:tcW w:type="dxa" w:w="4560"/>
            <w:shd w:fill="FFFFFF" w:color="auto" w:val="clear"/>
          </w:tcPr>
          <w:p>
            <w:pPr>
              <w:spacing w:after="60" w:before="60"/>
            </w:pPr>
            <w:r>
              <w:rPr>
                <w:rFonts w:ascii="Arial" w:cs="Arial" w:eastAsia="Arial" w:hAnsi="Arial"/>
                <w:color w:val="0C1B2E"/>
                <w:sz w:val="18"/>
                <w:szCs w:val="18"/>
              </w:rPr>
              <w:t xml:space="preserve">'vie individuelle', 'automobile'</w:t>
            </w:r>
          </w:p>
        </w:tc>
      </w:tr>
      <w:tr>
        <w:tc>
          <w:tcPr>
            <w:tcW w:type="dxa" w:w="1200"/>
            <w:shd w:fill="F8F9FA" w:color="auto" w:val="clear"/>
          </w:tcPr>
          <w:p>
            <w:pPr>
              <w:spacing w:after="60" w:before="60"/>
            </w:pPr>
            <w:r>
              <w:rPr>
                <w:rFonts w:ascii="Arial" w:cs="Arial" w:eastAsia="Arial" w:hAnsi="Arial"/>
                <w:color w:val="0C1B2E"/>
                <w:sz w:val="18"/>
                <w:szCs w:val="18"/>
              </w:rPr>
              <w:t xml:space="preserve">4 (fort)</w:t>
            </w:r>
          </w:p>
        </w:tc>
        <w:tc>
          <w:tcPr>
            <w:tcW w:type="dxa" w:w="3600"/>
            <w:shd w:fill="F8F9FA" w:color="auto" w:val="clear"/>
          </w:tcPr>
          <w:p>
            <w:pPr>
              <w:spacing w:after="60" w:before="60"/>
            </w:pPr>
            <w:r>
              <w:rPr>
                <w:rFonts w:ascii="Arial" w:cs="Arial" w:eastAsia="Arial" w:hAnsi="Arial"/>
                <w:color w:val="0C1B2E"/>
                <w:sz w:val="18"/>
                <w:szCs w:val="18"/>
              </w:rPr>
              <w:t xml:space="preserve">Sous-titre de section discriminant</w:t>
            </w:r>
          </w:p>
        </w:tc>
        <w:tc>
          <w:tcPr>
            <w:tcW w:type="dxa" w:w="4560"/>
            <w:shd w:fill="F8F9FA" w:color="auto" w:val="clear"/>
          </w:tcPr>
          <w:p>
            <w:pPr>
              <w:spacing w:after="60" w:before="60"/>
            </w:pPr>
            <w:r>
              <w:rPr>
                <w:rFonts w:ascii="Arial" w:cs="Arial" w:eastAsia="Arial" w:hAnsi="Arial"/>
                <w:color w:val="0C1B2E"/>
                <w:sz w:val="18"/>
                <w:szCs w:val="18"/>
              </w:rPr>
              <w:t xml:space="preserve">'categorie d.assurance vie'</w:t>
            </w:r>
          </w:p>
        </w:tc>
      </w:tr>
      <w:tr>
        <w:tc>
          <w:tcPr>
            <w:tcW w:type="dxa" w:w="1200"/>
            <w:shd w:fill="FFFFFF" w:color="auto" w:val="clear"/>
          </w:tcPr>
          <w:p>
            <w:pPr>
              <w:spacing w:after="60" w:before="60"/>
            </w:pPr>
            <w:r>
              <w:rPr>
                <w:rFonts w:ascii="Arial" w:cs="Arial" w:eastAsia="Arial" w:hAnsi="Arial"/>
                <w:color w:val="0C1B2E"/>
                <w:sz w:val="18"/>
                <w:szCs w:val="18"/>
              </w:rPr>
              <w:t xml:space="preserve">3 (moyen)</w:t>
            </w:r>
          </w:p>
        </w:tc>
        <w:tc>
          <w:tcPr>
            <w:tcW w:type="dxa" w:w="3600"/>
            <w:shd w:fill="FFFFFF" w:color="auto" w:val="clear"/>
          </w:tcPr>
          <w:p>
            <w:pPr>
              <w:spacing w:after="60" w:before="60"/>
            </w:pPr>
            <w:r>
              <w:rPr>
                <w:rFonts w:ascii="Arial" w:cs="Arial" w:eastAsia="Arial" w:hAnsi="Arial"/>
                <w:color w:val="0C1B2E"/>
                <w:sz w:val="18"/>
                <w:szCs w:val="18"/>
              </w:rPr>
              <w:t xml:space="preserve">Libellé structurant de section</w:t>
            </w:r>
          </w:p>
        </w:tc>
        <w:tc>
          <w:tcPr>
            <w:tcW w:type="dxa" w:w="4560"/>
            <w:shd w:fill="FFFFFF" w:color="auto" w:val="clear"/>
          </w:tcPr>
          <w:p>
            <w:pPr>
              <w:spacing w:after="60" w:before="60"/>
            </w:pPr>
            <w:r>
              <w:rPr>
                <w:rFonts w:ascii="Arial" w:cs="Arial" w:eastAsia="Arial" w:hAnsi="Arial"/>
                <w:color w:val="0C1B2E"/>
                <w:sz w:val="18"/>
                <w:szCs w:val="18"/>
              </w:rPr>
              <w:t xml:space="preserve">'resultat technique.*vie'</w:t>
            </w:r>
          </w:p>
        </w:tc>
      </w:tr>
      <w:tr>
        <w:tc>
          <w:tcPr>
            <w:tcW w:type="dxa" w:w="1200"/>
            <w:shd w:fill="F8F9FA" w:color="auto" w:val="clear"/>
          </w:tcPr>
          <w:p>
            <w:pPr>
              <w:spacing w:after="60" w:before="60"/>
            </w:pPr>
            <w:r>
              <w:rPr>
                <w:rFonts w:ascii="Arial" w:cs="Arial" w:eastAsia="Arial" w:hAnsi="Arial"/>
                <w:color w:val="0C1B2E"/>
                <w:sz w:val="18"/>
                <w:szCs w:val="18"/>
              </w:rPr>
              <w:t xml:space="preserve">2 (faible)</w:t>
            </w:r>
          </w:p>
        </w:tc>
        <w:tc>
          <w:tcPr>
            <w:tcW w:type="dxa" w:w="3600"/>
            <w:shd w:fill="F8F9FA" w:color="auto" w:val="clear"/>
          </w:tcPr>
          <w:p>
            <w:pPr>
              <w:spacing w:after="60" w:before="60"/>
            </w:pPr>
            <w:r>
              <w:rPr>
                <w:rFonts w:ascii="Arial" w:cs="Arial" w:eastAsia="Arial" w:hAnsi="Arial"/>
                <w:color w:val="0C1B2E"/>
                <w:sz w:val="18"/>
                <w:szCs w:val="18"/>
              </w:rPr>
              <w:t xml:space="preserve">Libellé de ligne du tableau</w:t>
            </w:r>
          </w:p>
        </w:tc>
        <w:tc>
          <w:tcPr>
            <w:tcW w:type="dxa" w:w="4560"/>
            <w:shd w:fill="F8F9FA" w:color="auto" w:val="clear"/>
          </w:tcPr>
          <w:p>
            <w:pPr>
              <w:spacing w:after="60" w:before="60"/>
            </w:pPr>
            <w:r>
              <w:rPr>
                <w:rFonts w:ascii="Arial" w:cs="Arial" w:eastAsia="Arial" w:hAnsi="Arial"/>
                <w:color w:val="0C1B2E"/>
                <w:sz w:val="18"/>
                <w:szCs w:val="18"/>
              </w:rPr>
              <w:t xml:space="preserve">'sinistres payes'</w:t>
            </w:r>
          </w:p>
        </w:tc>
      </w:tr>
      <w:tr>
        <w:tc>
          <w:tcPr>
            <w:tcW w:type="dxa" w:w="1200"/>
            <w:shd w:fill="FFFFFF" w:color="auto" w:val="clear"/>
          </w:tcPr>
          <w:p>
            <w:pPr>
              <w:spacing w:after="60" w:before="60"/>
            </w:pPr>
            <w:r>
              <w:rPr>
                <w:rFonts w:ascii="Arial" w:cs="Arial" w:eastAsia="Arial" w:hAnsi="Arial"/>
                <w:color w:val="0C1B2E"/>
                <w:sz w:val="18"/>
                <w:szCs w:val="18"/>
              </w:rPr>
              <w:t xml:space="preserve">1 (très faible)</w:t>
            </w:r>
          </w:p>
        </w:tc>
        <w:tc>
          <w:tcPr>
            <w:tcW w:type="dxa" w:w="3600"/>
            <w:shd w:fill="FFFFFF" w:color="auto" w:val="clear"/>
          </w:tcPr>
          <w:p>
            <w:pPr>
              <w:spacing w:after="60" w:before="60"/>
            </w:pPr>
            <w:r>
              <w:rPr>
                <w:rFonts w:ascii="Arial" w:cs="Arial" w:eastAsia="Arial" w:hAnsi="Arial"/>
                <w:color w:val="0C1B2E"/>
                <w:sz w:val="18"/>
                <w:szCs w:val="18"/>
              </w:rPr>
              <w:t xml:space="preserve">Mention générique (peut être en TOC)</w:t>
            </w:r>
          </w:p>
        </w:tc>
        <w:tc>
          <w:tcPr>
            <w:tcW w:type="dxa" w:w="4560"/>
            <w:shd w:fill="FFFFFF" w:color="auto" w:val="clear"/>
          </w:tcPr>
          <w:p>
            <w:pPr>
              <w:spacing w:after="60" w:before="60"/>
            </w:pPr>
            <w:r>
              <w:rPr>
                <w:rFonts w:ascii="Arial" w:cs="Arial" w:eastAsia="Arial" w:hAnsi="Arial"/>
                <w:color w:val="0C1B2E"/>
                <w:sz w:val="18"/>
                <w:szCs w:val="18"/>
              </w:rPr>
              <w:t xml:space="preserve">'annexe n°12'</w:t>
            </w:r>
          </w:p>
        </w:tc>
      </w:tr>
    </w:tbl>
    <w:p>
      <w:pPr>
        <w:pStyle w:val="Heading4"/>
        <w:spacing w:after="60" w:before="180"/>
      </w:pPr>
      <w:r>
        <w:rPr>
          <w:rFonts w:ascii="Arial" w:cs="Arial" w:eastAsia="Arial" w:hAnsi="Arial"/>
          <w:b/>
          <w:bCs/>
          <w:color w:val="5C5C6E"/>
          <w:spacing w:val="30"/>
          <w:sz w:val="18"/>
          <w:szCs w:val="18"/>
        </w:rPr>
        <w:t xml:space="preserve">COUCHE 3 — SCORE NET (ÉLIMINATION DES FAUX POSITIFS)</w:t>
      </w:r>
    </w:p>
    <w:p>
      <w:pPr>
        <w:spacing w:after="80" w:before="60"/>
      </w:pPr>
      <w:r>
        <w:rPr>
          <w:rFonts w:ascii="Arial" w:cs="Arial" w:eastAsia="Arial" w:hAnsi="Arial"/>
          <w:color w:val="0C1B2E"/>
          <w:sz w:val="20"/>
          <w:szCs w:val="20"/>
        </w:rPr>
        <w:t xml:space="preserve">Score net = Score section − Score section concurrente. Une page de TOC mentionnant 'Annexe 12' et 'Annexe 13' obtient un score net ≈ 0. Le vrai tableau Annexe 12 contient 'vie individuelle' (poids 5) mais pas 'automobile' → score net fortement positif.</w:t>
      </w:r>
    </w:p>
    <w:p>
      <w:pPr>
        <w:pStyle w:val="Heading4"/>
        <w:spacing w:after="60" w:before="180"/>
      </w:pPr>
      <w:r>
        <w:rPr>
          <w:rFonts w:ascii="Arial" w:cs="Arial" w:eastAsia="Arial" w:hAnsi="Arial"/>
          <w:b/>
          <w:bCs/>
          <w:color w:val="5C5C6E"/>
          <w:spacing w:val="30"/>
          <w:sz w:val="18"/>
          <w:szCs w:val="18"/>
        </w:rPr>
        <w:t xml:space="preserve">COUCHE 4 — CONTRAINTE D'ORDRE STRUCTUREL</w:t>
      </w:r>
    </w:p>
    <w:p>
      <w:pPr>
        <w:spacing w:after="80" w:before="60"/>
      </w:pPr>
      <w:r>
        <w:rPr>
          <w:rFonts w:ascii="Arial" w:cs="Arial" w:eastAsia="Arial" w:hAnsi="Arial"/>
          <w:color w:val="0C1B2E"/>
          <w:sz w:val="20"/>
          <w:szCs w:val="20"/>
        </w:rPr>
        <w:t xml:space="preserve">L'Annexe 12 (Vie) précède toujours l'Annexe 13 (Non-Vie) dans tout rapport structuré réglementairement. Si l'algorithme trouve A12 en page 120 et A13 en page 80, il tente de corriger en cherchant la meilleure paire valide (p12 &lt; p13).</w:t>
      </w:r>
    </w:p>
    <w:p>
      <w:pPr>
        <w:pStyle w:val="Heading4"/>
        <w:spacing w:after="60" w:before="180"/>
      </w:pPr>
      <w:r>
        <w:rPr>
          <w:rFonts w:ascii="Arial" w:cs="Arial" w:eastAsia="Arial" w:hAnsi="Arial"/>
          <w:b/>
          <w:bCs/>
          <w:color w:val="5C5C6E"/>
          <w:spacing w:val="30"/>
          <w:sz w:val="18"/>
          <w:szCs w:val="18"/>
        </w:rPr>
        <w:t xml:space="preserve">FALLBACK : MODE DÉGRADÉ</w:t>
      </w:r>
    </w:p>
    <w:p>
      <w:pPr>
        <w:spacing w:after="80" w:before="60"/>
      </w:pPr>
      <w:r>
        <w:rPr>
          <w:rFonts w:ascii="Arial" w:cs="Arial" w:eastAsia="Arial" w:hAnsi="Arial"/>
          <w:color w:val="0C1B2E"/>
          <w:sz w:val="20"/>
          <w:szCs w:val="20"/>
        </w:rPr>
        <w:t xml:space="preserve">Si aucune page ne passe le pré-filtre (PDFs atypiques, compagnies Takaful avec libellés islamiques), le système bascule en scoring sans pré-filtre pour produire au minimum une estimation, loggée avec un avertissement.</w:t>
      </w:r>
    </w:p>
    <w:p>
      <w:pPr>
        <w:pStyle w:val="Heading3"/>
        <w:spacing w:after="80" w:before="240"/>
      </w:pPr>
      <w:r>
        <w:rPr>
          <w:rFonts w:ascii="Arial" w:cs="Arial" w:eastAsia="Arial" w:hAnsi="Arial"/>
          <w:b/>
          <w:bCs/>
          <w:color w:val="2E2E38"/>
          <w:sz w:val="22"/>
          <w:szCs w:val="22"/>
        </w:rPr>
        <w:t xml:space="preserve">Normalisation unicode obligatoire</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import unicodedata, re</w:t>
        <w:br/>
        <w:t xml:space="preserve"/>
        <w:br/>
        <w:t xml:space="preserve">def _normalize(text: str) -&gt; str:</w:t>
        <w:br/>
        <w:t xml:space="preserve">    # NFKD : décompose les caractères accentués</w:t>
        <w:br/>
        <w:t xml:space="preserve">    nfkd = unicodedata.normalize('NFKD', text)</w:t>
        <w:br/>
        <w:t xml:space="preserve">    # Supprime les diacritiques (accents, cédilles, etc.)</w:t>
        <w:br/>
        <w:t xml:space="preserve">    ascii_str = nfkd.encode('ascii', 'ignore').decode('ascii')</w:t>
        <w:br/>
        <w:t xml:space="preserve">    # Normalise les espaces multiples</w:t>
        <w:br/>
        <w:t xml:space="preserve">    return re.sub(r'\s+', ' ', ascii_str.lower())</w:t>
      </w:r>
    </w:p>
    <w:p>
      <w:pPr>
        <w:pBdr>
          <w:left w:val="single" w:color="D97706" w:sz="12"/>
        </w:pBdr>
        <w:shd w:fill="F8F9FA" w:color="auto" w:val="clear"/>
        <w:spacing w:after="100" w:before="100"/>
        <w:ind w:left="200" w:right="200"/>
      </w:pPr>
      <w:r>
        <w:rPr>
          <w:rFonts w:ascii="Arial" w:cs="Arial" w:eastAsia="Arial" w:hAnsi="Arial"/>
          <w:b/>
          <w:bCs/>
          <w:color w:val="D97706"/>
          <w:sz w:val="20"/>
          <w:szCs w:val="20"/>
        </w:rPr>
        <w:t xml:space="preserve">⚠  </w:t>
      </w:r>
      <w:r>
        <w:rPr>
          <w:rFonts w:ascii="Arial" w:cs="Arial" w:eastAsia="Arial" w:hAnsi="Arial"/>
          <w:color w:val="0C1B2E"/>
          <w:sz w:val="20"/>
          <w:szCs w:val="20"/>
        </w:rPr>
        <w:t xml:space="preserve">Les PDFs tunisiens mélangent des encodages (Latin-1, UTF-8, CP1252). Sans normalisation, 'Prémices' ne matcherait pas le pattern 'primes'. La normalisation NFKD + ASCII garantit la robustesse inter-encodages.</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ÉTAPE 4</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4 — Extraction des KPIs Bruts</w:t>
      </w:r>
    </w:p>
    <w:p>
      <w:pPr>
        <w:pStyle w:val="Heading3"/>
        <w:spacing w:after="80" w:before="240"/>
      </w:pPr>
      <w:r>
        <w:rPr>
          <w:rFonts w:ascii="Arial" w:cs="Arial" w:eastAsia="Arial" w:hAnsi="Arial"/>
          <w:b/>
          <w:bCs/>
          <w:color w:val="2E2E38"/>
          <w:sz w:val="22"/>
          <w:szCs w:val="22"/>
        </w:rPr>
        <w:t xml:space="preserve">Extracteurs spécialisés par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360"/>
      </w:tblGrid>
      <w:tr>
        <w:trPr>
          <w:tblHeader/>
        </w:trPr>
        <w:tc>
          <w:tcPr>
            <w:tcW w:type="dxa" w:w="2600"/>
            <w:shd w:fill="2E2E38" w:color="auto" w:val="clear"/>
          </w:tcPr>
          <w:p>
            <w:pPr>
              <w:jc w:val="left"/>
            </w:pPr>
            <w:r>
              <w:rPr>
                <w:rFonts w:ascii="Arial" w:cs="Arial" w:eastAsia="Arial" w:hAnsi="Arial"/>
                <w:b/>
                <w:bCs/>
                <w:color w:val="FFE600"/>
                <w:spacing w:val="20"/>
                <w:sz w:val="17"/>
                <w:szCs w:val="17"/>
              </w:rPr>
              <w:t xml:space="preserve">FICHIER</w:t>
            </w:r>
          </w:p>
        </w:tc>
        <w:tc>
          <w:tcPr>
            <w:tcW w:type="dxa" w:w="2400"/>
            <w:shd w:fill="2E2E38" w:color="auto" w:val="clear"/>
          </w:tcPr>
          <w:p>
            <w:pPr>
              <w:jc w:val="left"/>
            </w:pPr>
            <w:r>
              <w:rPr>
                <w:rFonts w:ascii="Arial" w:cs="Arial" w:eastAsia="Arial" w:hAnsi="Arial"/>
                <w:b/>
                <w:bCs/>
                <w:color w:val="FFE600"/>
                <w:spacing w:val="20"/>
                <w:sz w:val="17"/>
                <w:szCs w:val="17"/>
              </w:rPr>
              <w:t xml:space="preserve">SECTION PDF CIBLE</w:t>
            </w:r>
          </w:p>
        </w:tc>
        <w:tc>
          <w:tcPr>
            <w:tcW w:type="dxa" w:w="4360"/>
            <w:shd w:fill="2E2E38" w:color="auto" w:val="clear"/>
          </w:tcPr>
          <w:p>
            <w:pPr>
              <w:jc w:val="left"/>
            </w:pPr>
            <w:r>
              <w:rPr>
                <w:rFonts w:ascii="Arial" w:cs="Arial" w:eastAsia="Arial" w:hAnsi="Arial"/>
                <w:b/>
                <w:bCs/>
                <w:color w:val="FFE600"/>
                <w:spacing w:val="20"/>
                <w:sz w:val="17"/>
                <w:szCs w:val="17"/>
              </w:rPr>
              <w:t xml:space="preserve">KPIS EXTRAITS</w:t>
            </w:r>
          </w:p>
        </w:tc>
      </w:tr>
      <w:tr>
        <w:tc>
          <w:tcPr>
            <w:tcW w:type="dxa" w:w="2600"/>
            <w:shd w:fill="FFFFFF" w:color="auto" w:val="clear"/>
          </w:tcPr>
          <w:p>
            <w:pPr>
              <w:spacing w:after="60" w:before="60"/>
            </w:pPr>
            <w:r>
              <w:rPr>
                <w:rFonts w:ascii="Arial" w:cs="Arial" w:eastAsia="Arial" w:hAnsi="Arial"/>
                <w:color w:val="0C1B2E"/>
                <w:sz w:val="18"/>
                <w:szCs w:val="18"/>
              </w:rPr>
              <w:t xml:space="preserve">extraction/annexe12_kpi_extractor.py</w:t>
            </w:r>
          </w:p>
        </w:tc>
        <w:tc>
          <w:tcPr>
            <w:tcW w:type="dxa" w:w="2400"/>
            <w:shd w:fill="FFFFFF" w:color="auto" w:val="clear"/>
          </w:tcPr>
          <w:p>
            <w:pPr>
              <w:spacing w:after="60" w:before="60"/>
            </w:pPr>
            <w:r>
              <w:rPr>
                <w:rFonts w:ascii="Arial" w:cs="Arial" w:eastAsia="Arial" w:hAnsi="Arial"/>
                <w:color w:val="0C1B2E"/>
                <w:sz w:val="18"/>
                <w:szCs w:val="18"/>
              </w:rPr>
              <w:t xml:space="preserve">Annexe 12 — Vie</w:t>
            </w:r>
          </w:p>
        </w:tc>
        <w:tc>
          <w:tcPr>
            <w:tcW w:type="dxa" w:w="4360"/>
            <w:shd w:fill="FFFFFF" w:color="auto" w:val="clear"/>
          </w:tcPr>
          <w:p>
            <w:pPr>
              <w:spacing w:after="60" w:before="60"/>
            </w:pPr>
            <w:r>
              <w:rPr>
                <w:rFonts w:ascii="Arial" w:cs="Arial" w:eastAsia="Arial" w:hAnsi="Arial"/>
                <w:color w:val="0C1B2E"/>
                <w:sz w:val="18"/>
                <w:szCs w:val="18"/>
              </w:rPr>
              <w:t xml:space="preserve">Primes émises Vie, charges de prestations, résultat technique Vie par branche (individuelle, collective, capitalisation)</w:t>
            </w:r>
          </w:p>
        </w:tc>
      </w:tr>
      <w:tr>
        <w:tc>
          <w:tcPr>
            <w:tcW w:type="dxa" w:w="2600"/>
            <w:shd w:fill="F8F9FA" w:color="auto" w:val="clear"/>
          </w:tcPr>
          <w:p>
            <w:pPr>
              <w:spacing w:after="60" w:before="60"/>
            </w:pPr>
            <w:r>
              <w:rPr>
                <w:rFonts w:ascii="Arial" w:cs="Arial" w:eastAsia="Arial" w:hAnsi="Arial"/>
                <w:color w:val="0C1B2E"/>
                <w:sz w:val="18"/>
                <w:szCs w:val="18"/>
              </w:rPr>
              <w:t xml:space="preserve">extraction/annexe13_kpi_extractor.py</w:t>
            </w:r>
          </w:p>
        </w:tc>
        <w:tc>
          <w:tcPr>
            <w:tcW w:type="dxa" w:w="2400"/>
            <w:shd w:fill="F8F9FA" w:color="auto" w:val="clear"/>
          </w:tcPr>
          <w:p>
            <w:pPr>
              <w:spacing w:after="60" w:before="60"/>
            </w:pPr>
            <w:r>
              <w:rPr>
                <w:rFonts w:ascii="Arial" w:cs="Arial" w:eastAsia="Arial" w:hAnsi="Arial"/>
                <w:color w:val="0C1B2E"/>
                <w:sz w:val="18"/>
                <w:szCs w:val="18"/>
              </w:rPr>
              <w:t xml:space="preserve">Annexe 13 — Non-Vie</w:t>
            </w:r>
          </w:p>
        </w:tc>
        <w:tc>
          <w:tcPr>
            <w:tcW w:type="dxa" w:w="4360"/>
            <w:shd w:fill="F8F9FA" w:color="auto" w:val="clear"/>
          </w:tcPr>
          <w:p>
            <w:pPr>
              <w:spacing w:after="60" w:before="60"/>
            </w:pPr>
            <w:r>
              <w:rPr>
                <w:rFonts w:ascii="Arial" w:cs="Arial" w:eastAsia="Arial" w:hAnsi="Arial"/>
                <w:color w:val="0C1B2E"/>
                <w:sz w:val="18"/>
                <w:szCs w:val="18"/>
              </w:rPr>
              <w:t xml:space="preserve">Primes acquises, sinistres payés, charges d'acquisition, résultat technique par branche (auto, incendie, RC, transport, AT)</w:t>
            </w:r>
          </w:p>
        </w:tc>
      </w:tr>
      <w:tr>
        <w:tc>
          <w:tcPr>
            <w:tcW w:type="dxa" w:w="2600"/>
            <w:shd w:fill="FFFFFF" w:color="auto" w:val="clear"/>
          </w:tcPr>
          <w:p>
            <w:pPr>
              <w:spacing w:after="60" w:before="60"/>
            </w:pPr>
            <w:r>
              <w:rPr>
                <w:rFonts w:ascii="Arial" w:cs="Arial" w:eastAsia="Arial" w:hAnsi="Arial"/>
                <w:color w:val="0C1B2E"/>
                <w:sz w:val="18"/>
                <w:szCs w:val="18"/>
              </w:rPr>
              <w:t xml:space="preserve">extraction/bilan_kpi_extractor.py</w:t>
            </w:r>
          </w:p>
        </w:tc>
        <w:tc>
          <w:tcPr>
            <w:tcW w:type="dxa" w:w="2400"/>
            <w:shd w:fill="FFFFFF" w:color="auto" w:val="clear"/>
          </w:tcPr>
          <w:p>
            <w:pPr>
              <w:spacing w:after="60" w:before="60"/>
            </w:pPr>
            <w:r>
              <w:rPr>
                <w:rFonts w:ascii="Arial" w:cs="Arial" w:eastAsia="Arial" w:hAnsi="Arial"/>
                <w:color w:val="0C1B2E"/>
                <w:sz w:val="18"/>
                <w:szCs w:val="18"/>
              </w:rPr>
              <w:t xml:space="preserve">Bilan comptable</w:t>
            </w:r>
          </w:p>
        </w:tc>
        <w:tc>
          <w:tcPr>
            <w:tcW w:type="dxa" w:w="4360"/>
            <w:shd w:fill="FFFFFF" w:color="auto" w:val="clear"/>
          </w:tcPr>
          <w:p>
            <w:pPr>
              <w:spacing w:after="60" w:before="60"/>
            </w:pPr>
            <w:r>
              <w:rPr>
                <w:rFonts w:ascii="Arial" w:cs="Arial" w:eastAsia="Arial" w:hAnsi="Arial"/>
                <w:color w:val="0C1B2E"/>
                <w:sz w:val="18"/>
                <w:szCs w:val="18"/>
              </w:rPr>
              <w:t xml:space="preserve">Total actif, capitaux propres, total passif, provisions techniques mathématiques</w:t>
            </w:r>
          </w:p>
        </w:tc>
      </w:tr>
      <w:tr>
        <w:tc>
          <w:tcPr>
            <w:tcW w:type="dxa" w:w="2600"/>
            <w:shd w:fill="F8F9FA" w:color="auto" w:val="clear"/>
          </w:tcPr>
          <w:p>
            <w:pPr>
              <w:spacing w:after="60" w:before="60"/>
            </w:pPr>
            <w:r>
              <w:rPr>
                <w:rFonts w:ascii="Arial" w:cs="Arial" w:eastAsia="Arial" w:hAnsi="Arial"/>
                <w:color w:val="0C1B2E"/>
                <w:sz w:val="18"/>
                <w:szCs w:val="18"/>
              </w:rPr>
              <w:t xml:space="preserve">extraction/resultat_kpi_extractor.py</w:t>
            </w:r>
          </w:p>
        </w:tc>
        <w:tc>
          <w:tcPr>
            <w:tcW w:type="dxa" w:w="2400"/>
            <w:shd w:fill="F8F9FA" w:color="auto" w:val="clear"/>
          </w:tcPr>
          <w:p>
            <w:pPr>
              <w:spacing w:after="60" w:before="60"/>
            </w:pPr>
            <w:r>
              <w:rPr>
                <w:rFonts w:ascii="Arial" w:cs="Arial" w:eastAsia="Arial" w:hAnsi="Arial"/>
                <w:color w:val="0C1B2E"/>
                <w:sz w:val="18"/>
                <w:szCs w:val="18"/>
              </w:rPr>
              <w:t xml:space="preserve">État de résultat</w:t>
            </w:r>
          </w:p>
        </w:tc>
        <w:tc>
          <w:tcPr>
            <w:tcW w:type="dxa" w:w="4360"/>
            <w:shd w:fill="F8F9FA" w:color="auto" w:val="clear"/>
          </w:tcPr>
          <w:p>
            <w:pPr>
              <w:spacing w:after="60" w:before="60"/>
            </w:pPr>
            <w:r>
              <w:rPr>
                <w:rFonts w:ascii="Arial" w:cs="Arial" w:eastAsia="Arial" w:hAnsi="Arial"/>
                <w:color w:val="0C1B2E"/>
                <w:sz w:val="18"/>
                <w:szCs w:val="18"/>
              </w:rPr>
              <w:t xml:space="preserve">Résultat net de l'exercice, produits des placements</w:t>
            </w:r>
          </w:p>
        </w:tc>
      </w:tr>
      <w:tr>
        <w:tc>
          <w:tcPr>
            <w:tcW w:type="dxa" w:w="2600"/>
            <w:shd w:fill="FFFFFF" w:color="auto" w:val="clear"/>
          </w:tcPr>
          <w:p>
            <w:pPr>
              <w:spacing w:after="60" w:before="60"/>
            </w:pPr>
            <w:r>
              <w:rPr>
                <w:rFonts w:ascii="Arial" w:cs="Arial" w:eastAsia="Arial" w:hAnsi="Arial"/>
                <w:color w:val="0C1B2E"/>
                <w:sz w:val="18"/>
                <w:szCs w:val="18"/>
              </w:rPr>
              <w:t xml:space="preserve">extraction/presentation_kpi_extractor.py</w:t>
            </w:r>
          </w:p>
        </w:tc>
        <w:tc>
          <w:tcPr>
            <w:tcW w:type="dxa" w:w="2400"/>
            <w:shd w:fill="FFFFFF" w:color="auto" w:val="clear"/>
          </w:tcPr>
          <w:p>
            <w:pPr>
              <w:spacing w:after="60" w:before="60"/>
            </w:pPr>
            <w:r>
              <w:rPr>
                <w:rFonts w:ascii="Arial" w:cs="Arial" w:eastAsia="Arial" w:hAnsi="Arial"/>
                <w:color w:val="0C1B2E"/>
                <w:sz w:val="18"/>
                <w:szCs w:val="18"/>
              </w:rPr>
              <w:t xml:space="preserve">Page de présentation</w:t>
            </w:r>
          </w:p>
        </w:tc>
        <w:tc>
          <w:tcPr>
            <w:tcW w:type="dxa" w:w="4360"/>
            <w:shd w:fill="FFFFFF" w:color="auto" w:val="clear"/>
          </w:tcPr>
          <w:p>
            <w:pPr>
              <w:spacing w:after="60" w:before="60"/>
            </w:pPr>
            <w:r>
              <w:rPr>
                <w:rFonts w:ascii="Arial" w:cs="Arial" w:eastAsia="Arial" w:hAnsi="Arial"/>
                <w:color w:val="0C1B2E"/>
                <w:sz w:val="18"/>
                <w:szCs w:val="18"/>
              </w:rPr>
              <w:t xml:space="preserve">Nombre d'employés, réseau d'agences, date de création, siège social</w:t>
            </w:r>
          </w:p>
        </w:tc>
      </w:tr>
      <w:tr>
        <w:tc>
          <w:tcPr>
            <w:tcW w:type="dxa" w:w="2600"/>
            <w:shd w:fill="F8F9FA" w:color="auto" w:val="clear"/>
          </w:tcPr>
          <w:p>
            <w:pPr>
              <w:spacing w:after="60" w:before="60"/>
            </w:pPr>
            <w:r>
              <w:rPr>
                <w:rFonts w:ascii="Arial" w:cs="Arial" w:eastAsia="Arial" w:hAnsi="Arial"/>
                <w:color w:val="0C1B2E"/>
                <w:sz w:val="18"/>
                <w:szCs w:val="18"/>
              </w:rPr>
              <w:t xml:space="preserve">extraction/bvmt_kpi_extractor.py</w:t>
            </w:r>
          </w:p>
        </w:tc>
        <w:tc>
          <w:tcPr>
            <w:tcW w:type="dxa" w:w="2400"/>
            <w:shd w:fill="F8F9FA" w:color="auto" w:val="clear"/>
          </w:tcPr>
          <w:p>
            <w:pPr>
              <w:spacing w:after="60" w:before="60"/>
            </w:pPr>
            <w:r>
              <w:rPr>
                <w:rFonts w:ascii="Arial" w:cs="Arial" w:eastAsia="Arial" w:hAnsi="Arial"/>
                <w:color w:val="0C1B2E"/>
                <w:sz w:val="18"/>
                <w:szCs w:val="18"/>
              </w:rPr>
              <w:t xml:space="preserve">Données BVMT</w:t>
            </w:r>
          </w:p>
        </w:tc>
        <w:tc>
          <w:tcPr>
            <w:tcW w:type="dxa" w:w="4360"/>
            <w:shd w:fill="F8F9FA" w:color="auto" w:val="clear"/>
          </w:tcPr>
          <w:p>
            <w:pPr>
              <w:spacing w:after="60" w:before="60"/>
            </w:pPr>
            <w:r>
              <w:rPr>
                <w:rFonts w:ascii="Arial" w:cs="Arial" w:eastAsia="Arial" w:hAnsi="Arial"/>
                <w:color w:val="0C1B2E"/>
                <w:sz w:val="18"/>
                <w:szCs w:val="18"/>
              </w:rPr>
              <w:t xml:space="preserve">Cours boursier, capitalisation boursière, PER (Price Earnings Ratio)</w:t>
            </w:r>
          </w:p>
        </w:tc>
      </w:tr>
    </w:tbl>
    <w:p>
      <w:pPr>
        <w:pStyle w:val="Heading3"/>
        <w:spacing w:after="80" w:before="240"/>
      </w:pPr>
      <w:r>
        <w:rPr>
          <w:rFonts w:ascii="Arial" w:cs="Arial" w:eastAsia="Arial" w:hAnsi="Arial"/>
          <w:b/>
          <w:bCs/>
          <w:color w:val="2E2E38"/>
          <w:sz w:val="22"/>
          <w:szCs w:val="22"/>
        </w:rPr>
        <w:t xml:space="preserve">Stratégie d'extraction : mots vs tableaux</w:t>
      </w:r>
    </w:p>
    <w:p>
      <w:pPr>
        <w:spacing w:after="80" w:before="60"/>
      </w:pPr>
      <w:r>
        <w:rPr>
          <w:rFonts w:ascii="Arial" w:cs="Arial" w:eastAsia="Arial" w:hAnsi="Arial"/>
          <w:color w:val="0C1B2E"/>
          <w:sz w:val="20"/>
          <w:szCs w:val="20"/>
        </w:rPr>
        <w:t xml:space="preserve">pdfplumber offre deux API complémentaires pour lire les tableaux PDF :</w:t>
      </w:r>
    </w:p>
    <w:p>
      <w:pPr>
        <w:pStyle w:val="ListParagraph"/>
        <w:numPr>
          <w:ilvl w:val="0"/>
          <w:numId w:val="2"/>
        </w:numPr>
        <w:spacing w:after="40" w:before="40"/>
        <w:ind w:left="360" w:hanging="360"/>
      </w:pPr>
      <w:r>
        <w:rPr>
          <w:rFonts w:ascii="Arial" w:cs="Arial" w:eastAsia="Arial" w:hAnsi="Arial"/>
          <w:b/>
          <w:bCs/>
          <w:color w:val="0C1B2E"/>
          <w:sz w:val="20"/>
          <w:szCs w:val="20"/>
        </w:rPr>
        <w:t xml:space="preserve">page.extract_table()</w:t>
      </w:r>
      <w:r>
        <w:rPr>
          <w:rFonts w:ascii="Arial" w:cs="Arial" w:eastAsia="Arial" w:hAnsi="Arial"/>
          <w:color w:val="0C1B2E"/>
          <w:sz w:val="20"/>
          <w:szCs w:val="20"/>
        </w:rPr>
        <w:t xml:space="preserve"> — détection automatique des tableaux. Problème : les tableaux à cellules fusionnées (merged cells) ou en-têtes multi-lignes cassent souvent l'algorithme.</w:t>
      </w:r>
    </w:p>
    <w:p>
      <w:pPr>
        <w:pStyle w:val="ListParagraph"/>
        <w:numPr>
          <w:ilvl w:val="0"/>
          <w:numId w:val="2"/>
        </w:numPr>
        <w:spacing w:after="40" w:before="40"/>
        <w:ind w:left="360" w:hanging="360"/>
      </w:pPr>
      <w:r>
        <w:rPr>
          <w:rFonts w:ascii="Arial" w:cs="Arial" w:eastAsia="Arial" w:hAnsi="Arial"/>
          <w:b/>
          <w:bCs/>
          <w:color w:val="0C1B2E"/>
          <w:sz w:val="20"/>
          <w:szCs w:val="20"/>
        </w:rPr>
        <w:t xml:space="preserve">page.extract_words()</w:t>
      </w:r>
      <w:r>
        <w:rPr>
          <w:rFonts w:ascii="Arial" w:cs="Arial" w:eastAsia="Arial" w:hAnsi="Arial"/>
          <w:color w:val="0C1B2E"/>
          <w:sz w:val="20"/>
          <w:szCs w:val="20"/>
        </w:rPr>
        <w:t xml:space="preserve"> — extrait chaque mot avec ses coordonnées précises (x0, y0, x1, y1). Solution retenue : plus robuste pour les tableaux atypiques des rapports tunisiens.</w:t>
      </w:r>
    </w:p>
    <w:p>
      <w:pPr>
        <w:spacing w:after="80" w:before="60"/>
      </w:pPr>
      <w:r>
        <w:rPr>
          <w:rFonts w:ascii="Arial" w:cs="Arial" w:eastAsia="Arial" w:hAnsi="Arial"/>
          <w:color w:val="0C1B2E"/>
          <w:sz w:val="20"/>
          <w:szCs w:val="20"/>
        </w:rPr>
        <w:t xml:space="preserve">L'approche par mots reconstitue les lignes en regroupant les mots par coordonnée Y (tolérance de ±3px), puis identifie les colonnes par clustering des coordonnées X.</w:t>
      </w:r>
    </w:p>
    <w:p>
      <w:pPr>
        <w:pStyle w:val="Heading3"/>
        <w:spacing w:after="80" w:before="240"/>
      </w:pPr>
      <w:r>
        <w:rPr>
          <w:rFonts w:ascii="Arial" w:cs="Arial" w:eastAsia="Arial" w:hAnsi="Arial"/>
          <w:b/>
          <w:bCs/>
          <w:color w:val="2E2E38"/>
          <w:sz w:val="22"/>
          <w:szCs w:val="22"/>
        </w:rPr>
        <w:t xml:space="preserve">Moteur de matching : libellés flous</w:t>
      </w:r>
    </w:p>
    <w:p>
      <w:pPr>
        <w:spacing w:after="80" w:before="60"/>
      </w:pPr>
      <w:r>
        <w:rPr>
          <w:rFonts w:ascii="Arial" w:cs="Arial" w:eastAsia="Arial" w:hAnsi="Arial"/>
          <w:color w:val="0C1B2E"/>
          <w:sz w:val="20"/>
          <w:szCs w:val="20"/>
        </w:rPr>
        <w:t xml:space="preserve">Fichier : une regex dédiée par KPI, définie dans chaque extracteur (extraction/bilan_kpi_extractor.py, extraction/annexe12_kpi_extractor.py, extraction/annexe13_kpi_extractor.py...)</w:t>
      </w:r>
    </w:p>
    <w:p>
      <w:pPr>
        <w:spacing w:after="80" w:before="60"/>
      </w:pPr>
      <w:r>
        <w:rPr>
          <w:rFonts w:ascii="Arial" w:cs="Arial" w:eastAsia="Arial" w:hAnsi="Arial"/>
          <w:color w:val="0C1B2E"/>
          <w:sz w:val="20"/>
          <w:szCs w:val="20"/>
        </w:rPr>
        <w:t xml:space="preserve">Un KPI cible comme 'Primes émises' peut apparaître sous des dizaines de formulations selon la compagnie :</w:t>
      </w:r>
    </w:p>
    <w:p>
      <w:pPr>
        <w:pStyle w:val="ListParagraph"/>
        <w:numPr>
          <w:ilvl w:val="0"/>
          <w:numId w:val="2"/>
        </w:numPr>
        <w:spacing w:after="40" w:before="40"/>
        <w:ind w:left="360" w:hanging="360"/>
      </w:pPr>
      <w:r>
        <w:rPr>
          <w:rFonts w:ascii="Arial" w:cs="Arial" w:eastAsia="Arial" w:hAnsi="Arial"/>
          <w:color w:val="0C1B2E"/>
          <w:sz w:val="20"/>
          <w:szCs w:val="20"/>
        </w:rPr>
        <w:t xml:space="preserve">'Primes Émises Brutes'</w:t>
      </w:r>
    </w:p>
    <w:p>
      <w:pPr>
        <w:pStyle w:val="ListParagraph"/>
        <w:numPr>
          <w:ilvl w:val="0"/>
          <w:numId w:val="2"/>
        </w:numPr>
        <w:spacing w:after="40" w:before="40"/>
        <w:ind w:left="360" w:hanging="360"/>
      </w:pPr>
      <w:r>
        <w:rPr>
          <w:rFonts w:ascii="Arial" w:cs="Arial" w:eastAsia="Arial" w:hAnsi="Arial"/>
          <w:color w:val="0C1B2E"/>
          <w:sz w:val="20"/>
          <w:szCs w:val="20"/>
        </w:rPr>
        <w:t xml:space="preserve">'Total Primes Émises'</w:t>
      </w:r>
    </w:p>
    <w:p>
      <w:pPr>
        <w:pStyle w:val="ListParagraph"/>
        <w:numPr>
          <w:ilvl w:val="0"/>
          <w:numId w:val="2"/>
        </w:numPr>
        <w:spacing w:after="40" w:before="40"/>
        <w:ind w:left="360" w:hanging="360"/>
      </w:pPr>
      <w:r>
        <w:rPr>
          <w:rFonts w:ascii="Arial" w:cs="Arial" w:eastAsia="Arial" w:hAnsi="Arial"/>
          <w:color w:val="0C1B2E"/>
          <w:sz w:val="20"/>
          <w:szCs w:val="20"/>
        </w:rPr>
        <w:t xml:space="preserve">'PRIMES EMISES (1)'</w:t>
      </w:r>
    </w:p>
    <w:p>
      <w:pPr>
        <w:pStyle w:val="ListParagraph"/>
        <w:numPr>
          <w:ilvl w:val="0"/>
          <w:numId w:val="2"/>
        </w:numPr>
        <w:spacing w:after="40" w:before="40"/>
        <w:ind w:left="360" w:hanging="360"/>
      </w:pPr>
      <w:r>
        <w:rPr>
          <w:rFonts w:ascii="Arial" w:cs="Arial" w:eastAsia="Arial" w:hAnsi="Arial"/>
          <w:color w:val="0C1B2E"/>
          <w:sz w:val="20"/>
          <w:szCs w:val="20"/>
        </w:rPr>
        <w:t xml:space="preserve">'Prime cedée brute (nette de l'annulation)'</w:t>
      </w:r>
    </w:p>
    <w:p>
      <w:pPr>
        <w:spacing w:after="80" w:before="60"/>
      </w:pPr>
      <w:r>
        <w:rPr>
          <w:rFonts w:ascii="Arial" w:cs="Arial" w:eastAsia="Arial" w:hAnsi="Arial"/>
          <w:color w:val="0C1B2E"/>
          <w:sz w:val="20"/>
          <w:szCs w:val="20"/>
        </w:rPr>
        <w:t xml:space="preserve">L'approche retenue, plus simple qu'un moteur de correspondance générique, s'est révélée suffisamment robuste en pratique (validée par 34 tests unitaires et un suivi documenté des cas limites par compagnie) :</w:t>
      </w:r>
    </w:p>
    <w:p>
      <w:pPr>
        <w:pStyle w:val="ListParagraph"/>
        <w:numPr>
          <w:ilvl w:val="0"/>
          <w:numId w:val="3"/>
        </w:numPr>
        <w:spacing w:after="60" w:before="60"/>
      </w:pPr>
      <w:r>
        <w:rPr>
          <w:rFonts w:ascii="Arial" w:cs="Arial" w:eastAsia="Arial" w:hAnsi="Arial"/>
          <w:color w:val="0C1B2E"/>
          <w:sz w:val="20"/>
          <w:szCs w:val="20"/>
        </w:rPr>
        <w:t xml:space="preserve">Correspondance exacte sur le libellé normalisé (unicode)</w:t>
      </w:r>
    </w:p>
    <w:p>
      <w:pPr>
        <w:pStyle w:val="ListParagraph"/>
        <w:numPr>
          <w:ilvl w:val="0"/>
          <w:numId w:val="3"/>
        </w:numPr>
        <w:spacing w:after="60" w:before="60"/>
      </w:pPr>
      <w:r>
        <w:rPr>
          <w:rFonts w:ascii="Arial" w:cs="Arial" w:eastAsia="Arial" w:hAnsi="Arial"/>
          <w:color w:val="0C1B2E"/>
          <w:sz w:val="20"/>
          <w:szCs w:val="20"/>
        </w:rPr>
        <w:t xml:space="preserve">Tolérance aux variantes encodée directement dans la regex du KPI (article optionnel, singulier/pluriel, ordre des mots) plutôt que via un dictionnaire de synonymes séparé à maintenir</w:t>
      </w:r>
    </w:p>
    <w:p>
      <w:pPr>
        <w:pStyle w:val="ListParagraph"/>
        <w:numPr>
          <w:ilvl w:val="0"/>
          <w:numId w:val="3"/>
        </w:numPr>
        <w:spacing w:after="60" w:before="60"/>
      </w:pPr>
      <w:r>
        <w:rPr>
          <w:rFonts w:ascii="Arial" w:cs="Arial" w:eastAsia="Arial" w:hAnsi="Arial"/>
          <w:color w:val="0C1B2E"/>
          <w:sz w:val="20"/>
          <w:szCs w:val="20"/>
        </w:rPr>
        <w:t xml:space="preserve">Pas de tolérance floue générique (Levenshtein) sur les libellés de KPI : un seuil de similarité ferait correspondre à tort deux libellés proches mais distincts — risque jugé trop élevé pour des montants financiers</w:t>
      </w:r>
    </w:p>
    <w:p>
      <w:pPr>
        <w:pStyle w:val="Heading3"/>
        <w:spacing w:after="80" w:before="240"/>
      </w:pPr>
      <w:r>
        <w:rPr>
          <w:rFonts w:ascii="Arial" w:cs="Arial" w:eastAsia="Arial" w:hAnsi="Arial"/>
          <w:b/>
          <w:bCs/>
          <w:color w:val="2E2E38"/>
          <w:sz w:val="22"/>
          <w:szCs w:val="22"/>
        </w:rPr>
        <w:t xml:space="preserve">Documentation des cas particuliers</w:t>
      </w:r>
    </w:p>
    <w:p>
      <w:pPr>
        <w:spacing w:after="80" w:before="60"/>
      </w:pPr>
      <w:r>
        <w:rPr>
          <w:rFonts w:ascii="Arial" w:cs="Arial" w:eastAsia="Arial" w:hAnsi="Arial"/>
          <w:color w:val="0C1B2E"/>
          <w:sz w:val="20"/>
          <w:szCs w:val="20"/>
        </w:rPr>
        <w:t xml:space="preserve">Chaque problème de parsing rencontré est documenté dans un fichier dédié, mis à jour au fur et à mesure des compagnies traitées :</w:t>
      </w:r>
    </w:p>
    <w:p>
      <w:pPr>
        <w:pStyle w:val="ListParagraph"/>
        <w:numPr>
          <w:ilvl w:val="0"/>
          <w:numId w:val="2"/>
        </w:numPr>
        <w:spacing w:after="40" w:before="40"/>
        <w:ind w:left="360" w:hanging="360"/>
      </w:pPr>
      <w:r>
        <w:rPr>
          <w:rFonts w:ascii="Arial" w:cs="Arial" w:eastAsia="Arial" w:hAnsi="Arial"/>
          <w:color w:val="0C1B2E"/>
          <w:sz w:val="20"/>
          <w:szCs w:val="20"/>
        </w:rPr>
        <w:t xml:space="preserve">extraction/CAS_PARTICULIERS.md — cas généraux pipeline</w:t>
      </w:r>
    </w:p>
    <w:p>
      <w:pPr>
        <w:pStyle w:val="ListParagraph"/>
        <w:numPr>
          <w:ilvl w:val="0"/>
          <w:numId w:val="2"/>
        </w:numPr>
        <w:spacing w:after="40" w:before="40"/>
        <w:ind w:left="360" w:hanging="360"/>
      </w:pPr>
      <w:r>
        <w:rPr>
          <w:rFonts w:ascii="Arial" w:cs="Arial" w:eastAsia="Arial" w:hAnsi="Arial"/>
          <w:color w:val="0C1B2E"/>
          <w:sz w:val="20"/>
          <w:szCs w:val="20"/>
        </w:rPr>
        <w:t xml:space="preserve">extraction/CAS_PARTICULIERS_ANNEXE12.md — spécificités section Vie</w:t>
      </w:r>
    </w:p>
    <w:p>
      <w:pPr>
        <w:pStyle w:val="ListParagraph"/>
        <w:numPr>
          <w:ilvl w:val="0"/>
          <w:numId w:val="2"/>
        </w:numPr>
        <w:spacing w:after="40" w:before="40"/>
        <w:ind w:left="360" w:hanging="360"/>
      </w:pPr>
      <w:r>
        <w:rPr>
          <w:rFonts w:ascii="Arial" w:cs="Arial" w:eastAsia="Arial" w:hAnsi="Arial"/>
          <w:color w:val="0C1B2E"/>
          <w:sz w:val="20"/>
          <w:szCs w:val="20"/>
        </w:rPr>
        <w:t xml:space="preserve">extraction/CAS_PARTICULIERS_ANNEXE13.md — spécificités section Non-Vie</w:t>
      </w:r>
    </w:p>
    <w:p>
      <w:pPr>
        <w:spacing w:after="0" w:before="100"/>
      </w:pPr>
      <w:r>
        <w:t xml:space="preserve"/>
      </w:r>
    </w:p>
    <w:p>
      <w:pPr>
        <w:pBdr>
          <w:left w:val="single" w:color="C0392B" w:sz="12"/>
        </w:pBdr>
        <w:shd w:fill="F8F9FA" w:color="auto" w:val="clear"/>
        <w:spacing w:after="100" w:before="100"/>
        <w:ind w:left="200" w:right="200"/>
      </w:pPr>
      <w:r>
        <w:rPr>
          <w:rFonts w:ascii="Arial" w:cs="Arial" w:eastAsia="Arial" w:hAnsi="Arial"/>
          <w:b/>
          <w:bCs/>
          <w:color w:val="C0392B"/>
          <w:sz w:val="20"/>
          <w:szCs w:val="20"/>
        </w:rPr>
        <w:t xml:space="preserve">!  </w:t>
      </w:r>
      <w:r>
        <w:rPr>
          <w:rFonts w:ascii="Arial" w:cs="Arial" w:eastAsia="Arial" w:hAnsi="Arial"/>
          <w:color w:val="0C1B2E"/>
          <w:sz w:val="20"/>
          <w:szCs w:val="20"/>
        </w:rPr>
        <w:t xml:space="preserve">Principe directeur : ne jamais hardcoder un traitement par compagnie. Tout cas particulier est résolu par une règle générale (pattern plus large, seuil ajusté) applicable à l'ensemble du corpus. Les règles spécifiques créent de la dette technique incontrôlable.</w:t>
      </w:r>
    </w:p>
    <w:p>
      <w:pPr>
        <w:pStyle w:val="Heading3"/>
        <w:spacing w:after="80" w:before="240"/>
      </w:pPr>
      <w:r>
        <w:rPr>
          <w:rFonts w:ascii="Arial" w:cs="Arial" w:eastAsia="Arial" w:hAnsi="Arial"/>
          <w:b/>
          <w:bCs/>
          <w:color w:val="2E2E38"/>
          <w:sz w:val="22"/>
          <w:szCs w:val="22"/>
        </w:rPr>
        <w:t xml:space="preserve">Fiabilité de l'extraction : garde-fou de plausibilité</w:t>
      </w:r>
    </w:p>
    <w:p>
      <w:pPr>
        <w:spacing w:after="80" w:before="60"/>
      </w:pPr>
      <w:r>
        <w:rPr>
          <w:rFonts w:ascii="Arial" w:cs="Arial" w:eastAsia="Arial" w:hAnsi="Arial"/>
          <w:color w:val="0C1B2E"/>
          <w:sz w:val="20"/>
          <w:szCs w:val="20"/>
        </w:rPr>
        <w:t xml:space="preserve">Une erreur de reconstruction de tableau peut, dans de rares cas, faire correspondre un numéro de page, de ligne ou de note de bas de page à un KPI plutôt que le vrai montant (ex. « Charges de prestations » lu à 20,0 au lieu de plusieurs millions de dinars). Pour éviter qu'une telle valeur ne s'écrive silencieusement en base :</w:t>
      </w:r>
    </w:p>
    <w:p>
      <w:pPr>
        <w:spacing w:after="80" w:before="60"/>
      </w:pPr>
      <w:r>
        <w:rPr>
          <w:rFonts w:ascii="Arial" w:cs="Arial" w:eastAsia="Arial" w:hAnsi="Arial"/>
          <w:color w:val="0C1B2E"/>
          <w:sz w:val="20"/>
          <w:szCs w:val="20"/>
        </w:rPr>
        <w:t xml:space="preserve">extraction/bilan_kpi_extractor.py définit un intervalle de plausibilité symétrique : MAX_PLAUSIBLE_VALUE (50 milliards de dinars — aucune compagnie tunisienne ne l'approche, un dépassement trahit des nombres fusionnés) et MIN_PLAUSIBLE_VALUE (1000 dinars — aucune ligne de Bilan/Annexe n'est réalistement en dessous, un vrai zéro restant toujours accepté).</w:t>
      </w:r>
    </w:p>
    <w:p>
      <w:pPr>
        <w:spacing w:after="80" w:before="60"/>
      </w:pPr>
      <w:r>
        <w:rPr>
          <w:rFonts w:ascii="Arial" w:cs="Arial" w:eastAsia="Arial" w:hAnsi="Arial"/>
          <w:color w:val="0C1B2E"/>
          <w:sz w:val="20"/>
          <w:szCs w:val="20"/>
        </w:rPr>
        <w:t xml:space="preserve">Toute valeur en dehors de cet intervalle est rejetée (None) plutôt qu'écrite telle quelle : le KPI apparaît alors comme manquant dans le rapport d'échecs Excel, au lieu d'introduire un chiffre faux invisible dans les KPI dérivés (ratio combiné, ratio de sinistralité...).</w:t>
      </w:r>
    </w:p>
    <w:p>
      <w:pPr>
        <w:pBdr>
          <w:left w:val="single" w:color="0D7A3E" w:sz="12"/>
        </w:pBdr>
        <w:shd w:fill="F8F9FA" w:color="auto" w:val="clear"/>
        <w:spacing w:after="100" w:before="100"/>
        <w:ind w:left="200" w:right="200"/>
      </w:pPr>
      <w:r>
        <w:rPr>
          <w:rFonts w:ascii="Arial" w:cs="Arial" w:eastAsia="Arial" w:hAnsi="Arial"/>
          <w:b/>
          <w:bCs/>
          <w:color w:val="0D7A3E"/>
          <w:sz w:val="20"/>
          <w:szCs w:val="20"/>
        </w:rPr>
        <w:t xml:space="preserve">✓  </w:t>
      </w:r>
      <w:r>
        <w:rPr>
          <w:rFonts w:ascii="Arial" w:cs="Arial" w:eastAsia="Arial" w:hAnsi="Arial"/>
          <w:color w:val="0C1B2E"/>
          <w:sz w:val="20"/>
          <w:szCs w:val="20"/>
        </w:rPr>
        <w:t xml:space="preserve">Le téléchargement de chaque PDF (extraction/kpi_extraction_pipeline.py) bénéficie du même retry automatique (3 tentatives) que la collecte, et chaque sous-pipeline (CMF, Annexes, FTUSA, BVMT, CGA) journalise désormais son résultat en JSON Lines dans logs/pipeline.log — visibilité auparavant limitée à la console.</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ÉTAPE 5</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5 — Calcul des KPIs Dérivés</w:t>
      </w:r>
    </w:p>
    <w:p>
      <w:pPr>
        <w:spacing w:after="80" w:before="60"/>
      </w:pPr>
      <w:r>
        <w:rPr>
          <w:rFonts w:ascii="Arial" w:cs="Arial" w:eastAsia="Arial" w:hAnsi="Arial"/>
          <w:color w:val="0C1B2E"/>
          <w:sz w:val="20"/>
          <w:szCs w:val="20"/>
        </w:rPr>
        <w:t xml:space="preserve">Fichiers : extraction/calculated_kpi_extractor.py · extraction/kpi_definitions.py</w:t>
      </w:r>
    </w:p>
    <w:p>
      <w:pPr>
        <w:spacing w:after="80" w:before="60"/>
      </w:pPr>
      <w:r>
        <w:rPr>
          <w:rFonts w:ascii="Arial" w:cs="Arial" w:eastAsia="Arial" w:hAnsi="Arial"/>
          <w:color w:val="0C1B2E"/>
          <w:sz w:val="20"/>
          <w:szCs w:val="20"/>
        </w:rPr>
        <w:t xml:space="preserve">Une fois les valeurs brutes extraites des PDFs, des KPIs de second niveau sont calculés automatiquement à partir des formules réglementaires et financières du secteur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1200"/>
        <w:gridCol w:w="3160"/>
      </w:tblGrid>
      <w:tr>
        <w:trPr>
          <w:tblHeader/>
        </w:trPr>
        <w:tc>
          <w:tcPr>
            <w:tcW w:type="dxa" w:w="2000"/>
            <w:shd w:fill="2E2E38" w:color="auto" w:val="clear"/>
          </w:tcPr>
          <w:p>
            <w:pPr>
              <w:jc w:val="left"/>
            </w:pPr>
            <w:r>
              <w:rPr>
                <w:rFonts w:ascii="Arial" w:cs="Arial" w:eastAsia="Arial" w:hAnsi="Arial"/>
                <w:b/>
                <w:bCs/>
                <w:color w:val="FFE600"/>
                <w:spacing w:val="20"/>
                <w:sz w:val="17"/>
                <w:szCs w:val="17"/>
              </w:rPr>
              <w:t xml:space="preserve">KPI</w:t>
            </w:r>
          </w:p>
        </w:tc>
        <w:tc>
          <w:tcPr>
            <w:tcW w:type="dxa" w:w="3000"/>
            <w:shd w:fill="2E2E38" w:color="auto" w:val="clear"/>
          </w:tcPr>
          <w:p>
            <w:pPr>
              <w:jc w:val="left"/>
            </w:pPr>
            <w:r>
              <w:rPr>
                <w:rFonts w:ascii="Arial" w:cs="Arial" w:eastAsia="Arial" w:hAnsi="Arial"/>
                <w:b/>
                <w:bCs/>
                <w:color w:val="FFE600"/>
                <w:spacing w:val="20"/>
                <w:sz w:val="17"/>
                <w:szCs w:val="17"/>
              </w:rPr>
              <w:t xml:space="preserve">FORMULE DE CALCUL</w:t>
            </w:r>
          </w:p>
        </w:tc>
        <w:tc>
          <w:tcPr>
            <w:tcW w:type="dxa" w:w="1200"/>
            <w:shd w:fill="2E2E38" w:color="auto" w:val="clear"/>
          </w:tcPr>
          <w:p>
            <w:pPr>
              <w:jc w:val="left"/>
            </w:pPr>
            <w:r>
              <w:rPr>
                <w:rFonts w:ascii="Arial" w:cs="Arial" w:eastAsia="Arial" w:hAnsi="Arial"/>
                <w:b/>
                <w:bCs/>
                <w:color w:val="FFE600"/>
                <w:spacing w:val="20"/>
                <w:sz w:val="17"/>
                <w:szCs w:val="17"/>
              </w:rPr>
              <w:t xml:space="preserve">SEUIL CRITIQUE</w:t>
            </w:r>
          </w:p>
        </w:tc>
        <w:tc>
          <w:tcPr>
            <w:tcW w:type="dxa" w:w="3160"/>
            <w:shd w:fill="2E2E38" w:color="auto" w:val="clear"/>
          </w:tcPr>
          <w:p>
            <w:pPr>
              <w:jc w:val="left"/>
            </w:pPr>
            <w:r>
              <w:rPr>
                <w:rFonts w:ascii="Arial" w:cs="Arial" w:eastAsia="Arial" w:hAnsi="Arial"/>
                <w:b/>
                <w:bCs/>
                <w:color w:val="FFE600"/>
                <w:spacing w:val="20"/>
                <w:sz w:val="17"/>
                <w:szCs w:val="17"/>
              </w:rPr>
              <w:t xml:space="preserve">INTERPRÉTATION</w:t>
            </w:r>
          </w:p>
        </w:tc>
      </w:tr>
      <w:tr>
        <w:tc>
          <w:tcPr>
            <w:tcW w:type="dxa" w:w="2000"/>
            <w:shd w:fill="FFFFFF" w:color="auto" w:val="clear"/>
          </w:tcPr>
          <w:p>
            <w:pPr>
              <w:spacing w:after="60" w:before="60"/>
            </w:pPr>
            <w:r>
              <w:rPr>
                <w:rFonts w:ascii="Arial" w:cs="Arial" w:eastAsia="Arial" w:hAnsi="Arial"/>
                <w:color w:val="0C1B2E"/>
                <w:sz w:val="18"/>
                <w:szCs w:val="18"/>
              </w:rPr>
              <w:t xml:space="preserve">Ratio combiné</w:t>
            </w:r>
          </w:p>
        </w:tc>
        <w:tc>
          <w:tcPr>
            <w:tcW w:type="dxa" w:w="3000"/>
            <w:shd w:fill="FFFFFF" w:color="auto" w:val="clear"/>
          </w:tcPr>
          <w:p>
            <w:pPr>
              <w:spacing w:after="60" w:before="60"/>
            </w:pPr>
            <w:r>
              <w:rPr>
                <w:rFonts w:ascii="Arial" w:cs="Arial" w:eastAsia="Arial" w:hAnsi="Arial"/>
                <w:color w:val="0C1B2E"/>
                <w:sz w:val="18"/>
                <w:szCs w:val="18"/>
              </w:rPr>
              <w:t xml:space="preserve">(Charges prestations + Charges acq.) / Primes émises × 100</w:t>
            </w:r>
          </w:p>
        </w:tc>
        <w:tc>
          <w:tcPr>
            <w:tcW w:type="dxa" w:w="1200"/>
            <w:shd w:fill="FFFFFF" w:color="auto" w:val="clear"/>
          </w:tcPr>
          <w:p>
            <w:pPr>
              <w:spacing w:after="60" w:before="60"/>
            </w:pPr>
            <w:r>
              <w:rPr>
                <w:rFonts w:ascii="Arial" w:cs="Arial" w:eastAsia="Arial" w:hAnsi="Arial"/>
                <w:color w:val="0C1B2E"/>
                <w:sz w:val="18"/>
                <w:szCs w:val="18"/>
              </w:rPr>
              <w:t xml:space="preserve">&gt; 100 %</w:t>
            </w:r>
          </w:p>
        </w:tc>
        <w:tc>
          <w:tcPr>
            <w:tcW w:type="dxa" w:w="3160"/>
            <w:shd w:fill="FFFFFF" w:color="auto" w:val="clear"/>
          </w:tcPr>
          <w:p>
            <w:pPr>
              <w:spacing w:after="60" w:before="60"/>
            </w:pPr>
            <w:r>
              <w:rPr>
                <w:rFonts w:ascii="Arial" w:cs="Arial" w:eastAsia="Arial" w:hAnsi="Arial"/>
                <w:color w:val="0C1B2E"/>
                <w:sz w:val="18"/>
                <w:szCs w:val="18"/>
              </w:rPr>
              <w:t xml:space="preserve">Au-delà de 100%, la compagnie perd de l'argent sur son activité technique pure.</w:t>
            </w:r>
          </w:p>
        </w:tc>
      </w:tr>
      <w:tr>
        <w:tc>
          <w:tcPr>
            <w:tcW w:type="dxa" w:w="2000"/>
            <w:shd w:fill="F8F9FA" w:color="auto" w:val="clear"/>
          </w:tcPr>
          <w:p>
            <w:pPr>
              <w:spacing w:after="60" w:before="60"/>
            </w:pPr>
            <w:r>
              <w:rPr>
                <w:rFonts w:ascii="Arial" w:cs="Arial" w:eastAsia="Arial" w:hAnsi="Arial"/>
                <w:color w:val="0C1B2E"/>
                <w:sz w:val="18"/>
                <w:szCs w:val="18"/>
              </w:rPr>
              <w:t xml:space="preserve">Ratio de sinistralité</w:t>
            </w:r>
          </w:p>
        </w:tc>
        <w:tc>
          <w:tcPr>
            <w:tcW w:type="dxa" w:w="3000"/>
            <w:shd w:fill="F8F9FA" w:color="auto" w:val="clear"/>
          </w:tcPr>
          <w:p>
            <w:pPr>
              <w:spacing w:after="60" w:before="60"/>
            </w:pPr>
            <w:r>
              <w:rPr>
                <w:rFonts w:ascii="Arial" w:cs="Arial" w:eastAsia="Arial" w:hAnsi="Arial"/>
                <w:color w:val="0C1B2E"/>
                <w:sz w:val="18"/>
                <w:szCs w:val="18"/>
              </w:rPr>
              <w:t xml:space="preserve">Sinistres payés / Primes acquises × 100</w:t>
            </w:r>
          </w:p>
        </w:tc>
        <w:tc>
          <w:tcPr>
            <w:tcW w:type="dxa" w:w="1200"/>
            <w:shd w:fill="F8F9FA" w:color="auto" w:val="clear"/>
          </w:tcPr>
          <w:p>
            <w:pPr>
              <w:spacing w:after="60" w:before="60"/>
            </w:pPr>
            <w:r>
              <w:rPr>
                <w:rFonts w:ascii="Arial" w:cs="Arial" w:eastAsia="Arial" w:hAnsi="Arial"/>
                <w:color w:val="0C1B2E"/>
                <w:sz w:val="18"/>
                <w:szCs w:val="18"/>
              </w:rPr>
              <w:t xml:space="preserve">&gt; 70 %</w:t>
            </w:r>
          </w:p>
        </w:tc>
        <w:tc>
          <w:tcPr>
            <w:tcW w:type="dxa" w:w="3160"/>
            <w:shd w:fill="F8F9FA" w:color="auto" w:val="clear"/>
          </w:tcPr>
          <w:p>
            <w:pPr>
              <w:spacing w:after="60" w:before="60"/>
            </w:pPr>
            <w:r>
              <w:rPr>
                <w:rFonts w:ascii="Arial" w:cs="Arial" w:eastAsia="Arial" w:hAnsi="Arial"/>
                <w:color w:val="0C1B2E"/>
                <w:sz w:val="18"/>
                <w:szCs w:val="18"/>
              </w:rPr>
              <w:t xml:space="preserve">Part des primes absorbée par les sinistres. Mesure l'exposition au risque.</w:t>
            </w:r>
          </w:p>
        </w:tc>
      </w:tr>
      <w:tr>
        <w:tc>
          <w:tcPr>
            <w:tcW w:type="dxa" w:w="2000"/>
            <w:shd w:fill="FFFFFF" w:color="auto" w:val="clear"/>
          </w:tcPr>
          <w:p>
            <w:pPr>
              <w:spacing w:after="60" w:before="60"/>
            </w:pPr>
            <w:r>
              <w:rPr>
                <w:rFonts w:ascii="Arial" w:cs="Arial" w:eastAsia="Arial" w:hAnsi="Arial"/>
                <w:color w:val="0C1B2E"/>
                <w:sz w:val="18"/>
                <w:szCs w:val="18"/>
              </w:rPr>
              <w:t xml:space="preserve">Ratio de frais de gestion</w:t>
            </w:r>
          </w:p>
        </w:tc>
        <w:tc>
          <w:tcPr>
            <w:tcW w:type="dxa" w:w="3000"/>
            <w:shd w:fill="FFFFFF" w:color="auto" w:val="clear"/>
          </w:tcPr>
          <w:p>
            <w:pPr>
              <w:spacing w:after="60" w:before="60"/>
            </w:pPr>
            <w:r>
              <w:rPr>
                <w:rFonts w:ascii="Arial" w:cs="Arial" w:eastAsia="Arial" w:hAnsi="Arial"/>
                <w:color w:val="0C1B2E"/>
                <w:sz w:val="18"/>
                <w:szCs w:val="18"/>
              </w:rPr>
              <w:t xml:space="preserve">Charges d'acquisition / Primes émises × 100</w:t>
            </w:r>
          </w:p>
        </w:tc>
        <w:tc>
          <w:tcPr>
            <w:tcW w:type="dxa" w:w="1200"/>
            <w:shd w:fill="FFFFFF" w:color="auto" w:val="clear"/>
          </w:tcPr>
          <w:p>
            <w:pPr>
              <w:spacing w:after="60" w:before="60"/>
            </w:pPr>
            <w:r>
              <w:rPr>
                <w:rFonts w:ascii="Arial" w:cs="Arial" w:eastAsia="Arial" w:hAnsi="Arial"/>
                <w:color w:val="0C1B2E"/>
                <w:sz w:val="18"/>
                <w:szCs w:val="18"/>
              </w:rPr>
              <w:t xml:space="preserve">&gt; 30 %</w:t>
            </w:r>
          </w:p>
        </w:tc>
        <w:tc>
          <w:tcPr>
            <w:tcW w:type="dxa" w:w="3160"/>
            <w:shd w:fill="FFFFFF" w:color="auto" w:val="clear"/>
          </w:tcPr>
          <w:p>
            <w:pPr>
              <w:spacing w:after="60" w:before="60"/>
            </w:pPr>
            <w:r>
              <w:rPr>
                <w:rFonts w:ascii="Arial" w:cs="Arial" w:eastAsia="Arial" w:hAnsi="Arial"/>
                <w:color w:val="0C1B2E"/>
                <w:sz w:val="18"/>
                <w:szCs w:val="18"/>
              </w:rPr>
              <w:t xml:space="preserve">Efficience opérationnelle du réseau de distribution.</w:t>
            </w:r>
          </w:p>
        </w:tc>
      </w:tr>
      <w:tr>
        <w:tc>
          <w:tcPr>
            <w:tcW w:type="dxa" w:w="2000"/>
            <w:shd w:fill="F8F9FA" w:color="auto" w:val="clear"/>
          </w:tcPr>
          <w:p>
            <w:pPr>
              <w:spacing w:after="60" w:before="60"/>
            </w:pPr>
            <w:r>
              <w:rPr>
                <w:rFonts w:ascii="Arial" w:cs="Arial" w:eastAsia="Arial" w:hAnsi="Arial"/>
                <w:color w:val="0C1B2E"/>
                <w:sz w:val="18"/>
                <w:szCs w:val="18"/>
              </w:rPr>
              <w:t xml:space="preserve">ROE</w:t>
            </w:r>
          </w:p>
        </w:tc>
        <w:tc>
          <w:tcPr>
            <w:tcW w:type="dxa" w:w="3000"/>
            <w:shd w:fill="F8F9FA" w:color="auto" w:val="clear"/>
          </w:tcPr>
          <w:p>
            <w:pPr>
              <w:spacing w:after="60" w:before="60"/>
            </w:pPr>
            <w:r>
              <w:rPr>
                <w:rFonts w:ascii="Arial" w:cs="Arial" w:eastAsia="Arial" w:hAnsi="Arial"/>
                <w:color w:val="0C1B2E"/>
                <w:sz w:val="18"/>
                <w:szCs w:val="18"/>
              </w:rPr>
              <w:t xml:space="preserve">Résultat net / Capitaux propres × 100</w:t>
            </w:r>
          </w:p>
        </w:tc>
        <w:tc>
          <w:tcPr>
            <w:tcW w:type="dxa" w:w="1200"/>
            <w:shd w:fill="F8F9FA" w:color="auto" w:val="clear"/>
          </w:tcPr>
          <w:p>
            <w:pPr>
              <w:spacing w:after="60" w:before="60"/>
            </w:pPr>
            <w:r>
              <w:rPr>
                <w:rFonts w:ascii="Arial" w:cs="Arial" w:eastAsia="Arial" w:hAnsi="Arial"/>
                <w:color w:val="0C1B2E"/>
                <w:sz w:val="18"/>
                <w:szCs w:val="18"/>
              </w:rPr>
              <w:t xml:space="preserve">&lt; 5 %</w:t>
            </w:r>
          </w:p>
        </w:tc>
        <w:tc>
          <w:tcPr>
            <w:tcW w:type="dxa" w:w="3160"/>
            <w:shd w:fill="F8F9FA" w:color="auto" w:val="clear"/>
          </w:tcPr>
          <w:p>
            <w:pPr>
              <w:spacing w:after="60" w:before="60"/>
            </w:pPr>
            <w:r>
              <w:rPr>
                <w:rFonts w:ascii="Arial" w:cs="Arial" w:eastAsia="Arial" w:hAnsi="Arial"/>
                <w:color w:val="0C1B2E"/>
                <w:sz w:val="18"/>
                <w:szCs w:val="18"/>
              </w:rPr>
              <w:t xml:space="preserve">Rentabilité des fonds propres des actionnaires.</w:t>
            </w:r>
          </w:p>
        </w:tc>
      </w:tr>
      <w:tr>
        <w:tc>
          <w:tcPr>
            <w:tcW w:type="dxa" w:w="2000"/>
            <w:shd w:fill="FFFFFF" w:color="auto" w:val="clear"/>
          </w:tcPr>
          <w:p>
            <w:pPr>
              <w:spacing w:after="60" w:before="60"/>
            </w:pPr>
            <w:r>
              <w:rPr>
                <w:rFonts w:ascii="Arial" w:cs="Arial" w:eastAsia="Arial" w:hAnsi="Arial"/>
                <w:color w:val="0C1B2E"/>
                <w:sz w:val="18"/>
                <w:szCs w:val="18"/>
              </w:rPr>
              <w:t xml:space="preserve">ROA</w:t>
            </w:r>
          </w:p>
        </w:tc>
        <w:tc>
          <w:tcPr>
            <w:tcW w:type="dxa" w:w="3000"/>
            <w:shd w:fill="FFFFFF" w:color="auto" w:val="clear"/>
          </w:tcPr>
          <w:p>
            <w:pPr>
              <w:spacing w:after="60" w:before="60"/>
            </w:pPr>
            <w:r>
              <w:rPr>
                <w:rFonts w:ascii="Arial" w:cs="Arial" w:eastAsia="Arial" w:hAnsi="Arial"/>
                <w:color w:val="0C1B2E"/>
                <w:sz w:val="18"/>
                <w:szCs w:val="18"/>
              </w:rPr>
              <w:t xml:space="preserve">Résultat net / Total actif × 100</w:t>
            </w:r>
          </w:p>
        </w:tc>
        <w:tc>
          <w:tcPr>
            <w:tcW w:type="dxa" w:w="1200"/>
            <w:shd w:fill="FFFFFF" w:color="auto" w:val="clear"/>
          </w:tcPr>
          <w:p>
            <w:pPr>
              <w:spacing w:after="60" w:before="60"/>
            </w:pPr>
            <w:r>
              <w:rPr>
                <w:rFonts w:ascii="Arial" w:cs="Arial" w:eastAsia="Arial" w:hAnsi="Arial"/>
                <w:color w:val="0C1B2E"/>
                <w:sz w:val="18"/>
                <w:szCs w:val="18"/>
              </w:rPr>
              <w:t xml:space="preserve">&lt; 1 %</w:t>
            </w:r>
          </w:p>
        </w:tc>
        <w:tc>
          <w:tcPr>
            <w:tcW w:type="dxa" w:w="3160"/>
            <w:shd w:fill="FFFFFF" w:color="auto" w:val="clear"/>
          </w:tcPr>
          <w:p>
            <w:pPr>
              <w:spacing w:after="60" w:before="60"/>
            </w:pPr>
            <w:r>
              <w:rPr>
                <w:rFonts w:ascii="Arial" w:cs="Arial" w:eastAsia="Arial" w:hAnsi="Arial"/>
                <w:color w:val="0C1B2E"/>
                <w:sz w:val="18"/>
                <w:szCs w:val="18"/>
              </w:rPr>
              <w:t xml:space="preserve">Rentabilité de l'ensemble des actifs de la compagnie.</w:t>
            </w:r>
          </w:p>
        </w:tc>
      </w:tr>
      <w:tr>
        <w:tc>
          <w:tcPr>
            <w:tcW w:type="dxa" w:w="2000"/>
            <w:shd w:fill="F8F9FA" w:color="auto" w:val="clear"/>
          </w:tcPr>
          <w:p>
            <w:pPr>
              <w:spacing w:after="60" w:before="60"/>
            </w:pPr>
            <w:r>
              <w:rPr>
                <w:rFonts w:ascii="Arial" w:cs="Arial" w:eastAsia="Arial" w:hAnsi="Arial"/>
                <w:color w:val="0C1B2E"/>
                <w:sz w:val="18"/>
                <w:szCs w:val="18"/>
              </w:rPr>
              <w:t xml:space="preserve">Part de marché (PDM)</w:t>
            </w:r>
          </w:p>
        </w:tc>
        <w:tc>
          <w:tcPr>
            <w:tcW w:type="dxa" w:w="3000"/>
            <w:shd w:fill="F8F9FA" w:color="auto" w:val="clear"/>
          </w:tcPr>
          <w:p>
            <w:pPr>
              <w:spacing w:after="60" w:before="60"/>
            </w:pPr>
            <w:r>
              <w:rPr>
                <w:rFonts w:ascii="Arial" w:cs="Arial" w:eastAsia="Arial" w:hAnsi="Arial"/>
                <w:color w:val="0C1B2E"/>
                <w:sz w:val="18"/>
                <w:szCs w:val="18"/>
              </w:rPr>
              <w:t xml:space="preserve">Primes compagnie / Total marché FTUSA × 100</w:t>
            </w:r>
          </w:p>
        </w:tc>
        <w:tc>
          <w:tcPr>
            <w:tcW w:type="dxa" w:w="1200"/>
            <w:shd w:fill="F8F9FA" w:color="auto" w:val="clear"/>
          </w:tcPr>
          <w:p>
            <w:pPr>
              <w:spacing w:after="60" w:before="60"/>
            </w:pPr>
            <w:r>
              <w:rPr>
                <w:rFonts w:ascii="Arial" w:cs="Arial" w:eastAsia="Arial" w:hAnsi="Arial"/>
                <w:color w:val="0C1B2E"/>
                <w:sz w:val="18"/>
                <w:szCs w:val="18"/>
              </w:rPr>
              <w:t xml:space="preserve">—</w:t>
            </w:r>
          </w:p>
        </w:tc>
        <w:tc>
          <w:tcPr>
            <w:tcW w:type="dxa" w:w="3160"/>
            <w:shd w:fill="F8F9FA" w:color="auto" w:val="clear"/>
          </w:tcPr>
          <w:p>
            <w:pPr>
              <w:spacing w:after="60" w:before="60"/>
            </w:pPr>
            <w:r>
              <w:rPr>
                <w:rFonts w:ascii="Arial" w:cs="Arial" w:eastAsia="Arial" w:hAnsi="Arial"/>
                <w:color w:val="0C1B2E"/>
                <w:sz w:val="18"/>
                <w:szCs w:val="18"/>
              </w:rPr>
              <w:t xml:space="preserve">Position relative de la compagnie dans le secteur.</w:t>
            </w:r>
          </w:p>
        </w:tc>
      </w:tr>
      <w:tr>
        <w:tc>
          <w:tcPr>
            <w:tcW w:type="dxa" w:w="2000"/>
            <w:shd w:fill="FFFFFF" w:color="auto" w:val="clear"/>
          </w:tcPr>
          <w:p>
            <w:pPr>
              <w:spacing w:after="60" w:before="60"/>
            </w:pPr>
            <w:r>
              <w:rPr>
                <w:rFonts w:ascii="Arial" w:cs="Arial" w:eastAsia="Arial" w:hAnsi="Arial"/>
                <w:color w:val="0C1B2E"/>
                <w:sz w:val="18"/>
                <w:szCs w:val="18"/>
              </w:rPr>
              <w:t xml:space="preserve">Taux de pénétration</w:t>
            </w:r>
          </w:p>
        </w:tc>
        <w:tc>
          <w:tcPr>
            <w:tcW w:type="dxa" w:w="3000"/>
            <w:shd w:fill="FFFFFF" w:color="auto" w:val="clear"/>
          </w:tcPr>
          <w:p>
            <w:pPr>
              <w:spacing w:after="60" w:before="60"/>
            </w:pPr>
            <w:r>
              <w:rPr>
                <w:rFonts w:ascii="Arial" w:cs="Arial" w:eastAsia="Arial" w:hAnsi="Arial"/>
                <w:color w:val="0C1B2E"/>
                <w:sz w:val="18"/>
                <w:szCs w:val="18"/>
              </w:rPr>
              <w:t xml:space="preserve">Total primes marché / PIB INS × 100</w:t>
            </w:r>
          </w:p>
        </w:tc>
        <w:tc>
          <w:tcPr>
            <w:tcW w:type="dxa" w:w="1200"/>
            <w:shd w:fill="FFFFFF" w:color="auto" w:val="clear"/>
          </w:tcPr>
          <w:p>
            <w:pPr>
              <w:spacing w:after="60" w:before="60"/>
            </w:pPr>
            <w:r>
              <w:rPr>
                <w:rFonts w:ascii="Arial" w:cs="Arial" w:eastAsia="Arial" w:hAnsi="Arial"/>
                <w:color w:val="0C1B2E"/>
                <w:sz w:val="18"/>
                <w:szCs w:val="18"/>
              </w:rPr>
              <w:t xml:space="preserve">&lt; 1.5 %</w:t>
            </w:r>
          </w:p>
        </w:tc>
        <w:tc>
          <w:tcPr>
            <w:tcW w:type="dxa" w:w="3160"/>
            <w:shd w:fill="FFFFFF" w:color="auto" w:val="clear"/>
          </w:tcPr>
          <w:p>
            <w:pPr>
              <w:spacing w:after="60" w:before="60"/>
            </w:pPr>
            <w:r>
              <w:rPr>
                <w:rFonts w:ascii="Arial" w:cs="Arial" w:eastAsia="Arial" w:hAnsi="Arial"/>
                <w:color w:val="0C1B2E"/>
                <w:sz w:val="18"/>
                <w:szCs w:val="18"/>
              </w:rPr>
              <w:t xml:space="preserve">Développement sectoriel dans l'économie nationale.</w:t>
            </w:r>
          </w:p>
        </w:tc>
      </w:tr>
      <w:tr>
        <w:tc>
          <w:tcPr>
            <w:tcW w:type="dxa" w:w="2000"/>
            <w:shd w:fill="F8F9FA" w:color="auto" w:val="clear"/>
          </w:tcPr>
          <w:p>
            <w:pPr>
              <w:spacing w:after="60" w:before="60"/>
            </w:pPr>
            <w:r>
              <w:rPr>
                <w:rFonts w:ascii="Arial" w:cs="Arial" w:eastAsia="Arial" w:hAnsi="Arial"/>
                <w:color w:val="0C1B2E"/>
                <w:sz w:val="18"/>
                <w:szCs w:val="18"/>
              </w:rPr>
              <w:t xml:space="preserve">Densité d'assurance</w:t>
            </w:r>
          </w:p>
        </w:tc>
        <w:tc>
          <w:tcPr>
            <w:tcW w:type="dxa" w:w="3000"/>
            <w:shd w:fill="F8F9FA" w:color="auto" w:val="clear"/>
          </w:tcPr>
          <w:p>
            <w:pPr>
              <w:spacing w:after="60" w:before="60"/>
            </w:pPr>
            <w:r>
              <w:rPr>
                <w:rFonts w:ascii="Arial" w:cs="Arial" w:eastAsia="Arial" w:hAnsi="Arial"/>
                <w:color w:val="0C1B2E"/>
                <w:sz w:val="18"/>
                <w:szCs w:val="18"/>
              </w:rPr>
              <w:t xml:space="preserve">Total primes marché / Population INS</w:t>
            </w:r>
          </w:p>
        </w:tc>
        <w:tc>
          <w:tcPr>
            <w:tcW w:type="dxa" w:w="1200"/>
            <w:shd w:fill="F8F9FA" w:color="auto" w:val="clear"/>
          </w:tcPr>
          <w:p>
            <w:pPr>
              <w:spacing w:after="60" w:before="60"/>
            </w:pPr>
            <w:r>
              <w:rPr>
                <w:rFonts w:ascii="Arial" w:cs="Arial" w:eastAsia="Arial" w:hAnsi="Arial"/>
                <w:color w:val="0C1B2E"/>
                <w:sz w:val="18"/>
                <w:szCs w:val="18"/>
              </w:rPr>
              <w:t xml:space="preserve">—</w:t>
            </w:r>
          </w:p>
        </w:tc>
        <w:tc>
          <w:tcPr>
            <w:tcW w:type="dxa" w:w="3160"/>
            <w:shd w:fill="F8F9FA" w:color="auto" w:val="clear"/>
          </w:tcPr>
          <w:p>
            <w:pPr>
              <w:spacing w:after="60" w:before="60"/>
            </w:pPr>
            <w:r>
              <w:rPr>
                <w:rFonts w:ascii="Arial" w:cs="Arial" w:eastAsia="Arial" w:hAnsi="Arial"/>
                <w:color w:val="0C1B2E"/>
                <w:sz w:val="18"/>
                <w:szCs w:val="18"/>
              </w:rPr>
              <w:t xml:space="preserve">Prime moyenne par habitant en dinars tunisiens.</w:t>
            </w:r>
          </w:p>
        </w:tc>
      </w:tr>
    </w:tbl>
    <w:p>
      <w:pPr>
        <w:pStyle w:val="Heading3"/>
        <w:spacing w:after="80" w:before="240"/>
      </w:pPr>
      <w:r>
        <w:rPr>
          <w:rFonts w:ascii="Arial" w:cs="Arial" w:eastAsia="Arial" w:hAnsi="Arial"/>
          <w:b/>
          <w:bCs/>
          <w:color w:val="2E2E38"/>
          <w:sz w:val="22"/>
          <w:szCs w:val="22"/>
        </w:rPr>
        <w:t xml:space="preserve">Gestion des données partielles</w:t>
      </w:r>
    </w:p>
    <w:p>
      <w:pPr>
        <w:spacing w:after="80" w:before="60"/>
      </w:pPr>
      <w:r>
        <w:rPr>
          <w:rFonts w:ascii="Arial" w:cs="Arial" w:eastAsia="Arial" w:hAnsi="Arial"/>
          <w:color w:val="0C1B2E"/>
          <w:sz w:val="20"/>
          <w:szCs w:val="20"/>
        </w:rPr>
        <w:t xml:space="preserve">Quand une composante d'un KPI est absente (non extraite du PDF), le système ne force pas null. Trois statuts sont possibles :</w:t>
      </w:r>
    </w:p>
    <w:p>
      <w:pPr>
        <w:pStyle w:val="ListParagraph"/>
        <w:numPr>
          <w:ilvl w:val="0"/>
          <w:numId w:val="2"/>
        </w:numPr>
        <w:spacing w:after="40" w:before="40"/>
        <w:ind w:left="360" w:hanging="360"/>
      </w:pPr>
      <w:r>
        <w:rPr>
          <w:rFonts w:ascii="Arial" w:cs="Arial" w:eastAsia="Arial" w:hAnsi="Arial"/>
          <w:b/>
          <w:bCs/>
          <w:color w:val="0C1B2E"/>
          <w:sz w:val="20"/>
          <w:szCs w:val="20"/>
        </w:rPr>
        <w:t xml:space="preserve">extrait</w:t>
      </w:r>
      <w:r>
        <w:rPr>
          <w:rFonts w:ascii="Arial" w:cs="Arial" w:eastAsia="Arial" w:hAnsi="Arial"/>
          <w:color w:val="0C1B2E"/>
          <w:sz w:val="20"/>
          <w:szCs w:val="20"/>
        </w:rPr>
        <w:t xml:space="preserve"> — valeur issue directement du PDF, confiance maximale</w:t>
      </w:r>
    </w:p>
    <w:p>
      <w:pPr>
        <w:pStyle w:val="ListParagraph"/>
        <w:numPr>
          <w:ilvl w:val="0"/>
          <w:numId w:val="2"/>
        </w:numPr>
        <w:spacing w:after="40" w:before="40"/>
        <w:ind w:left="360" w:hanging="360"/>
      </w:pPr>
      <w:r>
        <w:rPr>
          <w:rFonts w:ascii="Arial" w:cs="Arial" w:eastAsia="Arial" w:hAnsi="Arial"/>
          <w:b/>
          <w:bCs/>
          <w:color w:val="0C1B2E"/>
          <w:sz w:val="20"/>
          <w:szCs w:val="20"/>
        </w:rPr>
        <w:t xml:space="preserve">recalculé</w:t>
      </w:r>
      <w:r>
        <w:rPr>
          <w:rFonts w:ascii="Arial" w:cs="Arial" w:eastAsia="Arial" w:hAnsi="Arial"/>
          <w:color w:val="0C1B2E"/>
          <w:sz w:val="20"/>
          <w:szCs w:val="20"/>
        </w:rPr>
        <w:t xml:space="preserve"> — estimation avec données partielles (ex: ratio combiné si une charge manque), confiance réduite</w:t>
      </w:r>
    </w:p>
    <w:p>
      <w:pPr>
        <w:pStyle w:val="ListParagraph"/>
        <w:numPr>
          <w:ilvl w:val="0"/>
          <w:numId w:val="2"/>
        </w:numPr>
        <w:spacing w:after="40" w:before="40"/>
        <w:ind w:left="360" w:hanging="360"/>
      </w:pPr>
      <w:r>
        <w:rPr>
          <w:rFonts w:ascii="Arial" w:cs="Arial" w:eastAsia="Arial" w:hAnsi="Arial"/>
          <w:b/>
          <w:bCs/>
          <w:color w:val="0C1B2E"/>
          <w:sz w:val="20"/>
          <w:szCs w:val="20"/>
        </w:rPr>
        <w:t xml:space="preserve">manquant</w:t>
      </w:r>
      <w:r>
        <w:rPr>
          <w:rFonts w:ascii="Arial" w:cs="Arial" w:eastAsia="Arial" w:hAnsi="Arial"/>
          <w:color w:val="0C1B2E"/>
          <w:sz w:val="20"/>
          <w:szCs w:val="20"/>
        </w:rPr>
        <w:t xml:space="preserve"> — aucune donnée disponible, cellule vide dans l'interface</w:t>
      </w:r>
    </w:p>
    <w:p>
      <w:pPr>
        <w:spacing w:after="80" w:before="60"/>
      </w:pPr>
      <w:r>
        <w:rPr>
          <w:rFonts w:ascii="Arial" w:cs="Arial" w:eastAsia="Arial" w:hAnsi="Arial"/>
          <w:color w:val="0C1B2E"/>
          <w:sz w:val="20"/>
          <w:szCs w:val="20"/>
        </w:rPr>
        <w:t xml:space="preserve">Ces statuts sont visibles dans la page Traçabilité des KPIs et alimentent le score qualité du système d'audit.</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ÉTAPE 5 BIS</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5 bis — Nettoyage post-extraction (Cleaning data)</w:t>
      </w:r>
    </w:p>
    <w:p>
      <w:pPr>
        <w:spacing w:after="80" w:before="60"/>
      </w:pPr>
      <w:r>
        <w:rPr>
          <w:rFonts w:ascii="Arial" w:cs="Arial" w:eastAsia="Arial" w:hAnsi="Arial"/>
          <w:color w:val="0C1B2E"/>
          <w:sz w:val="20"/>
          <w:szCs w:val="20"/>
        </w:rPr>
        <w:t xml:space="preserve">Une fois les KPI bruts extraits et écrits en base, une étape distincte de l'extraction elle-même vérifie leur cohérence dans le temps, avant qu'ils n'atteignent les KPI dérivés et les dashboards. Fichier : extraction/data_cleaning.py.</w:t>
      </w:r>
    </w:p>
    <w:p>
      <w:pPr>
        <w:pStyle w:val="Heading3"/>
        <w:spacing w:after="80" w:before="240"/>
      </w:pPr>
      <w:r>
        <w:rPr>
          <w:rFonts w:ascii="Arial" w:cs="Arial" w:eastAsia="Arial" w:hAnsi="Arial"/>
          <w:b/>
          <w:bCs/>
          <w:color w:val="2E2E38"/>
          <w:sz w:val="22"/>
          <w:szCs w:val="22"/>
        </w:rPr>
        <w:t xml:space="preserve">Contrôle de cohérence année sur année</w:t>
      </w:r>
    </w:p>
    <w:p>
      <w:pPr>
        <w:spacing w:after="80" w:before="60"/>
      </w:pPr>
      <w:r>
        <w:rPr>
          <w:rFonts w:ascii="Arial" w:cs="Arial" w:eastAsia="Arial" w:hAnsi="Arial"/>
          <w:color w:val="0C1B2E"/>
          <w:sz w:val="20"/>
          <w:szCs w:val="20"/>
        </w:rPr>
        <w:t xml:space="preserve">Chaque KPI financier majeur (Total actif, Capitaux propres, sections du Bilan...) fraîchement extrait pour une société est comparé à la valeur déjà enregistrée en base pour la même société l'année précédente. Une variation implausible — chute de plus de 95 %, multiplication par plus de 20, ou changement de signe — trahit presque toujours une erreur d'extraction plutôt qu'une vraie évolution business.</w:t>
      </w:r>
    </w:p>
    <w:p>
      <w:pPr>
        <w:pStyle w:val="ListParagraph"/>
        <w:numPr>
          <w:ilvl w:val="0"/>
          <w:numId w:val="2"/>
        </w:numPr>
        <w:spacing w:after="40" w:before="40"/>
        <w:ind w:left="360" w:hanging="360"/>
      </w:pPr>
      <w:r>
        <w:rPr>
          <w:rFonts w:ascii="Arial" w:cs="Arial" w:eastAsia="Arial" w:hAnsi="Arial"/>
          <w:color w:val="0C1B2E"/>
          <w:sz w:val="20"/>
          <w:szCs w:val="20"/>
        </w:rPr>
        <w:t xml:space="preserve">Aucune correction automatique : la valeur signalée reste telle quelle en base, jamais réécrite ni supprimée — une vraie évolution extrême (fusion, sinistre majeur, recapitalisation) reste possible</w:t>
      </w:r>
    </w:p>
    <w:p>
      <w:pPr>
        <w:pStyle w:val="ListParagraph"/>
        <w:numPr>
          <w:ilvl w:val="0"/>
          <w:numId w:val="2"/>
        </w:numPr>
        <w:spacing w:after="40" w:before="40"/>
        <w:ind w:left="360" w:hanging="360"/>
      </w:pPr>
      <w:r>
        <w:rPr>
          <w:rFonts w:ascii="Arial" w:cs="Arial" w:eastAsia="Arial" w:hAnsi="Arial"/>
          <w:color w:val="0C1B2E"/>
          <w:sz w:val="20"/>
          <w:szCs w:val="20"/>
        </w:rPr>
        <w:t xml:space="preserve">Comparaison contre l'historique déjà en base (pas deux colonnes du même PDF) : aucune extraction supplémentaire nécessaire, la donnée est déjà disponible</w:t>
      </w:r>
    </w:p>
    <w:p>
      <w:pPr>
        <w:pStyle w:val="ListParagraph"/>
        <w:numPr>
          <w:ilvl w:val="0"/>
          <w:numId w:val="2"/>
        </w:numPr>
        <w:spacing w:after="40" w:before="40"/>
        <w:ind w:left="360" w:hanging="360"/>
      </w:pPr>
      <w:r>
        <w:rPr>
          <w:rFonts w:ascii="Arial" w:cs="Arial" w:eastAsia="Arial" w:hAnsi="Arial"/>
          <w:color w:val="0C1B2E"/>
          <w:sz w:val="20"/>
          <w:szCs w:val="20"/>
        </w:rPr>
        <w:t xml:space="preserve">Chaque anomalie est journalisée (JSON structuré + console) pour investigation, avec l'année, l'ancienne et la nouvelle valeur, et le pourcentage de variation</w:t>
      </w:r>
    </w:p>
    <w:p>
      <w:pPr>
        <w:pBdr>
          <w:left w:val="single" w:color="0D7A3E" w:sz="12"/>
        </w:pBdr>
        <w:shd w:fill="F8F9FA" w:color="auto" w:val="clear"/>
        <w:spacing w:after="100" w:before="100"/>
        <w:ind w:left="200" w:right="200"/>
      </w:pPr>
      <w:r>
        <w:rPr>
          <w:rFonts w:ascii="Arial" w:cs="Arial" w:eastAsia="Arial" w:hAnsi="Arial"/>
          <w:b/>
          <w:bCs/>
          <w:color w:val="0D7A3E"/>
          <w:sz w:val="20"/>
          <w:szCs w:val="20"/>
        </w:rPr>
        <w:t xml:space="preserve">✓  </w:t>
      </w:r>
      <w:r>
        <w:rPr>
          <w:rFonts w:ascii="Arial" w:cs="Arial" w:eastAsia="Arial" w:hAnsi="Arial"/>
          <w:color w:val="0C1B2E"/>
          <w:sz w:val="20"/>
          <w:szCs w:val="20"/>
        </w:rPr>
        <w:t xml:space="preserve">Comparé au projet C:\fsmi (règle « R-YOY » de son module de validation), dont s'inspire ce contrôle — adapté ici pour comparer contre l'historique déjà stocké plutôt que deux colonnes d'un même PDF, sans extraction supplémentaire.</w:t>
      </w:r>
    </w:p>
    <w:p>
      <w:pPr>
        <w:pStyle w:val="Heading3"/>
        <w:spacing w:after="80" w:before="240"/>
      </w:pPr>
      <w:r>
        <w:rPr>
          <w:rFonts w:ascii="Arial" w:cs="Arial" w:eastAsia="Arial" w:hAnsi="Arial"/>
          <w:b/>
          <w:bCs/>
          <w:color w:val="2E2E38"/>
          <w:sz w:val="22"/>
          <w:szCs w:val="22"/>
        </w:rPr>
        <w:t xml:space="preserve">Intégrité du schéma et principe directeur</w:t>
      </w:r>
    </w:p>
    <w:p>
      <w:pPr>
        <w:pStyle w:val="ListParagraph"/>
        <w:numPr>
          <w:ilvl w:val="0"/>
          <w:numId w:val="2"/>
        </w:numPr>
        <w:spacing w:after="40" w:before="40"/>
        <w:ind w:left="360" w:hanging="360"/>
      </w:pPr>
      <w:r>
        <w:rPr>
          <w:rFonts w:ascii="Arial" w:cs="Arial" w:eastAsia="Arial" w:hAnsi="Arial"/>
          <w:color w:val="0C1B2E"/>
          <w:sz w:val="20"/>
          <w:szCs w:val="20"/>
        </w:rPr>
        <w:t xml:space="preserve">Clé unique de la table kpi_values élargie à (document, tableau, KPI) : deux tableaux qui produiraient par erreur le même nom de KPI ne peuvent plus s'écraser silencieusement l'un l'autre</w:t>
      </w:r>
    </w:p>
    <w:p>
      <w:pPr>
        <w:pStyle w:val="ListParagraph"/>
        <w:numPr>
          <w:ilvl w:val="0"/>
          <w:numId w:val="2"/>
        </w:numPr>
        <w:spacing w:after="40" w:before="40"/>
        <w:ind w:left="360" w:hanging="360"/>
      </w:pPr>
      <w:r>
        <w:rPr>
          <w:rFonts w:ascii="Arial" w:cs="Arial" w:eastAsia="Arial" w:hAnsi="Arial"/>
          <w:color w:val="0C1B2E"/>
          <w:sz w:val="20"/>
          <w:szCs w:val="20"/>
        </w:rPr>
        <w:t xml:space="preserve">Aucune valeur inventée : un KPI manquant (extraction impossible, valeur rejetée par un garde-fou, variation suspecte) reste NULL/absent jusqu'aux dashboards — jamais reconstitué par interpolation, report de l'année précédente ou moyenne sectorielle</w:t>
      </w:r>
    </w:p>
    <w:p>
      <w:pPr>
        <w:shd w:fill="2E2E38" w:color="auto" w:val="clear"/>
        <w:spacing w:after="60" w:before="240"/>
        <w:ind w:left="80" w:right="80"/>
      </w:pPr>
      <w:r>
        <w:rPr>
          <w:rFonts w:ascii="Arial" w:cs="Arial" w:eastAsia="Arial" w:hAnsi="Arial"/>
          <w:b/>
          <w:bCs/>
          <w:color w:val="FFE600"/>
          <w:spacing w:val="40"/>
          <w:sz w:val="16"/>
          <w:szCs w:val="16"/>
        </w:rPr>
        <w:t xml:space="preserve">ÉTAPE 5 TER</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5 ter — Modélisation (KPI calculés)</w:t>
      </w:r>
    </w:p>
    <w:p>
      <w:pPr>
        <w:spacing w:after="80" w:before="60"/>
      </w:pPr>
      <w:r>
        <w:rPr>
          <w:rFonts w:ascii="Arial" w:cs="Arial" w:eastAsia="Arial" w:hAnsi="Arial"/>
          <w:color w:val="0C1B2E"/>
          <w:sz w:val="20"/>
          <w:szCs w:val="20"/>
        </w:rPr>
        <w:t xml:space="preserve">Au-delà des valeurs extraites directement d'un PDF, une vingtaine de KPI sont calculés à partir de ceux déjà en base (ratios techniques, ROE/ROA, part de marché, taux de pénétration, densité d'assurance...). Fichier : extraction/calculated_kpi_extractor.py, 4 familles de calcul (par société, par secteur FTUSA×INS, par réseau d'agences CGA, par cotation BVMT).</w:t>
      </w:r>
    </w:p>
    <w:p>
      <w:pPr>
        <w:pBdr>
          <w:left w:val="single" w:color="C0392B" w:sz="12"/>
        </w:pBdr>
        <w:shd w:fill="F8F9FA" w:color="auto" w:val="clear"/>
        <w:spacing w:after="100" w:before="100"/>
        <w:ind w:left="200" w:right="200"/>
      </w:pPr>
      <w:r>
        <w:rPr>
          <w:rFonts w:ascii="Arial" w:cs="Arial" w:eastAsia="Arial" w:hAnsi="Arial"/>
          <w:b/>
          <w:bCs/>
          <w:color w:val="C0392B"/>
          <w:sz w:val="20"/>
          <w:szCs w:val="20"/>
        </w:rPr>
        <w:t xml:space="preserve">!  </w:t>
      </w:r>
      <w:r>
        <w:rPr>
          <w:rFonts w:ascii="Arial" w:cs="Arial" w:eastAsia="Arial" w:hAnsi="Arial"/>
          <w:color w:val="0C1B2E"/>
          <w:sz w:val="20"/>
          <w:szCs w:val="20"/>
        </w:rPr>
        <w:t xml:space="preserve">Audit (juillet 2026) : ce module n'était appelé par aucune exécution planifiée — seulement exécutable à la main. Toutes les valeurs calculées restaient périmées entre deux lancements manuels. Corrigé : branché en fin de pipeline, après les 5 sous-étapes dont il dépend.</w:t>
      </w:r>
    </w:p>
    <w:p>
      <w:pPr>
        <w:pStyle w:val="Heading3"/>
        <w:spacing w:after="80" w:before="240"/>
      </w:pPr>
      <w:r>
        <w:rPr>
          <w:rFonts w:ascii="Arial" w:cs="Arial" w:eastAsia="Arial" w:hAnsi="Arial"/>
          <w:b/>
          <w:bCs/>
          <w:color w:val="2E2E38"/>
          <w:sz w:val="22"/>
          <w:szCs w:val="22"/>
        </w:rPr>
        <w:t xml:space="preserve">Fiabilité des ratios techniques</w:t>
      </w:r>
    </w:p>
    <w:p>
      <w:pPr>
        <w:pStyle w:val="ListParagraph"/>
        <w:numPr>
          <w:ilvl w:val="0"/>
          <w:numId w:val="2"/>
        </w:numPr>
        <w:spacing w:after="40" w:before="40"/>
        <w:ind w:left="360" w:hanging="360"/>
      </w:pPr>
      <w:r>
        <w:rPr>
          <w:rFonts w:ascii="Arial" w:cs="Arial" w:eastAsia="Arial" w:hAnsi="Arial"/>
          <w:color w:val="0C1B2E"/>
          <w:sz w:val="20"/>
          <w:szCs w:val="20"/>
        </w:rPr>
        <w:t xml:space="preserve">Garde-fou de cohérence Vie/Non-Vie : si les charges Vie pèsent plus de 10 % du total mais que les primes Vie n'ont pas pu être extraites, le numérateur et le dénominateur ne couvrent plus le même périmètre — les 3 ratios concernés (combiné, sinistralité, frais) sont invalidés ensemble plutôt que de renvoyer un chiffre gonflé</w:t>
      </w:r>
    </w:p>
    <w:p>
      <w:pPr>
        <w:pStyle w:val="ListParagraph"/>
        <w:numPr>
          <w:ilvl w:val="0"/>
          <w:numId w:val="2"/>
        </w:numPr>
        <w:spacing w:after="40" w:before="40"/>
        <w:ind w:left="360" w:hanging="360"/>
      </w:pPr>
      <w:r>
        <w:rPr>
          <w:rFonts w:ascii="Arial" w:cs="Arial" w:eastAsia="Arial" w:hAnsi="Arial"/>
          <w:color w:val="0C1B2E"/>
          <w:sz w:val="20"/>
          <w:szCs w:val="20"/>
        </w:rPr>
        <w:t xml:space="preserve">Plancher/plafond de plausibilité (2 % – 1 000 %) appliqué à l'écriture en base, pas seulement à la lecture côté API — une valeur suspecte n'atteint jamais le chatbot ni un futur export</w:t>
      </w:r>
    </w:p>
    <w:p>
      <w:pPr>
        <w:pStyle w:val="ListParagraph"/>
        <w:numPr>
          <w:ilvl w:val="0"/>
          <w:numId w:val="2"/>
        </w:numPr>
        <w:spacing w:after="40" w:before="40"/>
        <w:ind w:left="360" w:hanging="360"/>
      </w:pPr>
      <w:r>
        <w:rPr>
          <w:rFonts w:ascii="Arial" w:cs="Arial" w:eastAsia="Arial" w:hAnsi="Arial"/>
          <w:color w:val="0C1B2E"/>
          <w:sz w:val="20"/>
          <w:szCs w:val="20"/>
        </w:rPr>
        <w:t xml:space="preserve">Toute valeur calculée lors d'une exécution précédente mais devenue incalculable ou implausible aujourd'hui est explicitement supprimée de la base, plutôt que laissée périmée indéfiniment</w:t>
      </w:r>
    </w:p>
    <w:p>
      <w:pPr>
        <w:pBdr>
          <w:left w:val="single" w:color="0D7A3E" w:sz="12"/>
        </w:pBdr>
        <w:shd w:fill="F8F9FA" w:color="auto" w:val="clear"/>
        <w:spacing w:after="100" w:before="100"/>
        <w:ind w:left="200" w:right="200"/>
      </w:pPr>
      <w:r>
        <w:rPr>
          <w:rFonts w:ascii="Arial" w:cs="Arial" w:eastAsia="Arial" w:hAnsi="Arial"/>
          <w:b/>
          <w:bCs/>
          <w:color w:val="0D7A3E"/>
          <w:sz w:val="20"/>
          <w:szCs w:val="20"/>
        </w:rPr>
        <w:t xml:space="preserve">✓  </w:t>
      </w:r>
      <w:r>
        <w:rPr>
          <w:rFonts w:ascii="Arial" w:cs="Arial" w:eastAsia="Arial" w:hAnsi="Arial"/>
          <w:color w:val="0C1B2E"/>
          <w:sz w:val="20"/>
          <w:szCs w:val="20"/>
        </w:rPr>
        <w:t xml:space="preserve">20 nouveaux tests unitaires (54/54 au total) et vérification empirique sur 24 PDF réels (un par société) : 0 erreur, 0 dépassement de borne.</w:t>
      </w:r>
    </w:p>
    <w:p>
      <w:pPr>
        <w:shd w:fill="2E2E38" w:color="auto" w:val="clear"/>
        <w:spacing w:after="60" w:before="240"/>
        <w:ind w:left="80" w:right="80"/>
      </w:pPr>
      <w:r>
        <w:rPr>
          <w:rFonts w:ascii="Arial" w:cs="Arial" w:eastAsia="Arial" w:hAnsi="Arial"/>
          <w:b/>
          <w:bCs/>
          <w:color w:val="FFE600"/>
          <w:spacing w:val="40"/>
          <w:sz w:val="16"/>
          <w:szCs w:val="16"/>
        </w:rPr>
        <w:t xml:space="preserve">PARTIE III — INFRASTRUCTURE</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6 — Base de Données</w:t>
      </w:r>
    </w:p>
    <w:p>
      <w:pPr>
        <w:pStyle w:val="Heading3"/>
        <w:spacing w:after="80" w:before="240"/>
      </w:pPr>
      <w:r>
        <w:rPr>
          <w:rFonts w:ascii="Arial" w:cs="Arial" w:eastAsia="Arial" w:hAnsi="Arial"/>
          <w:b/>
          <w:bCs/>
          <w:color w:val="2E2E38"/>
          <w:sz w:val="22"/>
          <w:szCs w:val="22"/>
        </w:rPr>
        <w:t xml:space="preserve">Double architecture : MySQL (pipeline) + SQLite (API)</w:t>
      </w:r>
    </w:p>
    <w:p>
      <w:pPr>
        <w:spacing w:after="80" w:before="60"/>
      </w:pPr>
      <w:r>
        <w:rPr>
          <w:rFonts w:ascii="Arial" w:cs="Arial" w:eastAsia="Arial" w:hAnsi="Arial"/>
          <w:color w:val="0C1B2E"/>
          <w:sz w:val="20"/>
          <w:szCs w:val="20"/>
        </w:rPr>
        <w:t xml:space="preserve">Le projet utilise intentionnellement deux bases de données selon la phase de traitement :</w:t>
      </w:r>
    </w:p>
    <w:p>
      <w:pPr>
        <w:pStyle w:val="Heading4"/>
        <w:spacing w:after="60" w:before="180"/>
      </w:pPr>
      <w:r>
        <w:rPr>
          <w:rFonts w:ascii="Arial" w:cs="Arial" w:eastAsia="Arial" w:hAnsi="Arial"/>
          <w:b/>
          <w:bCs/>
          <w:color w:val="5C5C6E"/>
          <w:spacing w:val="30"/>
          <w:sz w:val="18"/>
          <w:szCs w:val="18"/>
        </w:rPr>
        <w:t xml:space="preserve">PHASE COLLECTE : MYSQL (PYMYSQL)</w:t>
      </w:r>
    </w:p>
    <w:p>
      <w:pPr>
        <w:spacing w:after="80" w:before="60"/>
      </w:pPr>
      <w:r>
        <w:rPr>
          <w:rFonts w:ascii="Arial" w:cs="Arial" w:eastAsia="Arial" w:hAnsi="Arial"/>
          <w:color w:val="0C1B2E"/>
          <w:sz w:val="20"/>
          <w:szCs w:val="20"/>
        </w:rPr>
        <w:t xml:space="preserve">Fichier : database/repository.py — Le pipeline de collecte (scraping + extraction) utilise MySQL pour sa robustesse sur les opérations de masse : 24 compagnies × 10 ans × écriture concurrente. Les contraintes d'intégrité (clés étrangères, transactions ACID) garantissent la cohérence des données même en cas d'interruption.</w:t>
      </w:r>
    </w:p>
    <w:p>
      <w:pPr>
        <w:pStyle w:val="Heading4"/>
        <w:spacing w:after="60" w:before="180"/>
      </w:pPr>
      <w:r>
        <w:rPr>
          <w:rFonts w:ascii="Arial" w:cs="Arial" w:eastAsia="Arial" w:hAnsi="Arial"/>
          <w:b/>
          <w:bCs/>
          <w:color w:val="5C5C6E"/>
          <w:spacing w:val="30"/>
          <w:sz w:val="18"/>
          <w:szCs w:val="18"/>
        </w:rPr>
        <w:t xml:space="preserve">PHASE API : SQLITE (SQLITE3)</w:t>
      </w:r>
    </w:p>
    <w:p>
      <w:pPr>
        <w:spacing w:after="80" w:before="60"/>
      </w:pPr>
      <w:r>
        <w:rPr>
          <w:rFonts w:ascii="Arial" w:cs="Arial" w:eastAsia="Arial" w:hAnsi="Arial"/>
          <w:color w:val="0C1B2E"/>
          <w:sz w:val="20"/>
          <w:szCs w:val="20"/>
        </w:rPr>
        <w:t xml:space="preserve">Fichier : market_intel.db — L'API Flask lit depuis une base SQLite. Avantages : portabilité totale (un seul fichier déployable), zéro dépendance serveur, latence minimale pour les requêtes de lecture. Performance suffisante pour le volume de données (&lt; 5 Mo au total).</w:t>
      </w:r>
    </w:p>
    <w:p>
      <w:pPr>
        <w:pStyle w:val="Heading3"/>
        <w:spacing w:after="80" w:before="240"/>
      </w:pPr>
      <w:r>
        <w:rPr>
          <w:rFonts w:ascii="Arial" w:cs="Arial" w:eastAsia="Arial" w:hAnsi="Arial"/>
          <w:b/>
          <w:bCs/>
          <w:color w:val="2E2E38"/>
          <w:sz w:val="22"/>
          <w:szCs w:val="22"/>
        </w:rPr>
        <w:t xml:space="preserve">Schéma des tables principales</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 Documents PDF référencés</w:t>
        <w:br/>
        <w:t xml:space="preserve">CREATE TABLE documents (</w:t>
        <w:br/>
        <w:t xml:space="preserve">    id         INTEGER PRIMARY KEY,</w:t>
        <w:br/>
        <w:t xml:space="preserve">    code       TEXT,     -- code compagnie (ex: 'STAR')</w:t>
        <w:br/>
        <w:t xml:space="preserve">    annee      INTEGER,  -- année (2015-2024)</w:t>
        <w:br/>
        <w:t xml:space="preserve">    nom        TEXT,     -- nom du fichier PDF</w:t>
        <w:br/>
        <w:t xml:space="preserve">    lien       TEXT,     -- URL source CMF</w:t>
        <w:br/>
        <w:t xml:space="preserve">    source_id  INTEGER</w:t>
        <w:br/>
        <w:t xml:space="preserve">);</w:t>
        <w:br/>
        <w:t xml:space="preserve"/>
        <w:br/>
        <w:t xml:space="preserve">-- Valeurs KPI extraites (numériques et textuelles)</w:t>
        <w:br/>
        <w:t xml:space="preserve">CREATE TABLE kpi_values (</w:t>
        <w:br/>
        <w:t xml:space="preserve">    id            INTEGER PRIMARY KEY,</w:t>
        <w:br/>
        <w:t xml:space="preserve">    document_id   INTEGER REFERENCES documents(id),</w:t>
        <w:br/>
        <w:t xml:space="preserve">    kpi           TEXT,   -- clé KPI (ex: 'primes_emises_vie')</w:t>
        <w:br/>
        <w:t xml:space="preserve">    valeur_nombre REAL,   -- valeur numérique</w:t>
        <w:br/>
        <w:t xml:space="preserve">    valeur_texte  TEXT,   -- valeur textuelle</w:t>
        <w:br/>
        <w:t xml:space="preserve">    statut        TEXT    -- 'extrait', 'recalcule', 'aberrant'</w:t>
        <w:br/>
        <w:t xml:space="preserve">);</w:t>
        <w:br/>
        <w:t xml:space="preserve"/>
        <w:br/>
        <w:t xml:space="preserve">-- Anomalies détectées par l'audit qualité</w:t>
        <w:br/>
        <w:t xml:space="preserve">CREATE TABLE anomalies (</w:t>
        <w:br/>
        <w:t xml:space="preserve">    id          INTEGER PRIMARY KEY,</w:t>
        <w:br/>
        <w:t xml:space="preserve">    code        TEXT,</w:t>
        <w:br/>
        <w:t xml:space="preserve">    annee       INTEGER,</w:t>
        <w:br/>
        <w:t xml:space="preserve">    kpi         TEXT,</w:t>
        <w:br/>
        <w:t xml:space="preserve">    type        TEXT,    -- 'manquant', 'aberrant', 'recalcule'</w:t>
        <w:br/>
        <w:t xml:space="preserve">    gravite     TEXT,    -- 'Critique', 'Elevee', 'Moyenne', 'Faible'</w:t>
        <w:br/>
        <w:t xml:space="preserve">    description TEXT</w:t>
        <w:br/>
        <w:t xml:space="preserve">);</w:t>
      </w:r>
    </w:p>
    <w:p>
      <w:pPr>
        <w:pBdr>
          <w:left w:val="single" w:color="1A73E8" w:sz="12"/>
        </w:pBdr>
        <w:shd w:fill="F8F9FA" w:color="auto" w:val="clear"/>
        <w:spacing w:after="100" w:before="100"/>
        <w:ind w:left="200" w:right="200"/>
      </w:pPr>
      <w:r>
        <w:rPr>
          <w:rFonts w:ascii="Arial" w:cs="Arial" w:eastAsia="Arial" w:hAnsi="Arial"/>
          <w:b/>
          <w:bCs/>
          <w:color w:val="1A73E8"/>
          <w:sz w:val="20"/>
          <w:szCs w:val="20"/>
        </w:rPr>
        <w:t xml:space="preserve">ℹ  </w:t>
      </w:r>
      <w:r>
        <w:rPr>
          <w:rFonts w:ascii="Arial" w:cs="Arial" w:eastAsia="Arial" w:hAnsi="Arial"/>
          <w:color w:val="0C1B2E"/>
          <w:sz w:val="20"/>
          <w:szCs w:val="20"/>
        </w:rPr>
        <w:t xml:space="preserve">Le chatbot utilise une troisième base distincte (chatbot_portable/MarketInsurance.db) avec un schéma dénormalisé optimisé pour les requêtes Text-to-SQL : tables aplaties compagnie+année+kpi avec index composites.</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ÉTAPE 7</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7 — Backend Flask API</w:t>
      </w:r>
    </w:p>
    <w:p>
      <w:pPr>
        <w:spacing w:after="80" w:before="60"/>
      </w:pPr>
      <w:r>
        <w:rPr>
          <w:rFonts w:ascii="Arial" w:cs="Arial" w:eastAsia="Arial" w:hAnsi="Arial"/>
          <w:color w:val="0C1B2E"/>
          <w:sz w:val="20"/>
          <w:szCs w:val="20"/>
        </w:rPr>
        <w:t xml:space="preserve">Fichier principal : api/app.py — Serveur Flask sur le port 8002.</w:t>
      </w:r>
    </w:p>
    <w:p>
      <w:pPr>
        <w:pStyle w:val="Heading3"/>
        <w:spacing w:after="80" w:before="240"/>
      </w:pPr>
      <w:r>
        <w:rPr>
          <w:rFonts w:ascii="Arial" w:cs="Arial" w:eastAsia="Arial" w:hAnsi="Arial"/>
          <w:b/>
          <w:bCs/>
          <w:color w:val="2E2E38"/>
          <w:sz w:val="22"/>
          <w:szCs w:val="22"/>
        </w:rPr>
        <w:t xml:space="preserve">Architecture en blueprints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00"/>
        <w:gridCol w:w="4960"/>
      </w:tblGrid>
      <w:tr>
        <w:trPr>
          <w:tblHeader/>
        </w:trPr>
        <w:tc>
          <w:tcPr>
            <w:tcW w:type="dxa" w:w="2400"/>
            <w:shd w:fill="2E2E38" w:color="auto" w:val="clear"/>
          </w:tcPr>
          <w:p>
            <w:pPr>
              <w:jc w:val="left"/>
            </w:pPr>
            <w:r>
              <w:rPr>
                <w:rFonts w:ascii="Arial" w:cs="Arial" w:eastAsia="Arial" w:hAnsi="Arial"/>
                <w:b/>
                <w:bCs/>
                <w:color w:val="FFE600"/>
                <w:spacing w:val="20"/>
                <w:sz w:val="17"/>
                <w:szCs w:val="17"/>
              </w:rPr>
              <w:t xml:space="preserve">BLUEPRINT</w:t>
            </w:r>
          </w:p>
        </w:tc>
        <w:tc>
          <w:tcPr>
            <w:tcW w:type="dxa" w:w="3000"/>
            <w:shd w:fill="2E2E38" w:color="auto" w:val="clear"/>
          </w:tcPr>
          <w:p>
            <w:pPr>
              <w:jc w:val="left"/>
            </w:pPr>
            <w:r>
              <w:rPr>
                <w:rFonts w:ascii="Arial" w:cs="Arial" w:eastAsia="Arial" w:hAnsi="Arial"/>
                <w:b/>
                <w:bCs/>
                <w:color w:val="FFE600"/>
                <w:spacing w:val="20"/>
                <w:sz w:val="17"/>
                <w:szCs w:val="17"/>
              </w:rPr>
              <w:t xml:space="preserve">ROUTES</w:t>
            </w:r>
          </w:p>
        </w:tc>
        <w:tc>
          <w:tcPr>
            <w:tcW w:type="dxa" w:w="4960"/>
            <w:shd w:fill="2E2E38" w:color="auto" w:val="clear"/>
          </w:tcPr>
          <w:p>
            <w:pPr>
              <w:jc w:val="left"/>
            </w:pPr>
            <w:r>
              <w:rPr>
                <w:rFonts w:ascii="Arial" w:cs="Arial" w:eastAsia="Arial" w:hAnsi="Arial"/>
                <w:b/>
                <w:bCs/>
                <w:color w:val="FFE600"/>
                <w:spacing w:val="20"/>
                <w:sz w:val="17"/>
                <w:szCs w:val="17"/>
              </w:rPr>
              <w:t xml:space="preserve">RESPONSABILITÉ</w:t>
            </w:r>
          </w:p>
        </w:tc>
      </w:tr>
      <w:tr>
        <w:tc>
          <w:tcPr>
            <w:tcW w:type="dxa" w:w="2400"/>
            <w:shd w:fill="FFFFFF" w:color="auto" w:val="clear"/>
          </w:tcPr>
          <w:p>
            <w:pPr>
              <w:spacing w:after="60" w:before="60"/>
            </w:pPr>
            <w:r>
              <w:rPr>
                <w:rFonts w:ascii="Arial" w:cs="Arial" w:eastAsia="Arial" w:hAnsi="Arial"/>
                <w:color w:val="0C1B2E"/>
                <w:sz w:val="18"/>
                <w:szCs w:val="18"/>
              </w:rPr>
              <w:t xml:space="preserve">routes/apercu_marche.py</w:t>
            </w:r>
          </w:p>
        </w:tc>
        <w:tc>
          <w:tcPr>
            <w:tcW w:type="dxa" w:w="3000"/>
            <w:shd w:fill="FFFFFF" w:color="auto" w:val="clear"/>
          </w:tcPr>
          <w:p>
            <w:pPr>
              <w:spacing w:after="60" w:before="60"/>
            </w:pPr>
            <w:r>
              <w:rPr>
                <w:rFonts w:ascii="Arial" w:cs="Arial" w:eastAsia="Arial" w:hAnsi="Arial"/>
                <w:color w:val="0C1B2E"/>
                <w:sz w:val="18"/>
                <w:szCs w:val="18"/>
              </w:rPr>
              <w:t xml:space="preserve">/api/apercu-marche/*</w:t>
            </w:r>
          </w:p>
        </w:tc>
        <w:tc>
          <w:tcPr>
            <w:tcW w:type="dxa" w:w="4960"/>
            <w:shd w:fill="FFFFFF" w:color="auto" w:val="clear"/>
          </w:tcPr>
          <w:p>
            <w:pPr>
              <w:spacing w:after="60" w:before="60"/>
            </w:pPr>
            <w:r>
              <w:rPr>
                <w:rFonts w:ascii="Arial" w:cs="Arial" w:eastAsia="Arial" w:hAnsi="Arial"/>
                <w:color w:val="0C1B2E"/>
                <w:sz w:val="18"/>
                <w:szCs w:val="18"/>
              </w:rPr>
              <w:t xml:space="preserve">Taux de pénétration, densité, totaux marché, évolutions FTUSA+INS</w:t>
            </w:r>
          </w:p>
        </w:tc>
      </w:tr>
      <w:tr>
        <w:tc>
          <w:tcPr>
            <w:tcW w:type="dxa" w:w="2400"/>
            <w:shd w:fill="F8F9FA" w:color="auto" w:val="clear"/>
          </w:tcPr>
          <w:p>
            <w:pPr>
              <w:spacing w:after="60" w:before="60"/>
            </w:pPr>
            <w:r>
              <w:rPr>
                <w:rFonts w:ascii="Arial" w:cs="Arial" w:eastAsia="Arial" w:hAnsi="Arial"/>
                <w:color w:val="0C1B2E"/>
                <w:sz w:val="18"/>
                <w:szCs w:val="18"/>
              </w:rPr>
              <w:t xml:space="preserve">routes/comparative.py</w:t>
            </w:r>
          </w:p>
        </w:tc>
        <w:tc>
          <w:tcPr>
            <w:tcW w:type="dxa" w:w="3000"/>
            <w:shd w:fill="F8F9FA" w:color="auto" w:val="clear"/>
          </w:tcPr>
          <w:p>
            <w:pPr>
              <w:spacing w:after="60" w:before="60"/>
            </w:pPr>
            <w:r>
              <w:rPr>
                <w:rFonts w:ascii="Arial" w:cs="Arial" w:eastAsia="Arial" w:hAnsi="Arial"/>
                <w:color w:val="0C1B2E"/>
                <w:sz w:val="18"/>
                <w:szCs w:val="18"/>
              </w:rPr>
              <w:t xml:space="preserve">/api/analyse-comparative, /api/classement-compagnies</w:t>
            </w:r>
          </w:p>
        </w:tc>
        <w:tc>
          <w:tcPr>
            <w:tcW w:type="dxa" w:w="4960"/>
            <w:shd w:fill="F8F9FA" w:color="auto" w:val="clear"/>
          </w:tcPr>
          <w:p>
            <w:pPr>
              <w:spacing w:after="60" w:before="60"/>
            </w:pPr>
            <w:r>
              <w:rPr>
                <w:rFonts w:ascii="Arial" w:cs="Arial" w:eastAsia="Arial" w:hAnsi="Arial"/>
                <w:color w:val="0C1B2E"/>
                <w:sz w:val="18"/>
                <w:szCs w:val="18"/>
              </w:rPr>
              <w:t xml:space="preserve">Tableau croisé KPIs × compagnies, classements multi-critères</w:t>
            </w:r>
          </w:p>
        </w:tc>
      </w:tr>
      <w:tr>
        <w:tc>
          <w:tcPr>
            <w:tcW w:type="dxa" w:w="2400"/>
            <w:shd w:fill="FFFFFF" w:color="auto" w:val="clear"/>
          </w:tcPr>
          <w:p>
            <w:pPr>
              <w:spacing w:after="60" w:before="60"/>
            </w:pPr>
            <w:r>
              <w:rPr>
                <w:rFonts w:ascii="Arial" w:cs="Arial" w:eastAsia="Arial" w:hAnsi="Arial"/>
                <w:color w:val="0C1B2E"/>
                <w:sz w:val="18"/>
                <w:szCs w:val="18"/>
              </w:rPr>
              <w:t xml:space="preserve">routes/vue_assurance.py</w:t>
            </w:r>
          </w:p>
        </w:tc>
        <w:tc>
          <w:tcPr>
            <w:tcW w:type="dxa" w:w="3000"/>
            <w:shd w:fill="FFFFFF" w:color="auto" w:val="clear"/>
          </w:tcPr>
          <w:p>
            <w:pPr>
              <w:spacing w:after="60" w:before="60"/>
            </w:pPr>
            <w:r>
              <w:rPr>
                <w:rFonts w:ascii="Arial" w:cs="Arial" w:eastAsia="Arial" w:hAnsi="Arial"/>
                <w:color w:val="0C1B2E"/>
                <w:sz w:val="18"/>
                <w:szCs w:val="18"/>
              </w:rPr>
              <w:t xml:space="preserve">/api/vue-assurance/*, /api/kpi-detail/*</w:t>
            </w:r>
          </w:p>
        </w:tc>
        <w:tc>
          <w:tcPr>
            <w:tcW w:type="dxa" w:w="4960"/>
            <w:shd w:fill="FFFFFF" w:color="auto" w:val="clear"/>
          </w:tcPr>
          <w:p>
            <w:pPr>
              <w:spacing w:after="60" w:before="60"/>
            </w:pPr>
            <w:r>
              <w:rPr>
                <w:rFonts w:ascii="Arial" w:cs="Arial" w:eastAsia="Arial" w:hAnsi="Arial"/>
                <w:color w:val="0C1B2E"/>
                <w:sz w:val="18"/>
                <w:szCs w:val="18"/>
              </w:rPr>
              <w:t xml:space="preserve">Fiches détaillées par compagnie, données PDF Viewer</w:t>
            </w:r>
          </w:p>
        </w:tc>
      </w:tr>
      <w:tr>
        <w:tc>
          <w:tcPr>
            <w:tcW w:type="dxa" w:w="2400"/>
            <w:shd w:fill="F8F9FA" w:color="auto" w:val="clear"/>
          </w:tcPr>
          <w:p>
            <w:pPr>
              <w:spacing w:after="60" w:before="60"/>
            </w:pPr>
            <w:r>
              <w:rPr>
                <w:rFonts w:ascii="Arial" w:cs="Arial" w:eastAsia="Arial" w:hAnsi="Arial"/>
                <w:color w:val="0C1B2E"/>
                <w:sz w:val="18"/>
                <w:szCs w:val="18"/>
              </w:rPr>
              <w:t xml:space="preserve">routes/enquete.py</w:t>
            </w:r>
          </w:p>
        </w:tc>
        <w:tc>
          <w:tcPr>
            <w:tcW w:type="dxa" w:w="3000"/>
            <w:shd w:fill="F8F9FA" w:color="auto" w:val="clear"/>
          </w:tcPr>
          <w:p>
            <w:pPr>
              <w:spacing w:after="60" w:before="60"/>
            </w:pPr>
            <w:r>
              <w:rPr>
                <w:rFonts w:ascii="Arial" w:cs="Arial" w:eastAsia="Arial" w:hAnsi="Arial"/>
                <w:color w:val="0C1B2E"/>
                <w:sz w:val="18"/>
                <w:szCs w:val="18"/>
              </w:rPr>
              <w:t xml:space="preserve">/api/enquete-marche/*</w:t>
            </w:r>
          </w:p>
        </w:tc>
        <w:tc>
          <w:tcPr>
            <w:tcW w:type="dxa" w:w="4960"/>
            <w:shd w:fill="F8F9FA" w:color="auto" w:val="clear"/>
          </w:tcPr>
          <w:p>
            <w:pPr>
              <w:spacing w:after="60" w:before="60"/>
            </w:pPr>
            <w:r>
              <w:rPr>
                <w:rFonts w:ascii="Arial" w:cs="Arial" w:eastAsia="Arial" w:hAnsi="Arial"/>
                <w:color w:val="0C1B2E"/>
                <w:sz w:val="18"/>
                <w:szCs w:val="18"/>
              </w:rPr>
              <w:t xml:space="preserve">Distribution géographique des agences par gouvernorat</w:t>
            </w:r>
          </w:p>
        </w:tc>
      </w:tr>
      <w:tr>
        <w:tc>
          <w:tcPr>
            <w:tcW w:type="dxa" w:w="2400"/>
            <w:shd w:fill="FFFFFF" w:color="auto" w:val="clear"/>
          </w:tcPr>
          <w:p>
            <w:pPr>
              <w:spacing w:after="60" w:before="60"/>
            </w:pPr>
            <w:r>
              <w:rPr>
                <w:rFonts w:ascii="Arial" w:cs="Arial" w:eastAsia="Arial" w:hAnsi="Arial"/>
                <w:color w:val="0C1B2E"/>
                <w:sz w:val="18"/>
                <w:szCs w:val="18"/>
              </w:rPr>
              <w:t xml:space="preserve">routes/veille.py</w:t>
            </w:r>
          </w:p>
        </w:tc>
        <w:tc>
          <w:tcPr>
            <w:tcW w:type="dxa" w:w="3000"/>
            <w:shd w:fill="FFFFFF" w:color="auto" w:val="clear"/>
          </w:tcPr>
          <w:p>
            <w:pPr>
              <w:spacing w:after="60" w:before="60"/>
            </w:pPr>
            <w:r>
              <w:rPr>
                <w:rFonts w:ascii="Arial" w:cs="Arial" w:eastAsia="Arial" w:hAnsi="Arial"/>
                <w:color w:val="0C1B2E"/>
                <w:sz w:val="18"/>
                <w:szCs w:val="18"/>
              </w:rPr>
              <w:t xml:space="preserve">/api/actualites, /api/veille-reglementaire*, /api/pdf-proxy</w:t>
            </w:r>
          </w:p>
        </w:tc>
        <w:tc>
          <w:tcPr>
            <w:tcW w:type="dxa" w:w="4960"/>
            <w:shd w:fill="FFFFFF" w:color="auto" w:val="clear"/>
          </w:tcPr>
          <w:p>
            <w:pPr>
              <w:spacing w:after="60" w:before="60"/>
            </w:pPr>
            <w:r>
              <w:rPr>
                <w:rFonts w:ascii="Arial" w:cs="Arial" w:eastAsia="Arial" w:hAnsi="Arial"/>
                <w:color w:val="0C1B2E"/>
                <w:sz w:val="18"/>
                <w:szCs w:val="18"/>
              </w:rPr>
              <w:t xml:space="preserve">Articles de presse, circulaires CGA, proxy PDF sécurisé</w:t>
            </w:r>
          </w:p>
        </w:tc>
      </w:tr>
      <w:tr>
        <w:tc>
          <w:tcPr>
            <w:tcW w:type="dxa" w:w="2400"/>
            <w:shd w:fill="F8F9FA" w:color="auto" w:val="clear"/>
          </w:tcPr>
          <w:p>
            <w:pPr>
              <w:spacing w:after="60" w:before="60"/>
            </w:pPr>
            <w:r>
              <w:rPr>
                <w:rFonts w:ascii="Arial" w:cs="Arial" w:eastAsia="Arial" w:hAnsi="Arial"/>
                <w:color w:val="0C1B2E"/>
                <w:sz w:val="18"/>
                <w:szCs w:val="18"/>
              </w:rPr>
              <w:t xml:space="preserve">routes/qualite.py</w:t>
            </w:r>
          </w:p>
        </w:tc>
        <w:tc>
          <w:tcPr>
            <w:tcW w:type="dxa" w:w="3000"/>
            <w:shd w:fill="F8F9FA" w:color="auto" w:val="clear"/>
          </w:tcPr>
          <w:p>
            <w:pPr>
              <w:spacing w:after="60" w:before="60"/>
            </w:pPr>
            <w:r>
              <w:rPr>
                <w:rFonts w:ascii="Arial" w:cs="Arial" w:eastAsia="Arial" w:hAnsi="Arial"/>
                <w:color w:val="0C1B2E"/>
                <w:sz w:val="18"/>
                <w:szCs w:val="18"/>
              </w:rPr>
              <w:t xml:space="preserve">/api/rapport-qualite, /api/anomalies-systeme, /api/rapport-ia</w:t>
            </w:r>
          </w:p>
        </w:tc>
        <w:tc>
          <w:tcPr>
            <w:tcW w:type="dxa" w:w="4960"/>
            <w:shd w:fill="F8F9FA" w:color="auto" w:val="clear"/>
          </w:tcPr>
          <w:p>
            <w:pPr>
              <w:spacing w:after="60" w:before="60"/>
            </w:pPr>
            <w:r>
              <w:rPr>
                <w:rFonts w:ascii="Arial" w:cs="Arial" w:eastAsia="Arial" w:hAnsi="Arial"/>
                <w:color w:val="0C1B2E"/>
                <w:sz w:val="18"/>
                <w:szCs w:val="18"/>
              </w:rPr>
              <w:t xml:space="preserve">Score qualité, anomalies classifiées, rapport IA automatique</w:t>
            </w:r>
          </w:p>
        </w:tc>
      </w:tr>
    </w:tbl>
    <w:p>
      <w:pPr>
        <w:pStyle w:val="Heading3"/>
        <w:spacing w:after="80" w:before="240"/>
      </w:pPr>
      <w:r>
        <w:rPr>
          <w:rFonts w:ascii="Arial" w:cs="Arial" w:eastAsia="Arial" w:hAnsi="Arial"/>
          <w:b/>
          <w:bCs/>
          <w:color w:val="2E2E38"/>
          <w:sz w:val="22"/>
          <w:szCs w:val="22"/>
        </w:rPr>
        <w:t xml:space="preserve">Couche de services métier</w:t>
      </w:r>
    </w:p>
    <w:p>
      <w:pPr>
        <w:pStyle w:val="ListParagraph"/>
        <w:numPr>
          <w:ilvl w:val="0"/>
          <w:numId w:val="2"/>
        </w:numPr>
        <w:spacing w:after="40" w:before="40"/>
        <w:ind w:left="360" w:hanging="360"/>
      </w:pPr>
      <w:r>
        <w:rPr>
          <w:rFonts w:ascii="Arial" w:cs="Arial" w:eastAsia="Arial" w:hAnsi="Arial"/>
          <w:b/>
          <w:bCs/>
          <w:color w:val="0C1B2E"/>
          <w:sz w:val="20"/>
          <w:szCs w:val="20"/>
        </w:rPr>
        <w:t xml:space="preserve">services/kpi_builder.py</w:t>
      </w:r>
      <w:r>
        <w:rPr>
          <w:rFonts w:ascii="Arial" w:cs="Arial" w:eastAsia="Arial" w:hAnsi="Arial"/>
          <w:color w:val="0C1B2E"/>
          <w:sz w:val="20"/>
          <w:szCs w:val="20"/>
        </w:rPr>
        <w:t xml:space="preserve"> — Construction des objets KPI enrichis (valeur, unité, statut, évolution n-1, plage attendue)</w:t>
      </w:r>
    </w:p>
    <w:p>
      <w:pPr>
        <w:pStyle w:val="ListParagraph"/>
        <w:numPr>
          <w:ilvl w:val="0"/>
          <w:numId w:val="2"/>
        </w:numPr>
        <w:spacing w:after="40" w:before="40"/>
        <w:ind w:left="360" w:hanging="360"/>
      </w:pPr>
      <w:r>
        <w:rPr>
          <w:rFonts w:ascii="Arial" w:cs="Arial" w:eastAsia="Arial" w:hAnsi="Arial"/>
          <w:b/>
          <w:bCs/>
          <w:color w:val="0C1B2E"/>
          <w:sz w:val="20"/>
          <w:szCs w:val="20"/>
        </w:rPr>
        <w:t xml:space="preserve">services/pdf_sections.py</w:t>
      </w:r>
      <w:r>
        <w:rPr>
          <w:rFonts w:ascii="Arial" w:cs="Arial" w:eastAsia="Arial" w:hAnsi="Arial"/>
          <w:color w:val="0C1B2E"/>
          <w:sz w:val="20"/>
          <w:szCs w:val="20"/>
        </w:rPr>
        <w:t xml:space="preserve"> — Détection des sections avec cache mémoire (évite de re-scanner le même PDF)</w:t>
      </w:r>
    </w:p>
    <w:p>
      <w:pPr>
        <w:pStyle w:val="ListParagraph"/>
        <w:numPr>
          <w:ilvl w:val="0"/>
          <w:numId w:val="2"/>
        </w:numPr>
        <w:spacing w:after="40" w:before="40"/>
        <w:ind w:left="360" w:hanging="360"/>
      </w:pPr>
      <w:r>
        <w:rPr>
          <w:rFonts w:ascii="Arial" w:cs="Arial" w:eastAsia="Arial" w:hAnsi="Arial"/>
          <w:b/>
          <w:bCs/>
          <w:color w:val="0C1B2E"/>
          <w:sz w:val="20"/>
          <w:szCs w:val="20"/>
        </w:rPr>
        <w:t xml:space="preserve">services/pdf_cell_coords.py</w:t>
      </w:r>
      <w:r>
        <w:rPr>
          <w:rFonts w:ascii="Arial" w:cs="Arial" w:eastAsia="Arial" w:hAnsi="Arial"/>
          <w:color w:val="0C1B2E"/>
          <w:sz w:val="20"/>
          <w:szCs w:val="20"/>
        </w:rPr>
        <w:t xml:space="preserve"> — Retourne les coordonnées (x, y, width, height) d'une cellule pour le PDF Viewer</w:t>
      </w:r>
    </w:p>
    <w:p>
      <w:pPr>
        <w:pStyle w:val="ListParagraph"/>
        <w:numPr>
          <w:ilvl w:val="0"/>
          <w:numId w:val="2"/>
        </w:numPr>
        <w:spacing w:after="40" w:before="40"/>
        <w:ind w:left="360" w:hanging="360"/>
      </w:pPr>
      <w:r>
        <w:rPr>
          <w:rFonts w:ascii="Arial" w:cs="Arial" w:eastAsia="Arial" w:hAnsi="Arial"/>
          <w:b/>
          <w:bCs/>
          <w:color w:val="0C1B2E"/>
          <w:sz w:val="20"/>
          <w:szCs w:val="20"/>
        </w:rPr>
        <w:t xml:space="preserve">services/pipeline_audit.py</w:t>
      </w:r>
      <w:r>
        <w:rPr>
          <w:rFonts w:ascii="Arial" w:cs="Arial" w:eastAsia="Arial" w:hAnsi="Arial"/>
          <w:color w:val="0C1B2E"/>
          <w:sz w:val="20"/>
          <w:szCs w:val="20"/>
        </w:rPr>
        <w:t xml:space="preserve"> — Audit complet des 6 étapes de la chaîne de traitement</w:t>
      </w:r>
    </w:p>
    <w:p>
      <w:pPr>
        <w:pStyle w:val="ListParagraph"/>
        <w:numPr>
          <w:ilvl w:val="0"/>
          <w:numId w:val="2"/>
        </w:numPr>
        <w:spacing w:after="40" w:before="40"/>
        <w:ind w:left="360" w:hanging="360"/>
      </w:pPr>
      <w:r>
        <w:rPr>
          <w:rFonts w:ascii="Arial" w:cs="Arial" w:eastAsia="Arial" w:hAnsi="Arial"/>
          <w:b/>
          <w:bCs/>
          <w:color w:val="0C1B2E"/>
          <w:sz w:val="20"/>
          <w:szCs w:val="20"/>
        </w:rPr>
        <w:t xml:space="preserve">services/anomalies_service.py</w:t>
      </w:r>
      <w:r>
        <w:rPr>
          <w:rFonts w:ascii="Arial" w:cs="Arial" w:eastAsia="Arial" w:hAnsi="Arial"/>
          <w:color w:val="0C1B2E"/>
          <w:sz w:val="20"/>
          <w:szCs w:val="20"/>
        </w:rPr>
        <w:t xml:space="preserve"> — Score qualité global, historique hebdomadaire, génération rapport IA</w:t>
      </w:r>
    </w:p>
    <w:p>
      <w:pPr>
        <w:pStyle w:val="ListParagraph"/>
        <w:numPr>
          <w:ilvl w:val="0"/>
          <w:numId w:val="2"/>
        </w:numPr>
        <w:spacing w:after="40" w:before="40"/>
        <w:ind w:left="360" w:hanging="360"/>
      </w:pPr>
      <w:r>
        <w:rPr>
          <w:rFonts w:ascii="Arial" w:cs="Arial" w:eastAsia="Arial" w:hAnsi="Arial"/>
          <w:b/>
          <w:bCs/>
          <w:color w:val="0C1B2E"/>
          <w:sz w:val="20"/>
          <w:szCs w:val="20"/>
        </w:rPr>
        <w:t xml:space="preserve">services/quality.py</w:t>
      </w:r>
      <w:r>
        <w:rPr>
          <w:rFonts w:ascii="Arial" w:cs="Arial" w:eastAsia="Arial" w:hAnsi="Arial"/>
          <w:color w:val="0C1B2E"/>
          <w:sz w:val="20"/>
          <w:szCs w:val="20"/>
        </w:rPr>
        <w:t xml:space="preserve"> — Calcul des taux de remplissage et statuts par cellule KPI</w:t>
      </w:r>
    </w:p>
    <w:p>
      <w:pPr>
        <w:pStyle w:val="Heading3"/>
        <w:spacing w:after="80" w:before="240"/>
      </w:pPr>
      <w:r>
        <w:rPr>
          <w:rFonts w:ascii="Arial" w:cs="Arial" w:eastAsia="Arial" w:hAnsi="Arial"/>
          <w:b/>
          <w:bCs/>
          <w:color w:val="2E2E38"/>
          <w:sz w:val="22"/>
          <w:szCs w:val="22"/>
        </w:rPr>
        <w:t xml:space="preserve">Gestion des erreurs</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@app.errorhandler(ValueError)</w:t>
        <w:br/>
        <w:t xml:space="preserve">def _handle_value_error(exc):</w:t>
        <w:br/>
        <w:t xml:space="preserve">    return jsonify({'error': str(exc)}), 400</w:t>
        <w:br/>
        <w:t xml:space="preserve"/>
        <w:br/>
        <w:t xml:space="preserve"># CORS activé pour les appels cross-origin (localhost:5173 → localhost:8002)</w:t>
        <w:br/>
        <w:t xml:space="preserve">CORS(app)</w:t>
      </w:r>
    </w:p>
    <w:p>
      <w:pPr>
        <w:pBdr>
          <w:left w:val="single" w:color="1A73E8" w:sz="12"/>
        </w:pBdr>
        <w:shd w:fill="F8F9FA" w:color="auto" w:val="clear"/>
        <w:spacing w:after="100" w:before="100"/>
        <w:ind w:left="200" w:right="200"/>
      </w:pPr>
      <w:r>
        <w:rPr>
          <w:rFonts w:ascii="Arial" w:cs="Arial" w:eastAsia="Arial" w:hAnsi="Arial"/>
          <w:b/>
          <w:bCs/>
          <w:color w:val="1A73E8"/>
          <w:sz w:val="20"/>
          <w:szCs w:val="20"/>
        </w:rPr>
        <w:t xml:space="preserve">ℹ  </w:t>
      </w:r>
      <w:r>
        <w:rPr>
          <w:rFonts w:ascii="Arial" w:cs="Arial" w:eastAsia="Arial" w:hAnsi="Arial"/>
          <w:color w:val="0C1B2E"/>
          <w:sz w:val="20"/>
          <w:szCs w:val="20"/>
        </w:rPr>
        <w:t xml:space="preserve">Justification Flask vs FastAPI : Flask offre une lisibilité maximale pour des routes CRUD synchrones sans besoin de typage fort ou de validation Pydantic. FastAPI serait justifié si le projet nécessitait des endpoints async ou une documentation OpenAPI automatique.</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ÉTAPE 8</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8 — Audit Qualité et Anomalies</w:t>
      </w:r>
    </w:p>
    <w:p>
      <w:pPr>
        <w:spacing w:after="80" w:before="60"/>
      </w:pPr>
      <w:r>
        <w:rPr>
          <w:rFonts w:ascii="Arial" w:cs="Arial" w:eastAsia="Arial" w:hAnsi="Arial"/>
          <w:color w:val="0C1B2E"/>
          <w:sz w:val="20"/>
          <w:szCs w:val="20"/>
        </w:rPr>
        <w:t xml:space="preserve">Fichiers : api/services/pipeline_audit.py · api/services/anomalies_service.py</w:t>
      </w:r>
    </w:p>
    <w:p>
      <w:pPr>
        <w:pStyle w:val="Heading3"/>
        <w:spacing w:after="80" w:before="240"/>
      </w:pPr>
      <w:r>
        <w:rPr>
          <w:rFonts w:ascii="Arial" w:cs="Arial" w:eastAsia="Arial" w:hAnsi="Arial"/>
          <w:b/>
          <w:bCs/>
          <w:color w:val="2E2E38"/>
          <w:sz w:val="22"/>
          <w:szCs w:val="22"/>
        </w:rPr>
        <w:t xml:space="preserve">Problème métier</w:t>
      </w:r>
    </w:p>
    <w:p>
      <w:pPr>
        <w:spacing w:after="80" w:before="60"/>
      </w:pPr>
      <w:r>
        <w:rPr>
          <w:rFonts w:ascii="Arial" w:cs="Arial" w:eastAsia="Arial" w:hAnsi="Arial"/>
          <w:color w:val="0C1B2E"/>
          <w:sz w:val="20"/>
          <w:szCs w:val="20"/>
        </w:rPr>
        <w:t xml:space="preserve">Les données extraites automatiquement depuis des PDFs hétérogènes sont imparfaitement fiables. Sans indicateur de qualité, un analyste ne peut pas distinguer un KPI manquant par choix (compagnie Vie pure sans Annexe 13) d'un bug d'extraction.</w:t>
      </w:r>
    </w:p>
    <w:p>
      <w:pPr>
        <w:pStyle w:val="Heading3"/>
        <w:spacing w:after="80" w:before="240"/>
      </w:pPr>
      <w:r>
        <w:rPr>
          <w:rFonts w:ascii="Arial" w:cs="Arial" w:eastAsia="Arial" w:hAnsi="Arial"/>
          <w:b/>
          <w:bCs/>
          <w:color w:val="2E2E38"/>
          <w:sz w:val="22"/>
          <w:szCs w:val="22"/>
        </w:rPr>
        <w:t xml:space="preserve">Pipeline d'audit en 6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2800"/>
        <w:gridCol w:w="1800"/>
        <w:gridCol w:w="4360"/>
      </w:tblGrid>
      <w:tr>
        <w:trPr>
          <w:tblHeader/>
        </w:trPr>
        <w:tc>
          <w:tcPr>
            <w:tcW w:type="dxa" w:w="400"/>
            <w:shd w:fill="2E2E38" w:color="auto" w:val="clear"/>
          </w:tcPr>
          <w:p>
            <w:pPr>
              <w:jc w:val="left"/>
            </w:pPr>
            <w:r>
              <w:rPr>
                <w:rFonts w:ascii="Arial" w:cs="Arial" w:eastAsia="Arial" w:hAnsi="Arial"/>
                <w:b/>
                <w:bCs/>
                <w:color w:val="FFE600"/>
                <w:spacing w:val="20"/>
                <w:sz w:val="17"/>
                <w:szCs w:val="17"/>
              </w:rPr>
              <w:t xml:space="preserve">#</w:t>
            </w:r>
          </w:p>
        </w:tc>
        <w:tc>
          <w:tcPr>
            <w:tcW w:type="dxa" w:w="2800"/>
            <w:shd w:fill="2E2E38" w:color="auto" w:val="clear"/>
          </w:tcPr>
          <w:p>
            <w:pPr>
              <w:jc w:val="left"/>
            </w:pPr>
            <w:r>
              <w:rPr>
                <w:rFonts w:ascii="Arial" w:cs="Arial" w:eastAsia="Arial" w:hAnsi="Arial"/>
                <w:b/>
                <w:bCs/>
                <w:color w:val="FFE600"/>
                <w:spacing w:val="20"/>
                <w:sz w:val="17"/>
                <w:szCs w:val="17"/>
              </w:rPr>
              <w:t xml:space="preserve">ÉTAPE D'AUDIT</w:t>
            </w:r>
          </w:p>
        </w:tc>
        <w:tc>
          <w:tcPr>
            <w:tcW w:type="dxa" w:w="1800"/>
            <w:shd w:fill="2E2E38" w:color="auto" w:val="clear"/>
          </w:tcPr>
          <w:p>
            <w:pPr>
              <w:jc w:val="left"/>
            </w:pPr>
            <w:r>
              <w:rPr>
                <w:rFonts w:ascii="Arial" w:cs="Arial" w:eastAsia="Arial" w:hAnsi="Arial"/>
                <w:b/>
                <w:bCs/>
                <w:color w:val="FFE600"/>
                <w:spacing w:val="20"/>
                <w:sz w:val="17"/>
                <w:szCs w:val="17"/>
              </w:rPr>
              <w:t xml:space="preserve">GRAVITÉ SI ÉCHEC</w:t>
            </w:r>
          </w:p>
        </w:tc>
        <w:tc>
          <w:tcPr>
            <w:tcW w:type="dxa" w:w="4360"/>
            <w:shd w:fill="2E2E38" w:color="auto" w:val="clear"/>
          </w:tcPr>
          <w:p>
            <w:pPr>
              <w:jc w:val="left"/>
            </w:pPr>
            <w:r>
              <w:rPr>
                <w:rFonts w:ascii="Arial" w:cs="Arial" w:eastAsia="Arial" w:hAnsi="Arial"/>
                <w:b/>
                <w:bCs/>
                <w:color w:val="FFE600"/>
                <w:spacing w:val="20"/>
                <w:sz w:val="17"/>
                <w:szCs w:val="17"/>
              </w:rPr>
              <w:t xml:space="preserve">EXEMPLE D'ANOMALIE</w:t>
            </w:r>
          </w:p>
        </w:tc>
      </w:tr>
      <w:tr>
        <w:tc>
          <w:tcPr>
            <w:tcW w:type="dxa" w:w="400"/>
            <w:shd w:fill="FFFFFF" w:color="auto" w:val="clear"/>
          </w:tcPr>
          <w:p>
            <w:pPr>
              <w:spacing w:after="60" w:before="60"/>
            </w:pPr>
            <w:r>
              <w:rPr>
                <w:rFonts w:ascii="Arial" w:cs="Arial" w:eastAsia="Arial" w:hAnsi="Arial"/>
                <w:color w:val="0C1B2E"/>
                <w:sz w:val="18"/>
                <w:szCs w:val="18"/>
              </w:rPr>
              <w:t xml:space="preserve">1</w:t>
            </w:r>
          </w:p>
        </w:tc>
        <w:tc>
          <w:tcPr>
            <w:tcW w:type="dxa" w:w="2800"/>
            <w:shd w:fill="FFFFFF" w:color="auto" w:val="clear"/>
          </w:tcPr>
          <w:p>
            <w:pPr>
              <w:spacing w:after="60" w:before="60"/>
            </w:pPr>
            <w:r>
              <w:rPr>
                <w:rFonts w:ascii="Arial" w:cs="Arial" w:eastAsia="Arial" w:hAnsi="Arial"/>
                <w:color w:val="0C1B2E"/>
                <w:sz w:val="18"/>
                <w:szCs w:val="18"/>
              </w:rPr>
              <w:t xml:space="preserve">PDF présent sur disque</w:t>
            </w:r>
          </w:p>
        </w:tc>
        <w:tc>
          <w:tcPr>
            <w:tcW w:type="dxa" w:w="1800"/>
            <w:shd w:fill="FFFFFF" w:color="auto" w:val="clear"/>
          </w:tcPr>
          <w:p>
            <w:pPr>
              <w:spacing w:after="60" w:before="60"/>
            </w:pPr>
            <w:r>
              <w:rPr>
                <w:rFonts w:ascii="Arial" w:cs="Arial" w:eastAsia="Arial" w:hAnsi="Arial"/>
                <w:color w:val="0C1B2E"/>
                <w:sz w:val="18"/>
                <w:szCs w:val="18"/>
              </w:rPr>
              <w:t xml:space="preserve">CRITIQUE (×4)</w:t>
            </w:r>
          </w:p>
        </w:tc>
        <w:tc>
          <w:tcPr>
            <w:tcW w:type="dxa" w:w="4360"/>
            <w:shd w:fill="FFFFFF" w:color="auto" w:val="clear"/>
          </w:tcPr>
          <w:p>
            <w:pPr>
              <w:spacing w:after="60" w:before="60"/>
            </w:pPr>
            <w:r>
              <w:rPr>
                <w:rFonts w:ascii="Arial" w:cs="Arial" w:eastAsia="Arial" w:hAnsi="Arial"/>
                <w:color w:val="0C1B2E"/>
                <w:sz w:val="18"/>
                <w:szCs w:val="18"/>
              </w:rPr>
              <w:t xml:space="preserve">Fichier GAT_2023.pdf absent du répertoire data/cmf/</w:t>
            </w:r>
          </w:p>
        </w:tc>
      </w:tr>
      <w:tr>
        <w:tc>
          <w:tcPr>
            <w:tcW w:type="dxa" w:w="400"/>
            <w:shd w:fill="F8F9FA" w:color="auto" w:val="clear"/>
          </w:tcPr>
          <w:p>
            <w:pPr>
              <w:spacing w:after="60" w:before="60"/>
            </w:pPr>
            <w:r>
              <w:rPr>
                <w:rFonts w:ascii="Arial" w:cs="Arial" w:eastAsia="Arial" w:hAnsi="Arial"/>
                <w:color w:val="0C1B2E"/>
                <w:sz w:val="18"/>
                <w:szCs w:val="18"/>
              </w:rPr>
              <w:t xml:space="preserve">2</w:t>
            </w:r>
          </w:p>
        </w:tc>
        <w:tc>
          <w:tcPr>
            <w:tcW w:type="dxa" w:w="2800"/>
            <w:shd w:fill="F8F9FA" w:color="auto" w:val="clear"/>
          </w:tcPr>
          <w:p>
            <w:pPr>
              <w:spacing w:after="60" w:before="60"/>
            </w:pPr>
            <w:r>
              <w:rPr>
                <w:rFonts w:ascii="Arial" w:cs="Arial" w:eastAsia="Arial" w:hAnsi="Arial"/>
                <w:color w:val="0C1B2E"/>
                <w:sz w:val="18"/>
                <w:szCs w:val="18"/>
              </w:rPr>
              <w:t xml:space="preserve">Section détectée dans le PDF</w:t>
            </w:r>
          </w:p>
        </w:tc>
        <w:tc>
          <w:tcPr>
            <w:tcW w:type="dxa" w:w="1800"/>
            <w:shd w:fill="F8F9FA" w:color="auto" w:val="clear"/>
          </w:tcPr>
          <w:p>
            <w:pPr>
              <w:spacing w:after="60" w:before="60"/>
            </w:pPr>
            <w:r>
              <w:rPr>
                <w:rFonts w:ascii="Arial" w:cs="Arial" w:eastAsia="Arial" w:hAnsi="Arial"/>
                <w:color w:val="0C1B2E"/>
                <w:sz w:val="18"/>
                <w:szCs w:val="18"/>
              </w:rPr>
              <w:t xml:space="preserve">ÉLEVÉE (×2)</w:t>
            </w:r>
          </w:p>
        </w:tc>
        <w:tc>
          <w:tcPr>
            <w:tcW w:type="dxa" w:w="4360"/>
            <w:shd w:fill="F8F9FA" w:color="auto" w:val="clear"/>
          </w:tcPr>
          <w:p>
            <w:pPr>
              <w:spacing w:after="60" w:before="60"/>
            </w:pPr>
            <w:r>
              <w:rPr>
                <w:rFonts w:ascii="Arial" w:cs="Arial" w:eastAsia="Arial" w:hAnsi="Arial"/>
                <w:color w:val="0C1B2E"/>
                <w:sz w:val="18"/>
                <w:szCs w:val="18"/>
              </w:rPr>
              <w:t xml:space="preserve">Annexe 13 non trouvée dans STAR_2022.pdf (score trop faible)</w:t>
            </w:r>
          </w:p>
        </w:tc>
      </w:tr>
      <w:tr>
        <w:tc>
          <w:tcPr>
            <w:tcW w:type="dxa" w:w="400"/>
            <w:shd w:fill="FFFFFF" w:color="auto" w:val="clear"/>
          </w:tcPr>
          <w:p>
            <w:pPr>
              <w:spacing w:after="60" w:before="60"/>
            </w:pPr>
            <w:r>
              <w:rPr>
                <w:rFonts w:ascii="Arial" w:cs="Arial" w:eastAsia="Arial" w:hAnsi="Arial"/>
                <w:color w:val="0C1B2E"/>
                <w:sz w:val="18"/>
                <w:szCs w:val="18"/>
              </w:rPr>
              <w:t xml:space="preserve">3</w:t>
            </w:r>
          </w:p>
        </w:tc>
        <w:tc>
          <w:tcPr>
            <w:tcW w:type="dxa" w:w="2800"/>
            <w:shd w:fill="FFFFFF" w:color="auto" w:val="clear"/>
          </w:tcPr>
          <w:p>
            <w:pPr>
              <w:spacing w:after="60" w:before="60"/>
            </w:pPr>
            <w:r>
              <w:rPr>
                <w:rFonts w:ascii="Arial" w:cs="Arial" w:eastAsia="Arial" w:hAnsi="Arial"/>
                <w:color w:val="0C1B2E"/>
                <w:sz w:val="18"/>
                <w:szCs w:val="18"/>
              </w:rPr>
              <w:t xml:space="preserve">Composante brute extraite</w:t>
            </w:r>
          </w:p>
        </w:tc>
        <w:tc>
          <w:tcPr>
            <w:tcW w:type="dxa" w:w="1800"/>
            <w:shd w:fill="FFFFFF" w:color="auto" w:val="clear"/>
          </w:tcPr>
          <w:p>
            <w:pPr>
              <w:spacing w:after="60" w:before="60"/>
            </w:pPr>
            <w:r>
              <w:rPr>
                <w:rFonts w:ascii="Arial" w:cs="Arial" w:eastAsia="Arial" w:hAnsi="Arial"/>
                <w:color w:val="0C1B2E"/>
                <w:sz w:val="18"/>
                <w:szCs w:val="18"/>
              </w:rPr>
              <w:t xml:space="preserve">MOYENNE (×1)</w:t>
            </w:r>
          </w:p>
        </w:tc>
        <w:tc>
          <w:tcPr>
            <w:tcW w:type="dxa" w:w="4360"/>
            <w:shd w:fill="FFFFFF" w:color="auto" w:val="clear"/>
          </w:tcPr>
          <w:p>
            <w:pPr>
              <w:spacing w:after="60" w:before="60"/>
            </w:pPr>
            <w:r>
              <w:rPr>
                <w:rFonts w:ascii="Arial" w:cs="Arial" w:eastAsia="Arial" w:hAnsi="Arial"/>
                <w:color w:val="0C1B2E"/>
                <w:sz w:val="18"/>
                <w:szCs w:val="18"/>
              </w:rPr>
              <w:t xml:space="preserve">Libellé 'Primes émises Non-Vie' non matchée dans le tableau</w:t>
            </w:r>
          </w:p>
        </w:tc>
      </w:tr>
      <w:tr>
        <w:tc>
          <w:tcPr>
            <w:tcW w:type="dxa" w:w="400"/>
            <w:shd w:fill="F8F9FA" w:color="auto" w:val="clear"/>
          </w:tcPr>
          <w:p>
            <w:pPr>
              <w:spacing w:after="60" w:before="60"/>
            </w:pPr>
            <w:r>
              <w:rPr>
                <w:rFonts w:ascii="Arial" w:cs="Arial" w:eastAsia="Arial" w:hAnsi="Arial"/>
                <w:color w:val="0C1B2E"/>
                <w:sz w:val="18"/>
                <w:szCs w:val="18"/>
              </w:rPr>
              <w:t xml:space="preserve">4</w:t>
            </w:r>
          </w:p>
        </w:tc>
        <w:tc>
          <w:tcPr>
            <w:tcW w:type="dxa" w:w="2800"/>
            <w:shd w:fill="F8F9FA" w:color="auto" w:val="clear"/>
          </w:tcPr>
          <w:p>
            <w:pPr>
              <w:spacing w:after="60" w:before="60"/>
            </w:pPr>
            <w:r>
              <w:rPr>
                <w:rFonts w:ascii="Arial" w:cs="Arial" w:eastAsia="Arial" w:hAnsi="Arial"/>
                <w:color w:val="0C1B2E"/>
                <w:sz w:val="18"/>
                <w:szCs w:val="18"/>
              </w:rPr>
              <w:t xml:space="preserve">KPI calculable (dénominateur non nul)</w:t>
            </w:r>
          </w:p>
        </w:tc>
        <w:tc>
          <w:tcPr>
            <w:tcW w:type="dxa" w:w="1800"/>
            <w:shd w:fill="F8F9FA" w:color="auto" w:val="clear"/>
          </w:tcPr>
          <w:p>
            <w:pPr>
              <w:spacing w:after="60" w:before="60"/>
            </w:pPr>
            <w:r>
              <w:rPr>
                <w:rFonts w:ascii="Arial" w:cs="Arial" w:eastAsia="Arial" w:hAnsi="Arial"/>
                <w:color w:val="0C1B2E"/>
                <w:sz w:val="18"/>
                <w:szCs w:val="18"/>
              </w:rPr>
              <w:t xml:space="preserve">FAIBLE (×0.5)</w:t>
            </w:r>
          </w:p>
        </w:tc>
        <w:tc>
          <w:tcPr>
            <w:tcW w:type="dxa" w:w="4360"/>
            <w:shd w:fill="F8F9FA" w:color="auto" w:val="clear"/>
          </w:tcPr>
          <w:p>
            <w:pPr>
              <w:spacing w:after="60" w:before="60"/>
            </w:pPr>
            <w:r>
              <w:rPr>
                <w:rFonts w:ascii="Arial" w:cs="Arial" w:eastAsia="Arial" w:hAnsi="Arial"/>
                <w:color w:val="0C1B2E"/>
                <w:sz w:val="18"/>
                <w:szCs w:val="18"/>
              </w:rPr>
              <w:t xml:space="preserve">Ratio combiné incalculable car primes émises = 0</w:t>
            </w:r>
          </w:p>
        </w:tc>
      </w:tr>
      <w:tr>
        <w:tc>
          <w:tcPr>
            <w:tcW w:type="dxa" w:w="400"/>
            <w:shd w:fill="FFFFFF" w:color="auto" w:val="clear"/>
          </w:tcPr>
          <w:p>
            <w:pPr>
              <w:spacing w:after="60" w:before="60"/>
            </w:pPr>
            <w:r>
              <w:rPr>
                <w:rFonts w:ascii="Arial" w:cs="Arial" w:eastAsia="Arial" w:hAnsi="Arial"/>
                <w:color w:val="0C1B2E"/>
                <w:sz w:val="18"/>
                <w:szCs w:val="18"/>
              </w:rPr>
              <w:t xml:space="preserve">5</w:t>
            </w:r>
          </w:p>
        </w:tc>
        <w:tc>
          <w:tcPr>
            <w:tcW w:type="dxa" w:w="2800"/>
            <w:shd w:fill="FFFFFF" w:color="auto" w:val="clear"/>
          </w:tcPr>
          <w:p>
            <w:pPr>
              <w:spacing w:after="60" w:before="60"/>
            </w:pPr>
            <w:r>
              <w:rPr>
                <w:rFonts w:ascii="Arial" w:cs="Arial" w:eastAsia="Arial" w:hAnsi="Arial"/>
                <w:color w:val="0C1B2E"/>
                <w:sz w:val="18"/>
                <w:szCs w:val="18"/>
              </w:rPr>
              <w:t xml:space="preserve">Valeur dans la plage attendue</w:t>
            </w:r>
          </w:p>
        </w:tc>
        <w:tc>
          <w:tcPr>
            <w:tcW w:type="dxa" w:w="1800"/>
            <w:shd w:fill="FFFFFF" w:color="auto" w:val="clear"/>
          </w:tcPr>
          <w:p>
            <w:pPr>
              <w:spacing w:after="60" w:before="60"/>
            </w:pPr>
            <w:r>
              <w:rPr>
                <w:rFonts w:ascii="Arial" w:cs="Arial" w:eastAsia="Arial" w:hAnsi="Arial"/>
                <w:color w:val="0C1B2E"/>
                <w:sz w:val="18"/>
                <w:szCs w:val="18"/>
              </w:rPr>
              <w:t xml:space="preserve">ÉLEVÉE (×2)</w:t>
            </w:r>
          </w:p>
        </w:tc>
        <w:tc>
          <w:tcPr>
            <w:tcW w:type="dxa" w:w="4360"/>
            <w:shd w:fill="FFFFFF" w:color="auto" w:val="clear"/>
          </w:tcPr>
          <w:p>
            <w:pPr>
              <w:spacing w:after="60" w:before="60"/>
            </w:pPr>
            <w:r>
              <w:rPr>
                <w:rFonts w:ascii="Arial" w:cs="Arial" w:eastAsia="Arial" w:hAnsi="Arial"/>
                <w:color w:val="0C1B2E"/>
                <w:sz w:val="18"/>
                <w:szCs w:val="18"/>
              </w:rPr>
              <w:t xml:space="preserve">Taux de sinistralité = 847% (aberrant — seuil max 150%)</w:t>
            </w:r>
          </w:p>
        </w:tc>
      </w:tr>
      <w:tr>
        <w:tc>
          <w:tcPr>
            <w:tcW w:type="dxa" w:w="400"/>
            <w:shd w:fill="F8F9FA" w:color="auto" w:val="clear"/>
          </w:tcPr>
          <w:p>
            <w:pPr>
              <w:spacing w:after="60" w:before="60"/>
            </w:pPr>
            <w:r>
              <w:rPr>
                <w:rFonts w:ascii="Arial" w:cs="Arial" w:eastAsia="Arial" w:hAnsi="Arial"/>
                <w:color w:val="0C1B2E"/>
                <w:sz w:val="18"/>
                <w:szCs w:val="18"/>
              </w:rPr>
              <w:t xml:space="preserve">6</w:t>
            </w:r>
          </w:p>
        </w:tc>
        <w:tc>
          <w:tcPr>
            <w:tcW w:type="dxa" w:w="2800"/>
            <w:shd w:fill="F8F9FA" w:color="auto" w:val="clear"/>
          </w:tcPr>
          <w:p>
            <w:pPr>
              <w:spacing w:after="60" w:before="60"/>
            </w:pPr>
            <w:r>
              <w:rPr>
                <w:rFonts w:ascii="Arial" w:cs="Arial" w:eastAsia="Arial" w:hAnsi="Arial"/>
                <w:color w:val="0C1B2E"/>
                <w:sz w:val="18"/>
                <w:szCs w:val="18"/>
              </w:rPr>
              <w:t xml:space="preserve">Coherence inter-annees (saut anormal)</w:t>
            </w:r>
          </w:p>
        </w:tc>
        <w:tc>
          <w:tcPr>
            <w:tcW w:type="dxa" w:w="1800"/>
            <w:shd w:fill="F8F9FA" w:color="auto" w:val="clear"/>
          </w:tcPr>
          <w:p>
            <w:pPr>
              <w:spacing w:after="60" w:before="60"/>
            </w:pPr>
            <w:r>
              <w:rPr>
                <w:rFonts w:ascii="Arial" w:cs="Arial" w:eastAsia="Arial" w:hAnsi="Arial"/>
                <w:color w:val="0C1B2E"/>
                <w:sz w:val="18"/>
                <w:szCs w:val="18"/>
              </w:rPr>
              <w:t xml:space="preserve">MOYENNE (x1)</w:t>
            </w:r>
          </w:p>
        </w:tc>
        <w:tc>
          <w:tcPr>
            <w:tcW w:type="dxa" w:w="4360"/>
            <w:shd w:fill="F8F9FA" w:color="auto" w:val="clear"/>
          </w:tcPr>
          <w:p>
            <w:pPr>
              <w:spacing w:after="60" w:before="60"/>
            </w:pPr>
            <w:r>
              <w:rPr>
                <w:rFonts w:ascii="Arial" w:cs="Arial" w:eastAsia="Arial" w:hAnsi="Arial"/>
                <w:color w:val="0C1B2E"/>
                <w:sz w:val="18"/>
                <w:szCs w:val="18"/>
              </w:rPr>
              <w:t xml:space="preserve">Primes COMAR : +520% en un an sans justification</w:t>
            </w:r>
          </w:p>
        </w:tc>
      </w:tr>
    </w:tbl>
    <w:p>
      <w:pPr>
        <w:pStyle w:val="Heading3"/>
        <w:spacing w:after="80" w:before="240"/>
      </w:pPr>
      <w:r>
        <w:rPr>
          <w:rFonts w:ascii="Arial" w:cs="Arial" w:eastAsia="Arial" w:hAnsi="Arial"/>
          <w:b/>
          <w:bCs/>
          <w:color w:val="2E2E38"/>
          <w:sz w:val="22"/>
          <w:szCs w:val="22"/>
        </w:rPr>
        <w:t xml:space="preserve">Formule du score qualité global</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 Somme des poids de toutes les anomalies détectées</w:t>
        <w:br/>
        <w:t xml:space="preserve"># Divisée par un dénominateur normalisateur (n_kpis × poids_max)</w:t>
        <w:br/>
        <w:t xml:space="preserve"/>
        <w:br/>
        <w:t xml:space="preserve">score = max(0,  100 × (1 − Σ(poids_gravité) / 200))</w:t>
        <w:br/>
        <w:t xml:space="preserve"/>
        <w:br/>
        <w:t xml:space="preserve"># Poids par gravité :</w:t>
        <w:br/>
        <w:t xml:space="preserve">#   Critique = 4   (PDF manquant = donnée inutilisable)</w:t>
        <w:br/>
        <w:t xml:space="preserve">#   Élevée   = 2   (valeur probablement fausse)</w:t>
        <w:br/>
        <w:t xml:space="preserve">#   Moyenne  = 1   (valeur incertaine)</w:t>
        <w:br/>
        <w:t xml:space="preserve">#   Faible   = 0.5 (estimation partielle)</w:t>
      </w:r>
    </w:p>
    <w:p>
      <w:pPr>
        <w:pStyle w:val="Heading3"/>
        <w:spacing w:after="80" w:before="240"/>
      </w:pPr>
      <w:r>
        <w:rPr>
          <w:rFonts w:ascii="Arial" w:cs="Arial" w:eastAsia="Arial" w:hAnsi="Arial"/>
          <w:b/>
          <w:bCs/>
          <w:color w:val="2E2E38"/>
          <w:sz w:val="22"/>
          <w:szCs w:val="22"/>
        </w:rPr>
        <w:t xml:space="preserve">Historique de qualité hebdomadaire</w:t>
      </w:r>
    </w:p>
    <w:p>
      <w:pPr>
        <w:spacing w:after="80" w:before="60"/>
      </w:pPr>
      <w:r>
        <w:rPr>
          <w:rFonts w:ascii="Arial" w:cs="Arial" w:eastAsia="Arial" w:hAnsi="Arial"/>
          <w:color w:val="0C1B2E"/>
          <w:sz w:val="20"/>
          <w:szCs w:val="20"/>
        </w:rPr>
        <w:t xml:space="preserve">La plateforme ayant démarré en juin 2026, l'historique génère 5 points de contrôle hebdomadaires depuis le lancement. La progression du score suit une courbe naturelle (amélioration rapide au début puis plateau) modélisée par la fonction `frac^0.7` :</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for w in range(n_weeks + 1):  # n_weeks = 4</w:t>
        <w:br/>
        <w:t xml:space="preserve">    days_back = (n_weeks - w) * 7</w:t>
        <w:br/>
        <w:t xml:space="preserve">    date = today - timedelta(days=days_back)</w:t>
        <w:br/>
        <w:t xml:space="preserve">    frac = w / n_weeks</w:t>
        <w:br/>
        <w:t xml:space="preserve">    # frac^0.7 : courbe concave — amélioration rapide puis plateau</w:t>
        <w:br/>
        <w:t xml:space="preserve">    score_w = round(score_initial + (score_actuel - score_initial) * (frac ** 0.7), 1)</w:t>
      </w:r>
    </w:p>
    <w:p>
      <w:pPr>
        <w:pStyle w:val="Heading3"/>
        <w:spacing w:after="80" w:before="240"/>
      </w:pPr>
      <w:r>
        <w:rPr>
          <w:rFonts w:ascii="Arial" w:cs="Arial" w:eastAsia="Arial" w:hAnsi="Arial"/>
          <w:b/>
          <w:bCs/>
          <w:color w:val="2E2E38"/>
          <w:sz w:val="22"/>
          <w:szCs w:val="22"/>
        </w:rPr>
        <w:t xml:space="preserve">Rapport IA automatique</w:t>
      </w:r>
    </w:p>
    <w:p>
      <w:pPr>
        <w:spacing w:after="80" w:before="60"/>
      </w:pPr>
      <w:r>
        <w:rPr>
          <w:rFonts w:ascii="Arial" w:cs="Arial" w:eastAsia="Arial" w:hAnsi="Arial"/>
          <w:color w:val="0C1B2E"/>
          <w:sz w:val="20"/>
          <w:szCs w:val="20"/>
        </w:rPr>
        <w:t xml:space="preserve">L'endpoint /api/rapport-ia génère un rapport Markdown complet sans appel LLM externe : résumé exécutif, statistiques par type/gravité, compagnies les plus impactées, recommandations priorisées. L'export en PDF se fait via `window.print()` avec CSS print-ready (visible côté frontend).</w:t>
      </w:r>
    </w:p>
    <w:p>
      <w:pPr>
        <w:pStyle w:val="Heading3"/>
        <w:spacing w:after="80" w:before="240"/>
      </w:pPr>
      <w:r>
        <w:rPr>
          <w:rFonts w:ascii="Arial" w:cs="Arial" w:eastAsia="Arial" w:hAnsi="Arial"/>
          <w:b/>
          <w:bCs/>
          <w:color w:val="2E2E38"/>
          <w:sz w:val="22"/>
          <w:szCs w:val="22"/>
        </w:rPr>
        <w:t xml:space="preserve">Mise à jour juillet 2026 — connexion des signaux et comparaison sectorielle</w:t>
      </w:r>
    </w:p>
    <w:p>
      <w:pPr>
        <w:pBdr>
          <w:left w:val="single" w:color="C0392B" w:sz="12"/>
        </w:pBdr>
        <w:shd w:fill="F8F9FA" w:color="auto" w:val="clear"/>
        <w:spacing w:after="100" w:before="100"/>
        <w:ind w:left="200" w:right="200"/>
      </w:pPr>
      <w:r>
        <w:rPr>
          <w:rFonts w:ascii="Arial" w:cs="Arial" w:eastAsia="Arial" w:hAnsi="Arial"/>
          <w:b/>
          <w:bCs/>
          <w:color w:val="C0392B"/>
          <w:sz w:val="20"/>
          <w:szCs w:val="20"/>
        </w:rPr>
        <w:t xml:space="preserve">!  </w:t>
      </w:r>
      <w:r>
        <w:rPr>
          <w:rFonts w:ascii="Arial" w:cs="Arial" w:eastAsia="Arial" w:hAnsi="Arial"/>
          <w:color w:val="0C1B2E"/>
          <w:sz w:val="20"/>
          <w:szCs w:val="20"/>
        </w:rPr>
        <w:t xml:space="preserve">Audit : les déséquilibres Bilan et variations YoY détectés pendant l'extraction (voir Étape 5 bis) n'étaient journalisés que dans logs/pipeline.log — invisibles depuis ces pages, qui recalculaient leurs propres constats à chaque requête sans jamais les lire. Les deux fichiers utilisaient en plus des plages de plausibilité différentes pour les mêmes ratios.</w:t>
      </w:r>
    </w:p>
    <w:p>
      <w:pPr>
        <w:pStyle w:val="ListParagraph"/>
        <w:numPr>
          <w:ilvl w:val="0"/>
          <w:numId w:val="2"/>
        </w:numPr>
        <w:spacing w:after="40" w:before="40"/>
        <w:ind w:left="360" w:hanging="360"/>
      </w:pPr>
      <w:r>
        <w:rPr>
          <w:rFonts w:ascii="Arial" w:cs="Arial" w:eastAsia="Arial" w:hAnsi="Arial"/>
          <w:color w:val="0C1B2E"/>
          <w:sz w:val="20"/>
          <w:szCs w:val="20"/>
        </w:rPr>
        <w:t xml:space="preserve">Nouvelle table anomalies_detectees : les signaux d'extraction sont persistés puis relus par pipeline_audit.py (nouvelle étape 7 du rapport) et quality.py — un seul système, plus deux déconnectés</w:t>
      </w:r>
    </w:p>
    <w:p>
      <w:pPr>
        <w:pStyle w:val="ListParagraph"/>
        <w:numPr>
          <w:ilvl w:val="0"/>
          <w:numId w:val="2"/>
        </w:numPr>
        <w:spacing w:after="40" w:before="40"/>
        <w:ind w:left="360" w:hanging="360"/>
      </w:pPr>
      <w:r>
        <w:rPr>
          <w:rFonts w:ascii="Arial" w:cs="Arial" w:eastAsia="Arial" w:hAnsi="Arial"/>
          <w:color w:val="0C1B2E"/>
          <w:sz w:val="20"/>
          <w:szCs w:val="20"/>
        </w:rPr>
        <w:t xml:space="preserve">Seuils de plausibilité unifiés (extraction.kpi_definitions.KPI_PLAGES_PLAUSIBLES), source unique pour les deux fichiers</w:t>
      </w:r>
    </w:p>
    <w:p>
      <w:pPr>
        <w:pStyle w:val="ListParagraph"/>
        <w:numPr>
          <w:ilvl w:val="0"/>
          <w:numId w:val="2"/>
        </w:numPr>
        <w:spacing w:after="40" w:before="40"/>
        <w:ind w:left="360" w:hanging="360"/>
      </w:pPr>
      <w:r>
        <w:rPr>
          <w:rFonts w:ascii="Arial" w:cs="Arial" w:eastAsia="Arial" w:hAnsi="Arial"/>
          <w:color w:val="0C1B2E"/>
          <w:sz w:val="20"/>
          <w:szCs w:val="20"/>
        </w:rPr>
        <w:t xml:space="preserve">Historique de score réel : un instantané est persisté à chaque exécution planifiée du pipeline, au lieu d'un seul point du jour recalculé à chaque affichage</w:t>
      </w:r>
    </w:p>
    <w:p>
      <w:pPr>
        <w:pStyle w:val="ListParagraph"/>
        <w:numPr>
          <w:ilvl w:val="0"/>
          <w:numId w:val="2"/>
        </w:numPr>
        <w:spacing w:after="40" w:before="40"/>
        <w:ind w:left="360" w:hanging="360"/>
      </w:pPr>
      <w:r>
        <w:rPr>
          <w:rFonts w:ascii="Arial" w:cs="Arial" w:eastAsia="Arial" w:hAnsi="Arial"/>
          <w:color w:val="0C1B2E"/>
          <w:sz w:val="20"/>
          <w:szCs w:val="20"/>
        </w:rPr>
        <w:t xml:space="preserve">Nouvelle comparaison sectorielle : une société dont un ratio s'écarte de plus du double de la moyenne de ses pairs (même année, au moins 5 sociétés) est désormais signalée — aucun contrôle ne comparait auparavant une société à ses pairs, seulement à elle-même dans le temps ou à une plage absolue</w:t>
      </w:r>
    </w:p>
    <w:p>
      <w:pPr>
        <w:pStyle w:val="ListParagraph"/>
        <w:numPr>
          <w:ilvl w:val="0"/>
          <w:numId w:val="2"/>
        </w:numPr>
        <w:spacing w:after="40" w:before="40"/>
        <w:ind w:left="360" w:hanging="360"/>
      </w:pPr>
      <w:r>
        <w:rPr>
          <w:rFonts w:ascii="Arial" w:cs="Arial" w:eastAsia="Arial" w:hAnsi="Arial"/>
          <w:color w:val="0C1B2E"/>
          <w:sz w:val="20"/>
          <w:szCs w:val="20"/>
        </w:rPr>
        <w:t xml:space="preserve">Raison individuelle documentée pour chacune des 8 sociétés exclues, au lieu d'un texte générique partagé</w:t>
      </w:r>
    </w:p>
    <w:p>
      <w:pPr>
        <w:pBdr>
          <w:left w:val="single" w:color="0D7A3E" w:sz="12"/>
        </w:pBdr>
        <w:shd w:fill="F8F9FA" w:color="auto" w:val="clear"/>
        <w:spacing w:after="100" w:before="100"/>
        <w:ind w:left="200" w:right="200"/>
      </w:pPr>
      <w:r>
        <w:rPr>
          <w:rFonts w:ascii="Arial" w:cs="Arial" w:eastAsia="Arial" w:hAnsi="Arial"/>
          <w:b/>
          <w:bCs/>
          <w:color w:val="0D7A3E"/>
          <w:sz w:val="20"/>
          <w:szCs w:val="20"/>
        </w:rPr>
        <w:t xml:space="preserve">✓  </w:t>
      </w:r>
      <w:r>
        <w:rPr>
          <w:rFonts w:ascii="Arial" w:cs="Arial" w:eastAsia="Arial" w:hAnsi="Arial"/>
          <w:color w:val="0C1B2E"/>
          <w:sz w:val="20"/>
          <w:szCs w:val="20"/>
        </w:rPr>
        <w:t xml:space="preserve">19 nouveaux tests (api/tests/), 73/73 au total avec les phases précédentes.</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PARTIE IV — INTERFACE &amp; IA</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9 — Frontend React</w:t>
      </w:r>
    </w:p>
    <w:p>
      <w:pPr>
        <w:spacing w:after="80" w:before="60"/>
      </w:pPr>
      <w:r>
        <w:rPr>
          <w:rFonts w:ascii="Arial" w:cs="Arial" w:eastAsia="Arial" w:hAnsi="Arial"/>
          <w:color w:val="0C1B2E"/>
          <w:sz w:val="20"/>
          <w:szCs w:val="20"/>
        </w:rPr>
        <w:t xml:space="preserve">Dossier : frontend/src/ · Framework : React 18 + Vite · Port : 5173</w:t>
      </w:r>
    </w:p>
    <w:p>
      <w:pPr>
        <w:pStyle w:val="Heading3"/>
        <w:spacing w:after="80" w:before="240"/>
      </w:pPr>
      <w:r>
        <w:rPr>
          <w:rFonts w:ascii="Arial" w:cs="Arial" w:eastAsia="Arial" w:hAnsi="Arial"/>
          <w:b/>
          <w:bCs/>
          <w:color w:val="2E2E38"/>
          <w:sz w:val="22"/>
          <w:szCs w:val="22"/>
        </w:rPr>
        <w:t xml:space="preserve">Charte graphique EY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000"/>
        <w:gridCol w:w="5360"/>
      </w:tblGrid>
      <w:tr>
        <w:trPr>
          <w:tblHeader/>
        </w:trPr>
        <w:tc>
          <w:tcPr>
            <w:tcW w:type="dxa" w:w="2000"/>
            <w:shd w:fill="2E2E38" w:color="auto" w:val="clear"/>
          </w:tcPr>
          <w:p>
            <w:pPr>
              <w:jc w:val="left"/>
            </w:pPr>
            <w:r>
              <w:rPr>
                <w:rFonts w:ascii="Arial" w:cs="Arial" w:eastAsia="Arial" w:hAnsi="Arial"/>
                <w:b/>
                <w:bCs/>
                <w:color w:val="FFE600"/>
                <w:spacing w:val="20"/>
                <w:sz w:val="17"/>
                <w:szCs w:val="17"/>
              </w:rPr>
              <w:t xml:space="preserve">TOKEN</w:t>
            </w:r>
          </w:p>
        </w:tc>
        <w:tc>
          <w:tcPr>
            <w:tcW w:type="dxa" w:w="2000"/>
            <w:shd w:fill="2E2E38" w:color="auto" w:val="clear"/>
          </w:tcPr>
          <w:p>
            <w:pPr>
              <w:jc w:val="left"/>
            </w:pPr>
            <w:r>
              <w:rPr>
                <w:rFonts w:ascii="Arial" w:cs="Arial" w:eastAsia="Arial" w:hAnsi="Arial"/>
                <w:b/>
                <w:bCs/>
                <w:color w:val="FFE600"/>
                <w:spacing w:val="20"/>
                <w:sz w:val="17"/>
                <w:szCs w:val="17"/>
              </w:rPr>
              <w:t xml:space="preserve">VALEUR HEXADÉCIMALE</w:t>
            </w:r>
          </w:p>
        </w:tc>
        <w:tc>
          <w:tcPr>
            <w:tcW w:type="dxa" w:w="5360"/>
            <w:shd w:fill="2E2E38" w:color="auto" w:val="clear"/>
          </w:tcPr>
          <w:p>
            <w:pPr>
              <w:jc w:val="left"/>
            </w:pPr>
            <w:r>
              <w:rPr>
                <w:rFonts w:ascii="Arial" w:cs="Arial" w:eastAsia="Arial" w:hAnsi="Arial"/>
                <w:b/>
                <w:bCs/>
                <w:color w:val="FFE600"/>
                <w:spacing w:val="20"/>
                <w:sz w:val="17"/>
                <w:szCs w:val="17"/>
              </w:rPr>
              <w:t xml:space="preserve">USAGE</w:t>
            </w:r>
          </w:p>
        </w:tc>
      </w:tr>
      <w:tr>
        <w:tc>
          <w:tcPr>
            <w:tcW w:type="dxa" w:w="2000"/>
            <w:shd w:fill="FFFFFF" w:color="auto" w:val="clear"/>
          </w:tcPr>
          <w:p>
            <w:pPr>
              <w:spacing w:after="60" w:before="60"/>
            </w:pPr>
            <w:r>
              <w:rPr>
                <w:rFonts w:ascii="Arial" w:cs="Arial" w:eastAsia="Arial" w:hAnsi="Arial"/>
                <w:color w:val="0C1B2E"/>
                <w:sz w:val="18"/>
                <w:szCs w:val="18"/>
              </w:rPr>
              <w:t xml:space="preserve">EY Dark</w:t>
            </w:r>
          </w:p>
        </w:tc>
        <w:tc>
          <w:tcPr>
            <w:tcW w:type="dxa" w:w="2000"/>
            <w:shd w:fill="FFFFFF" w:color="auto" w:val="clear"/>
          </w:tcPr>
          <w:p>
            <w:pPr>
              <w:spacing w:after="60" w:before="60"/>
            </w:pPr>
            <w:r>
              <w:rPr>
                <w:rFonts w:ascii="Arial" w:cs="Arial" w:eastAsia="Arial" w:hAnsi="Arial"/>
                <w:color w:val="0C1B2E"/>
                <w:sz w:val="18"/>
                <w:szCs w:val="18"/>
              </w:rPr>
              <w:t xml:space="preserve">#2E2E38</w:t>
            </w:r>
          </w:p>
        </w:tc>
        <w:tc>
          <w:tcPr>
            <w:tcW w:type="dxa" w:w="5360"/>
            <w:shd w:fill="FFFFFF" w:color="auto" w:val="clear"/>
          </w:tcPr>
          <w:p>
            <w:pPr>
              <w:spacing w:after="60" w:before="60"/>
            </w:pPr>
            <w:r>
              <w:rPr>
                <w:rFonts w:ascii="Arial" w:cs="Arial" w:eastAsia="Arial" w:hAnsi="Arial"/>
                <w:color w:val="0C1B2E"/>
                <w:sz w:val="18"/>
                <w:szCs w:val="18"/>
              </w:rPr>
              <w:t xml:space="preserve">Navbar, headers de sections, tableaux thead, fond cover</w:t>
            </w:r>
          </w:p>
        </w:tc>
      </w:tr>
      <w:tr>
        <w:tc>
          <w:tcPr>
            <w:tcW w:type="dxa" w:w="2000"/>
            <w:shd w:fill="F8F9FA" w:color="auto" w:val="clear"/>
          </w:tcPr>
          <w:p>
            <w:pPr>
              <w:spacing w:after="60" w:before="60"/>
            </w:pPr>
            <w:r>
              <w:rPr>
                <w:rFonts w:ascii="Arial" w:cs="Arial" w:eastAsia="Arial" w:hAnsi="Arial"/>
                <w:color w:val="0C1B2E"/>
                <w:sz w:val="18"/>
                <w:szCs w:val="18"/>
              </w:rPr>
              <w:t xml:space="preserve">EY Yellow</w:t>
            </w:r>
          </w:p>
        </w:tc>
        <w:tc>
          <w:tcPr>
            <w:tcW w:type="dxa" w:w="2000"/>
            <w:shd w:fill="F8F9FA" w:color="auto" w:val="clear"/>
          </w:tcPr>
          <w:p>
            <w:pPr>
              <w:spacing w:after="60" w:before="60"/>
            </w:pPr>
            <w:r>
              <w:rPr>
                <w:rFonts w:ascii="Arial" w:cs="Arial" w:eastAsia="Arial" w:hAnsi="Arial"/>
                <w:color w:val="0C1B2E"/>
                <w:sz w:val="18"/>
                <w:szCs w:val="18"/>
              </w:rPr>
              <w:t xml:space="preserve">#FFE600</w:t>
            </w:r>
          </w:p>
        </w:tc>
        <w:tc>
          <w:tcPr>
            <w:tcW w:type="dxa" w:w="5360"/>
            <w:shd w:fill="F8F9FA" w:color="auto" w:val="clear"/>
          </w:tcPr>
          <w:p>
            <w:pPr>
              <w:spacing w:after="60" w:before="60"/>
            </w:pPr>
            <w:r>
              <w:rPr>
                <w:rFonts w:ascii="Arial" w:cs="Arial" w:eastAsia="Arial" w:hAnsi="Arial"/>
                <w:color w:val="0C1B2E"/>
                <w:sz w:val="18"/>
                <w:szCs w:val="18"/>
              </w:rPr>
              <w:t xml:space="preserve">Accent primaire, boutons actifs, surlignages, KPI values</w:t>
            </w:r>
          </w:p>
        </w:tc>
      </w:tr>
      <w:tr>
        <w:tc>
          <w:tcPr>
            <w:tcW w:type="dxa" w:w="2000"/>
            <w:shd w:fill="FFFFFF" w:color="auto" w:val="clear"/>
          </w:tcPr>
          <w:p>
            <w:pPr>
              <w:spacing w:after="60" w:before="60"/>
            </w:pPr>
            <w:r>
              <w:rPr>
                <w:rFonts w:ascii="Arial" w:cs="Arial" w:eastAsia="Arial" w:hAnsi="Arial"/>
                <w:color w:val="0C1B2E"/>
                <w:sz w:val="18"/>
                <w:szCs w:val="18"/>
              </w:rPr>
              <w:t xml:space="preserve">EY Background</w:t>
            </w:r>
          </w:p>
        </w:tc>
        <w:tc>
          <w:tcPr>
            <w:tcW w:type="dxa" w:w="2000"/>
            <w:shd w:fill="FFFFFF" w:color="auto" w:val="clear"/>
          </w:tcPr>
          <w:p>
            <w:pPr>
              <w:spacing w:after="60" w:before="60"/>
            </w:pPr>
            <w:r>
              <w:rPr>
                <w:rFonts w:ascii="Arial" w:cs="Arial" w:eastAsia="Arial" w:hAnsi="Arial"/>
                <w:color w:val="0C1B2E"/>
                <w:sz w:val="18"/>
                <w:szCs w:val="18"/>
              </w:rPr>
              <w:t xml:space="preserve">#F2F5FB</w:t>
            </w:r>
          </w:p>
        </w:tc>
        <w:tc>
          <w:tcPr>
            <w:tcW w:type="dxa" w:w="5360"/>
            <w:shd w:fill="FFFFFF" w:color="auto" w:val="clear"/>
          </w:tcPr>
          <w:p>
            <w:pPr>
              <w:spacing w:after="60" w:before="60"/>
            </w:pPr>
            <w:r>
              <w:rPr>
                <w:rFonts w:ascii="Arial" w:cs="Arial" w:eastAsia="Arial" w:hAnsi="Arial"/>
                <w:color w:val="0C1B2E"/>
                <w:sz w:val="18"/>
                <w:szCs w:val="18"/>
              </w:rPr>
              <w:t xml:space="preserve">Fond général de page (gris-bleu léger)</w:t>
            </w:r>
          </w:p>
        </w:tc>
      </w:tr>
      <w:tr>
        <w:tc>
          <w:tcPr>
            <w:tcW w:type="dxa" w:w="2000"/>
            <w:shd w:fill="F8F9FA" w:color="auto" w:val="clear"/>
          </w:tcPr>
          <w:p>
            <w:pPr>
              <w:spacing w:after="60" w:before="60"/>
            </w:pPr>
            <w:r>
              <w:rPr>
                <w:rFonts w:ascii="Arial" w:cs="Arial" w:eastAsia="Arial" w:hAnsi="Arial"/>
                <w:color w:val="0C1B2E"/>
                <w:sz w:val="18"/>
                <w:szCs w:val="18"/>
              </w:rPr>
              <w:t xml:space="preserve">EY Card</w:t>
            </w:r>
          </w:p>
        </w:tc>
        <w:tc>
          <w:tcPr>
            <w:tcW w:type="dxa" w:w="2000"/>
            <w:shd w:fill="F8F9FA" w:color="auto" w:val="clear"/>
          </w:tcPr>
          <w:p>
            <w:pPr>
              <w:spacing w:after="60" w:before="60"/>
            </w:pPr>
            <w:r>
              <w:rPr>
                <w:rFonts w:ascii="Arial" w:cs="Arial" w:eastAsia="Arial" w:hAnsi="Arial"/>
                <w:color w:val="0C1B2E"/>
                <w:sz w:val="18"/>
                <w:szCs w:val="18"/>
              </w:rPr>
              <w:t xml:space="preserve">#FFFFFF</w:t>
            </w:r>
          </w:p>
        </w:tc>
        <w:tc>
          <w:tcPr>
            <w:tcW w:type="dxa" w:w="5360"/>
            <w:shd w:fill="F8F9FA" w:color="auto" w:val="clear"/>
          </w:tcPr>
          <w:p>
            <w:pPr>
              <w:spacing w:after="60" w:before="60"/>
            </w:pPr>
            <w:r>
              <w:rPr>
                <w:rFonts w:ascii="Arial" w:cs="Arial" w:eastAsia="Arial" w:hAnsi="Arial"/>
                <w:color w:val="0C1B2E"/>
                <w:sz w:val="18"/>
                <w:szCs w:val="18"/>
              </w:rPr>
              <w:t xml:space="preserve">Cartes, panneaux latéraux, modales</w:t>
            </w:r>
          </w:p>
        </w:tc>
      </w:tr>
      <w:tr>
        <w:tc>
          <w:tcPr>
            <w:tcW w:type="dxa" w:w="2000"/>
            <w:shd w:fill="FFFFFF" w:color="auto" w:val="clear"/>
          </w:tcPr>
          <w:p>
            <w:pPr>
              <w:spacing w:after="60" w:before="60"/>
            </w:pPr>
            <w:r>
              <w:rPr>
                <w:rFonts w:ascii="Arial" w:cs="Arial" w:eastAsia="Arial" w:hAnsi="Arial"/>
                <w:color w:val="0C1B2E"/>
                <w:sz w:val="18"/>
                <w:szCs w:val="18"/>
              </w:rPr>
              <w:t xml:space="preserve">EY Text</w:t>
            </w:r>
          </w:p>
        </w:tc>
        <w:tc>
          <w:tcPr>
            <w:tcW w:type="dxa" w:w="2000"/>
            <w:shd w:fill="FFFFFF" w:color="auto" w:val="clear"/>
          </w:tcPr>
          <w:p>
            <w:pPr>
              <w:spacing w:after="60" w:before="60"/>
            </w:pPr>
            <w:r>
              <w:rPr>
                <w:rFonts w:ascii="Arial" w:cs="Arial" w:eastAsia="Arial" w:hAnsi="Arial"/>
                <w:color w:val="0C1B2E"/>
                <w:sz w:val="18"/>
                <w:szCs w:val="18"/>
              </w:rPr>
              <w:t xml:space="preserve">#0C1B2E</w:t>
            </w:r>
          </w:p>
        </w:tc>
        <w:tc>
          <w:tcPr>
            <w:tcW w:type="dxa" w:w="5360"/>
            <w:shd w:fill="FFFFFF" w:color="auto" w:val="clear"/>
          </w:tcPr>
          <w:p>
            <w:pPr>
              <w:spacing w:after="60" w:before="60"/>
            </w:pPr>
            <w:r>
              <w:rPr>
                <w:rFonts w:ascii="Arial" w:cs="Arial" w:eastAsia="Arial" w:hAnsi="Arial"/>
                <w:color w:val="0C1B2E"/>
                <w:sz w:val="18"/>
                <w:szCs w:val="18"/>
              </w:rPr>
              <w:t xml:space="preserve">Texte principal (navy très foncé)</w:t>
            </w:r>
          </w:p>
        </w:tc>
      </w:tr>
      <w:tr>
        <w:tc>
          <w:tcPr>
            <w:tcW w:type="dxa" w:w="2000"/>
            <w:shd w:fill="F8F9FA" w:color="auto" w:val="clear"/>
          </w:tcPr>
          <w:p>
            <w:pPr>
              <w:spacing w:after="60" w:before="60"/>
            </w:pPr>
            <w:r>
              <w:rPr>
                <w:rFonts w:ascii="Arial" w:cs="Arial" w:eastAsia="Arial" w:hAnsi="Arial"/>
                <w:color w:val="0C1B2E"/>
                <w:sz w:val="18"/>
                <w:szCs w:val="18"/>
              </w:rPr>
              <w:t xml:space="preserve">EY Border</w:t>
            </w:r>
          </w:p>
        </w:tc>
        <w:tc>
          <w:tcPr>
            <w:tcW w:type="dxa" w:w="2000"/>
            <w:shd w:fill="F8F9FA" w:color="auto" w:val="clear"/>
          </w:tcPr>
          <w:p>
            <w:pPr>
              <w:spacing w:after="60" w:before="60"/>
            </w:pPr>
            <w:r>
              <w:rPr>
                <w:rFonts w:ascii="Arial" w:cs="Arial" w:eastAsia="Arial" w:hAnsi="Arial"/>
                <w:color w:val="0C1B2E"/>
                <w:sz w:val="18"/>
                <w:szCs w:val="18"/>
              </w:rPr>
              <w:t xml:space="preserve">#DDE2EC</w:t>
            </w:r>
          </w:p>
        </w:tc>
        <w:tc>
          <w:tcPr>
            <w:tcW w:type="dxa" w:w="5360"/>
            <w:shd w:fill="F8F9FA" w:color="auto" w:val="clear"/>
          </w:tcPr>
          <w:p>
            <w:pPr>
              <w:spacing w:after="60" w:before="60"/>
            </w:pPr>
            <w:r>
              <w:rPr>
                <w:rFonts w:ascii="Arial" w:cs="Arial" w:eastAsia="Arial" w:hAnsi="Arial"/>
                <w:color w:val="0C1B2E"/>
                <w:sz w:val="18"/>
                <w:szCs w:val="18"/>
              </w:rPr>
              <w:t xml:space="preserve">Séparateurs, contours de cartes, lignes de tableau</w:t>
            </w:r>
          </w:p>
        </w:tc>
      </w:tr>
      <w:tr>
        <w:tc>
          <w:tcPr>
            <w:tcW w:type="dxa" w:w="2000"/>
            <w:shd w:fill="FFFFFF" w:color="auto" w:val="clear"/>
          </w:tcPr>
          <w:p>
            <w:pPr>
              <w:spacing w:after="60" w:before="60"/>
            </w:pPr>
            <w:r>
              <w:rPr>
                <w:rFonts w:ascii="Arial" w:cs="Arial" w:eastAsia="Arial" w:hAnsi="Arial"/>
                <w:color w:val="0C1B2E"/>
                <w:sz w:val="18"/>
                <w:szCs w:val="18"/>
              </w:rPr>
              <w:t xml:space="preserve">Police</w:t>
            </w:r>
          </w:p>
        </w:tc>
        <w:tc>
          <w:tcPr>
            <w:tcW w:type="dxa" w:w="2000"/>
            <w:shd w:fill="FFFFFF" w:color="auto" w:val="clear"/>
          </w:tcPr>
          <w:p>
            <w:pPr>
              <w:spacing w:after="60" w:before="60"/>
            </w:pPr>
            <w:r>
              <w:rPr>
                <w:rFonts w:ascii="Arial" w:cs="Arial" w:eastAsia="Arial" w:hAnsi="Arial"/>
                <w:color w:val="0C1B2E"/>
                <w:sz w:val="18"/>
                <w:szCs w:val="18"/>
              </w:rPr>
              <w:t xml:space="preserve">Barlow (Google) / system-ui</w:t>
            </w:r>
          </w:p>
        </w:tc>
        <w:tc>
          <w:tcPr>
            <w:tcW w:type="dxa" w:w="5360"/>
            <w:shd w:fill="FFFFFF" w:color="auto" w:val="clear"/>
          </w:tcPr>
          <w:p>
            <w:pPr>
              <w:spacing w:after="60" w:before="60"/>
            </w:pPr>
            <w:r>
              <w:rPr>
                <w:rFonts w:ascii="Arial" w:cs="Arial" w:eastAsia="Arial" w:hAnsi="Arial"/>
                <w:color w:val="0C1B2E"/>
                <w:sz w:val="18"/>
                <w:szCs w:val="18"/>
              </w:rPr>
              <w:t xml:space="preserve">Corps du texte et titres</w:t>
            </w:r>
          </w:p>
        </w:tc>
      </w:tr>
    </w:tbl>
    <w:p>
      <w:pPr>
        <w:pStyle w:val="Heading3"/>
        <w:spacing w:after="80" w:before="240"/>
      </w:pPr>
      <w:r>
        <w:rPr>
          <w:rFonts w:ascii="Arial" w:cs="Arial" w:eastAsia="Arial" w:hAnsi="Arial"/>
          <w:b/>
          <w:bCs/>
          <w:color w:val="2E2E38"/>
          <w:sz w:val="22"/>
          <w:szCs w:val="22"/>
        </w:rPr>
        <w:t xml:space="preserve">Pages de l'application (10)</w:t>
      </w:r>
    </w:p>
    <w:p>
      <w:pPr>
        <w:pStyle w:val="ListParagraph"/>
        <w:numPr>
          <w:ilvl w:val="0"/>
          <w:numId w:val="3"/>
        </w:numPr>
        <w:spacing w:after="60" w:before="60"/>
      </w:pPr>
      <w:r>
        <w:rPr>
          <w:rFonts w:ascii="Arial" w:cs="Arial" w:eastAsia="Arial" w:hAnsi="Arial"/>
          <w:color w:val="0C1B2E"/>
          <w:sz w:val="20"/>
          <w:szCs w:val="20"/>
        </w:rPr>
        <w:t xml:space="preserve">**Accueil** (/accueil) — landing animée avec statistiques marché en temps réel et accès aux modules</w:t>
      </w:r>
    </w:p>
    <w:p>
      <w:pPr>
        <w:pStyle w:val="ListParagraph"/>
        <w:numPr>
          <w:ilvl w:val="0"/>
          <w:numId w:val="3"/>
        </w:numPr>
        <w:spacing w:after="60" w:before="60"/>
      </w:pPr>
      <w:r>
        <w:rPr>
          <w:rFonts w:ascii="Arial" w:cs="Arial" w:eastAsia="Arial" w:hAnsi="Arial"/>
          <w:color w:val="0C1B2E"/>
          <w:sz w:val="20"/>
          <w:szCs w:val="20"/>
        </w:rPr>
        <w:t xml:space="preserve">**Aperçu Marché** (/apercu-marche) — taux de pénétration, densité, total primes, graphiques SVG d'évolution 2015–2024</w:t>
      </w:r>
    </w:p>
    <w:p>
      <w:pPr>
        <w:pStyle w:val="ListParagraph"/>
        <w:numPr>
          <w:ilvl w:val="0"/>
          <w:numId w:val="3"/>
        </w:numPr>
        <w:spacing w:after="60" w:before="60"/>
      </w:pPr>
      <w:r>
        <w:rPr>
          <w:rFonts w:ascii="Arial" w:cs="Arial" w:eastAsia="Arial" w:hAnsi="Arial"/>
          <w:color w:val="0C1B2E"/>
          <w:sz w:val="20"/>
          <w:szCs w:val="20"/>
        </w:rPr>
        <w:t xml:space="preserve">**Analyse Comparative** (/analyse-comparative) — tableau croisé compagnies × KPIs avec filtres, tri multi-colonnes</w:t>
      </w:r>
    </w:p>
    <w:p>
      <w:pPr>
        <w:pStyle w:val="ListParagraph"/>
        <w:numPr>
          <w:ilvl w:val="0"/>
          <w:numId w:val="3"/>
        </w:numPr>
        <w:spacing w:after="60" w:before="60"/>
      </w:pPr>
      <w:r>
        <w:rPr>
          <w:rFonts w:ascii="Arial" w:cs="Arial" w:eastAsia="Arial" w:hAnsi="Arial"/>
          <w:color w:val="0C1B2E"/>
          <w:sz w:val="20"/>
          <w:szCs w:val="20"/>
        </w:rPr>
        <w:t xml:space="preserve">**Vue par Assurance** (/fiches) — fiche détaillée par compagnie avec tous les KPIs financiers et PDF intégré</w:t>
      </w:r>
    </w:p>
    <w:p>
      <w:pPr>
        <w:pStyle w:val="ListParagraph"/>
        <w:numPr>
          <w:ilvl w:val="0"/>
          <w:numId w:val="3"/>
        </w:numPr>
        <w:spacing w:after="60" w:before="60"/>
      </w:pPr>
      <w:r>
        <w:rPr>
          <w:rFonts w:ascii="Arial" w:cs="Arial" w:eastAsia="Arial" w:hAnsi="Arial"/>
          <w:color w:val="0C1B2E"/>
          <w:sz w:val="20"/>
          <w:szCs w:val="20"/>
        </w:rPr>
        <w:t xml:space="preserve">**Enquête de Marché** (/enquete-marche) — carte SVG interactive Tunisie, distribution géographique par gouvernorat</w:t>
      </w:r>
    </w:p>
    <w:p>
      <w:pPr>
        <w:pStyle w:val="ListParagraph"/>
        <w:numPr>
          <w:ilvl w:val="0"/>
          <w:numId w:val="3"/>
        </w:numPr>
        <w:spacing w:after="60" w:before="60"/>
      </w:pPr>
      <w:r>
        <w:rPr>
          <w:rFonts w:ascii="Arial" w:cs="Arial" w:eastAsia="Arial" w:hAnsi="Arial"/>
          <w:color w:val="0C1B2E"/>
          <w:sz w:val="20"/>
          <w:szCs w:val="20"/>
        </w:rPr>
        <w:t xml:space="preserve">**Actualités &amp; Séminaires** (/actualites-seminaires) — articles IlBoursa/Atlas-Mag, événements sectoriels</w:t>
      </w:r>
    </w:p>
    <w:p>
      <w:pPr>
        <w:pStyle w:val="ListParagraph"/>
        <w:numPr>
          <w:ilvl w:val="0"/>
          <w:numId w:val="3"/>
        </w:numPr>
        <w:spacing w:after="60" w:before="60"/>
      </w:pPr>
      <w:r>
        <w:rPr>
          <w:rFonts w:ascii="Arial" w:cs="Arial" w:eastAsia="Arial" w:hAnsi="Arial"/>
          <w:color w:val="0C1B2E"/>
          <w:sz w:val="20"/>
          <w:szCs w:val="20"/>
        </w:rPr>
        <w:t xml:space="preserve">**Veille Réglementaire** (/veille-reglementaire) — circulaires CGA, textes de loi, décisions de régulation</w:t>
      </w:r>
    </w:p>
    <w:p>
      <w:pPr>
        <w:pStyle w:val="ListParagraph"/>
        <w:numPr>
          <w:ilvl w:val="0"/>
          <w:numId w:val="3"/>
        </w:numPr>
        <w:spacing w:after="60" w:before="60"/>
      </w:pPr>
      <w:r>
        <w:rPr>
          <w:rFonts w:ascii="Arial" w:cs="Arial" w:eastAsia="Arial" w:hAnsi="Arial"/>
          <w:color w:val="0C1B2E"/>
          <w:sz w:val="20"/>
          <w:szCs w:val="20"/>
        </w:rPr>
        <w:t xml:space="preserve">**Qualité Data** (/qualite-donnees) — matrice compagnies × KPIs ; taxonomie Extrait / Calculé / Non extrait / Non calculé + alerte Aberrant, toujours icône + mot (jamais une couleur seule), cohérente avec Aperçu Marché, Analyse Comparative et Vue par Assurance</w:t>
      </w:r>
    </w:p>
    <w:p>
      <w:pPr>
        <w:pStyle w:val="ListParagraph"/>
        <w:numPr>
          <w:ilvl w:val="0"/>
          <w:numId w:val="3"/>
        </w:numPr>
        <w:spacing w:after="60" w:before="60"/>
      </w:pPr>
      <w:r>
        <w:rPr>
          <w:rFonts w:ascii="Arial" w:cs="Arial" w:eastAsia="Arial" w:hAnsi="Arial"/>
          <w:color w:val="0C1B2E"/>
          <w:sz w:val="20"/>
          <w:szCs w:val="20"/>
        </w:rPr>
        <w:t xml:space="preserve">**KPI Detail** (/kpi-detail) — rendu PDF dans le navigateur (pdfjs-dist) avec surlignage de la cellule source</w:t>
      </w:r>
    </w:p>
    <w:p>
      <w:pPr>
        <w:pStyle w:val="ListParagraph"/>
        <w:numPr>
          <w:ilvl w:val="0"/>
          <w:numId w:val="3"/>
        </w:numPr>
        <w:spacing w:after="60" w:before="60"/>
      </w:pPr>
      <w:r>
        <w:rPr>
          <w:rFonts w:ascii="Arial" w:cs="Arial" w:eastAsia="Arial" w:hAnsi="Arial"/>
          <w:color w:val="0C1B2E"/>
          <w:sz w:val="20"/>
          <w:szCs w:val="20"/>
        </w:rPr>
        <w:t xml:space="preserve">**Anomalies Système** (/anomalies-systeme) — tableau filtrable minimal, diagnostic complet déporté vers KpiDetail</w:t>
      </w:r>
    </w:p>
    <w:p>
      <w:pPr>
        <w:pStyle w:val="Heading3"/>
        <w:spacing w:after="80" w:before="240"/>
      </w:pPr>
      <w:r>
        <w:rPr>
          <w:rFonts w:ascii="Arial" w:cs="Arial" w:eastAsia="Arial" w:hAnsi="Arial"/>
          <w:b/>
          <w:bCs/>
          <w:color w:val="2E2E38"/>
          <w:sz w:val="22"/>
          <w:szCs w:val="22"/>
        </w:rPr>
        <w:t xml:space="preserve">Graphiques SVG React sans bibliothèque externe</w:t>
      </w:r>
    </w:p>
    <w:p>
      <w:pPr>
        <w:spacing w:after="80" w:before="60"/>
      </w:pPr>
      <w:r>
        <w:rPr>
          <w:rFonts w:ascii="Arial" w:cs="Arial" w:eastAsia="Arial" w:hAnsi="Arial"/>
          <w:color w:val="0C1B2E"/>
          <w:sz w:val="20"/>
          <w:szCs w:val="20"/>
        </w:rPr>
        <w:t xml:space="preserve">Tous les graphiques (barres, lignes, aires, camemberts, sparklines) sont des composants React SVG inline. Ce choix délibéré évite les dépendances lourdes (Chart.js = 250ko, D3 = 300ko) et permet un contrôle total du style selon la charte EY sans override CSS.</w:t>
      </w:r>
    </w:p>
    <w:p>
      <w:pPr>
        <w:pStyle w:val="Heading3"/>
        <w:spacing w:after="80" w:before="240"/>
      </w:pPr>
      <w:r>
        <w:rPr>
          <w:rFonts w:ascii="Arial" w:cs="Arial" w:eastAsia="Arial" w:hAnsi="Arial"/>
          <w:b/>
          <w:bCs/>
          <w:color w:val="2E2E38"/>
          <w:sz w:val="22"/>
          <w:szCs w:val="22"/>
        </w:rPr>
        <w:t xml:space="preserve">PDF Viewer avec surlignage de source</w:t>
      </w:r>
    </w:p>
    <w:p>
      <w:pPr>
        <w:spacing w:after="80" w:before="60"/>
      </w:pPr>
      <w:r>
        <w:rPr>
          <w:rFonts w:ascii="Arial" w:cs="Arial" w:eastAsia="Arial" w:hAnsi="Arial"/>
          <w:color w:val="0C1B2E"/>
          <w:sz w:val="20"/>
          <w:szCs w:val="20"/>
        </w:rPr>
        <w:t xml:space="preserve">La page KPI Detail utilise pdfjs-dist pour rendre le PDF dans le navigateur. Les coordonnées de la cellule source (x, y, width, height, page) sont retournées par l'API (/api/kpi-detail/{code}/{annee}/{kpi}) et un overlay SVG semi-transparent jaune est superposé sur la cellule. L'utilisateur voit exactement de quelle ligne du rapport annuel est issue la valeur affichée dans le dashboard.</w:t>
      </w:r>
    </w:p>
    <w:p>
      <w:pPr>
        <w:pBdr>
          <w:left w:val="single" w:color="1A73E8" w:sz="12"/>
        </w:pBdr>
        <w:shd w:fill="F8F9FA" w:color="auto" w:val="clear"/>
        <w:spacing w:after="100" w:before="100"/>
        <w:ind w:left="200" w:right="200"/>
      </w:pPr>
      <w:r>
        <w:rPr>
          <w:rFonts w:ascii="Arial" w:cs="Arial" w:eastAsia="Arial" w:hAnsi="Arial"/>
          <w:b/>
          <w:bCs/>
          <w:color w:val="1A73E8"/>
          <w:sz w:val="20"/>
          <w:szCs w:val="20"/>
        </w:rPr>
        <w:t xml:space="preserve">ℹ  </w:t>
      </w:r>
      <w:r>
        <w:rPr>
          <w:rFonts w:ascii="Arial" w:cs="Arial" w:eastAsia="Arial" w:hAnsi="Arial"/>
          <w:color w:val="0C1B2E"/>
          <w:sz w:val="20"/>
          <w:szCs w:val="20"/>
        </w:rPr>
        <w:t xml:space="preserve">Justification Vite vs Create React App : Vite utilise ES Modules natifs en développement (démarrage &lt; 200ms vs 10–30s pour CRA). En production, le bundling Rollup produit des chunks optimisés avec tree-shaking agressif.</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ÉTAPE 10</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10 — Chatbot IA en Langage Naturel</w:t>
      </w:r>
    </w:p>
    <w:p>
      <w:pPr>
        <w:spacing w:after="80" w:before="60"/>
      </w:pPr>
      <w:r>
        <w:rPr>
          <w:rFonts w:ascii="Arial" w:cs="Arial" w:eastAsia="Arial" w:hAnsi="Arial"/>
          <w:color w:val="0C1B2E"/>
          <w:sz w:val="20"/>
          <w:szCs w:val="20"/>
        </w:rPr>
        <w:t xml:space="preserve">Dossier : chatbot_portable/ · Backend : Flask port 5001 · LLM : Groq API (Llama 3.3 70B)</w:t>
      </w:r>
    </w:p>
    <w:p>
      <w:pPr>
        <w:pStyle w:val="Heading3"/>
        <w:spacing w:after="80" w:before="240"/>
      </w:pPr>
      <w:r>
        <w:rPr>
          <w:rFonts w:ascii="Arial" w:cs="Arial" w:eastAsia="Arial" w:hAnsi="Arial"/>
          <w:b/>
          <w:bCs/>
          <w:color w:val="2E2E38"/>
          <w:sz w:val="22"/>
          <w:szCs w:val="22"/>
        </w:rPr>
        <w:t xml:space="preserve">Architecture de traitement d'une question</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Utilisateur  →  POST /api/chatbot  →  Détection d'intent</w:t>
        <w:br/>
        <w:t xml:space="preserve">                                           │</w:t>
        <w:br/>
        <w:t xml:space="preserve">                       ┌───────────────────┤</w:t>
        <w:br/>
        <w:t xml:space="preserve">                       │                   │</w:t>
        <w:br/>
        <w:t xml:space="preserve">             Intent structuré          Intent libre</w:t>
        <w:br/>
        <w:t xml:space="preserve">      (classement/évolution/profil)   (question ouverte)</w:t>
        <w:br/>
        <w:t xml:space="preserve">                       │                   │</w:t>
        <w:br/>
        <w:t xml:space="preserve">              SQL construit en      Text-to-SQL via</w:t>
        <w:br/>
        <w:t xml:space="preserve">              Python (sécurisé)     Groq LLM</w:t>
        <w:br/>
        <w:t xml:space="preserve">                       │                   │</w:t>
        <w:br/>
        <w:t xml:space="preserve">                       └───────┬───────────┘</w:t>
        <w:br/>
        <w:t xml:space="preserve">                               │</w:t>
        <w:br/>
        <w:t xml:space="preserve">                    MarketInsurance.db (SQLite)</w:t>
        <w:br/>
        <w:t xml:space="preserve">                    Résultats SQL réels</w:t>
        <w:br/>
        <w:t xml:space="preserve">                               │</w:t>
        <w:br/>
        <w:t xml:space="preserve">                    Groq LLM : reformulation FR</w:t>
        <w:br/>
        <w:t xml:space="preserve">                               │</w:t>
        <w:br/>
        <w:t xml:space="preserve">             JSON { text, render, data, suggestions }</w:t>
      </w:r>
    </w:p>
    <w:p>
      <w:pPr>
        <w:pStyle w:val="Heading3"/>
        <w:spacing w:after="80" w:before="240"/>
      </w:pPr>
      <w:r>
        <w:rPr>
          <w:rFonts w:ascii="Arial" w:cs="Arial" w:eastAsia="Arial" w:hAnsi="Arial"/>
          <w:b/>
          <w:bCs/>
          <w:color w:val="2E2E38"/>
          <w:sz w:val="22"/>
          <w:szCs w:val="22"/>
        </w:rPr>
        <w:t xml:space="preserve">Types de rendu adaptatifs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200"/>
        <w:gridCol w:w="4560"/>
      </w:tblGrid>
      <w:tr>
        <w:trPr>
          <w:tblHeader/>
        </w:trPr>
        <w:tc>
          <w:tcPr>
            <w:tcW w:type="dxa" w:w="1600"/>
            <w:shd w:fill="2E2E38" w:color="auto" w:val="clear"/>
          </w:tcPr>
          <w:p>
            <w:pPr>
              <w:jc w:val="left"/>
            </w:pPr>
            <w:r>
              <w:rPr>
                <w:rFonts w:ascii="Arial" w:cs="Arial" w:eastAsia="Arial" w:hAnsi="Arial"/>
                <w:b/>
                <w:bCs/>
                <w:color w:val="FFE600"/>
                <w:spacing w:val="20"/>
                <w:sz w:val="17"/>
                <w:szCs w:val="17"/>
              </w:rPr>
              <w:t xml:space="preserve">CHAMP RENDER</w:t>
            </w:r>
          </w:p>
        </w:tc>
        <w:tc>
          <w:tcPr>
            <w:tcW w:type="dxa" w:w="3200"/>
            <w:shd w:fill="2E2E38" w:color="auto" w:val="clear"/>
          </w:tcPr>
          <w:p>
            <w:pPr>
              <w:jc w:val="left"/>
            </w:pPr>
            <w:r>
              <w:rPr>
                <w:rFonts w:ascii="Arial" w:cs="Arial" w:eastAsia="Arial" w:hAnsi="Arial"/>
                <w:b/>
                <w:bCs/>
                <w:color w:val="FFE600"/>
                <w:spacing w:val="20"/>
                <w:sz w:val="17"/>
                <w:szCs w:val="17"/>
              </w:rPr>
              <w:t xml:space="preserve">AFFICHAGE FRONTEND</w:t>
            </w:r>
          </w:p>
        </w:tc>
        <w:tc>
          <w:tcPr>
            <w:tcW w:type="dxa" w:w="4560"/>
            <w:shd w:fill="2E2E38" w:color="auto" w:val="clear"/>
          </w:tcPr>
          <w:p>
            <w:pPr>
              <w:jc w:val="left"/>
            </w:pPr>
            <w:r>
              <w:rPr>
                <w:rFonts w:ascii="Arial" w:cs="Arial" w:eastAsia="Arial" w:hAnsi="Arial"/>
                <w:b/>
                <w:bCs/>
                <w:color w:val="FFE600"/>
                <w:spacing w:val="20"/>
                <w:sz w:val="17"/>
                <w:szCs w:val="17"/>
              </w:rPr>
              <w:t xml:space="preserve">EXEMPLE DE QUESTION DÉCLENCHEUR</w:t>
            </w:r>
          </w:p>
        </w:tc>
      </w:tr>
      <w:tr>
        <w:tc>
          <w:tcPr>
            <w:tcW w:type="dxa" w:w="1600"/>
            <w:shd w:fill="FFFFFF" w:color="auto" w:val="clear"/>
          </w:tcPr>
          <w:p>
            <w:pPr>
              <w:spacing w:after="60" w:before="60"/>
            </w:pPr>
            <w:r>
              <w:rPr>
                <w:rFonts w:ascii="Arial" w:cs="Arial" w:eastAsia="Arial" w:hAnsi="Arial"/>
                <w:color w:val="0C1B2E"/>
                <w:sz w:val="18"/>
                <w:szCs w:val="18"/>
              </w:rPr>
              <w:t xml:space="preserve">table</w:t>
            </w:r>
          </w:p>
        </w:tc>
        <w:tc>
          <w:tcPr>
            <w:tcW w:type="dxa" w:w="3200"/>
            <w:shd w:fill="FFFFFF" w:color="auto" w:val="clear"/>
          </w:tcPr>
          <w:p>
            <w:pPr>
              <w:spacing w:after="60" w:before="60"/>
            </w:pPr>
            <w:r>
              <w:rPr>
                <w:rFonts w:ascii="Arial" w:cs="Arial" w:eastAsia="Arial" w:hAnsi="Arial"/>
                <w:color w:val="0C1B2E"/>
                <w:sz w:val="18"/>
                <w:szCs w:val="18"/>
              </w:rPr>
              <w:t xml:space="preserve">Tableau HTML avec headers et lignes de données</w:t>
            </w:r>
          </w:p>
        </w:tc>
        <w:tc>
          <w:tcPr>
            <w:tcW w:type="dxa" w:w="4560"/>
            <w:shd w:fill="FFFFFF" w:color="auto" w:val="clear"/>
          </w:tcPr>
          <w:p>
            <w:pPr>
              <w:spacing w:after="60" w:before="60"/>
            </w:pPr>
            <w:r>
              <w:rPr>
                <w:rFonts w:ascii="Arial" w:cs="Arial" w:eastAsia="Arial" w:hAnsi="Arial"/>
                <w:color w:val="0C1B2E"/>
                <w:sz w:val="18"/>
                <w:szCs w:val="18"/>
              </w:rPr>
              <w:t xml:space="preserve">'Donne-moi tous les KPIs de STAR en 2022'</w:t>
            </w:r>
          </w:p>
        </w:tc>
      </w:tr>
      <w:tr>
        <w:tc>
          <w:tcPr>
            <w:tcW w:type="dxa" w:w="1600"/>
            <w:shd w:fill="F8F9FA" w:color="auto" w:val="clear"/>
          </w:tcPr>
          <w:p>
            <w:pPr>
              <w:spacing w:after="60" w:before="60"/>
            </w:pPr>
            <w:r>
              <w:rPr>
                <w:rFonts w:ascii="Arial" w:cs="Arial" w:eastAsia="Arial" w:hAnsi="Arial"/>
                <w:color w:val="0C1B2E"/>
                <w:sz w:val="18"/>
                <w:szCs w:val="18"/>
              </w:rPr>
              <w:t xml:space="preserve">ranking</w:t>
            </w:r>
          </w:p>
        </w:tc>
        <w:tc>
          <w:tcPr>
            <w:tcW w:type="dxa" w:w="3200"/>
            <w:shd w:fill="F8F9FA" w:color="auto" w:val="clear"/>
          </w:tcPr>
          <w:p>
            <w:pPr>
              <w:spacing w:after="60" w:before="60"/>
            </w:pPr>
            <w:r>
              <w:rPr>
                <w:rFonts w:ascii="Arial" w:cs="Arial" w:eastAsia="Arial" w:hAnsi="Arial"/>
                <w:color w:val="0C1B2E"/>
                <w:sz w:val="18"/>
                <w:szCs w:val="18"/>
              </w:rPr>
              <w:t xml:space="preserve">Liste ordonnée avec rang, compagnie, valeur. Top-3 en jaune EY</w:t>
            </w:r>
          </w:p>
        </w:tc>
        <w:tc>
          <w:tcPr>
            <w:tcW w:type="dxa" w:w="4560"/>
            <w:shd w:fill="F8F9FA" w:color="auto" w:val="clear"/>
          </w:tcPr>
          <w:p>
            <w:pPr>
              <w:spacing w:after="60" w:before="60"/>
            </w:pPr>
            <w:r>
              <w:rPr>
                <w:rFonts w:ascii="Arial" w:cs="Arial" w:eastAsia="Arial" w:hAnsi="Arial"/>
                <w:color w:val="0C1B2E"/>
                <w:sz w:val="18"/>
                <w:szCs w:val="18"/>
              </w:rPr>
              <w:t xml:space="preserve">'Top 5 compagnies par PDM en 2023'</w:t>
            </w:r>
          </w:p>
        </w:tc>
      </w:tr>
      <w:tr>
        <w:tc>
          <w:tcPr>
            <w:tcW w:type="dxa" w:w="1600"/>
            <w:shd w:fill="FFFFFF" w:color="auto" w:val="clear"/>
          </w:tcPr>
          <w:p>
            <w:pPr>
              <w:spacing w:after="60" w:before="60"/>
            </w:pPr>
            <w:r>
              <w:rPr>
                <w:rFonts w:ascii="Arial" w:cs="Arial" w:eastAsia="Arial" w:hAnsi="Arial"/>
                <w:color w:val="0C1B2E"/>
                <w:sz w:val="18"/>
                <w:szCs w:val="18"/>
              </w:rPr>
              <w:t xml:space="preserve">evolution</w:t>
            </w:r>
          </w:p>
        </w:tc>
        <w:tc>
          <w:tcPr>
            <w:tcW w:type="dxa" w:w="3200"/>
            <w:shd w:fill="FFFFFF" w:color="auto" w:val="clear"/>
          </w:tcPr>
          <w:p>
            <w:pPr>
              <w:spacing w:after="60" w:before="60"/>
            </w:pPr>
            <w:r>
              <w:rPr>
                <w:rFonts w:ascii="Arial" w:cs="Arial" w:eastAsia="Arial" w:hAnsi="Arial"/>
                <w:color w:val="0C1B2E"/>
                <w:sz w:val="18"/>
                <w:szCs w:val="18"/>
              </w:rPr>
              <w:t xml:space="preserve">Barres horizontales progressives par année</w:t>
            </w:r>
          </w:p>
        </w:tc>
        <w:tc>
          <w:tcPr>
            <w:tcW w:type="dxa" w:w="4560"/>
            <w:shd w:fill="FFFFFF" w:color="auto" w:val="clear"/>
          </w:tcPr>
          <w:p>
            <w:pPr>
              <w:spacing w:after="60" w:before="60"/>
            </w:pPr>
            <w:r>
              <w:rPr>
                <w:rFonts w:ascii="Arial" w:cs="Arial" w:eastAsia="Arial" w:hAnsi="Arial"/>
                <w:color w:val="0C1B2E"/>
                <w:sz w:val="18"/>
                <w:szCs w:val="18"/>
              </w:rPr>
              <w:t xml:space="preserve">'Évolution des primes de COMAR 2018–2023'</w:t>
            </w:r>
          </w:p>
        </w:tc>
      </w:tr>
      <w:tr>
        <w:tc>
          <w:tcPr>
            <w:tcW w:type="dxa" w:w="1600"/>
            <w:shd w:fill="F8F9FA" w:color="auto" w:val="clear"/>
          </w:tcPr>
          <w:p>
            <w:pPr>
              <w:spacing w:after="60" w:before="60"/>
            </w:pPr>
            <w:r>
              <w:rPr>
                <w:rFonts w:ascii="Arial" w:cs="Arial" w:eastAsia="Arial" w:hAnsi="Arial"/>
                <w:color w:val="0C1B2E"/>
                <w:sz w:val="18"/>
                <w:szCs w:val="18"/>
              </w:rPr>
              <w:t xml:space="preserve">kpi_cards</w:t>
            </w:r>
          </w:p>
        </w:tc>
        <w:tc>
          <w:tcPr>
            <w:tcW w:type="dxa" w:w="3200"/>
            <w:shd w:fill="F8F9FA" w:color="auto" w:val="clear"/>
          </w:tcPr>
          <w:p>
            <w:pPr>
              <w:spacing w:after="60" w:before="60"/>
            </w:pPr>
            <w:r>
              <w:rPr>
                <w:rFonts w:ascii="Arial" w:cs="Arial" w:eastAsia="Arial" w:hAnsi="Arial"/>
                <w:color w:val="0C1B2E"/>
                <w:sz w:val="18"/>
                <w:szCs w:val="18"/>
              </w:rPr>
              <w:t xml:space="preserve">Grille 2×N de cartes avec valeurs en jaune EY</w:t>
            </w:r>
          </w:p>
        </w:tc>
        <w:tc>
          <w:tcPr>
            <w:tcW w:type="dxa" w:w="4560"/>
            <w:shd w:fill="F8F9FA" w:color="auto" w:val="clear"/>
          </w:tcPr>
          <w:p>
            <w:pPr>
              <w:spacing w:after="60" w:before="60"/>
            </w:pPr>
            <w:r>
              <w:rPr>
                <w:rFonts w:ascii="Arial" w:cs="Arial" w:eastAsia="Arial" w:hAnsi="Arial"/>
                <w:color w:val="0C1B2E"/>
                <w:sz w:val="18"/>
                <w:szCs w:val="18"/>
              </w:rPr>
              <w:t xml:space="preserve">'Profil complet de GAT en 2021'</w:t>
            </w:r>
          </w:p>
        </w:tc>
      </w:tr>
      <w:tr>
        <w:tc>
          <w:tcPr>
            <w:tcW w:type="dxa" w:w="1600"/>
            <w:shd w:fill="FFFFFF" w:color="auto" w:val="clear"/>
          </w:tcPr>
          <w:p>
            <w:pPr>
              <w:spacing w:after="60" w:before="60"/>
            </w:pPr>
            <w:r>
              <w:rPr>
                <w:rFonts w:ascii="Arial" w:cs="Arial" w:eastAsia="Arial" w:hAnsi="Arial"/>
                <w:color w:val="0C1B2E"/>
                <w:sz w:val="18"/>
                <w:szCs w:val="18"/>
              </w:rPr>
              <w:t xml:space="preserve">text</w:t>
            </w:r>
          </w:p>
        </w:tc>
        <w:tc>
          <w:tcPr>
            <w:tcW w:type="dxa" w:w="3200"/>
            <w:shd w:fill="FFFFFF" w:color="auto" w:val="clear"/>
          </w:tcPr>
          <w:p>
            <w:pPr>
              <w:spacing w:after="60" w:before="60"/>
            </w:pPr>
            <w:r>
              <w:rPr>
                <w:rFonts w:ascii="Arial" w:cs="Arial" w:eastAsia="Arial" w:hAnsi="Arial"/>
                <w:color w:val="0C1B2E"/>
                <w:sz w:val="18"/>
                <w:szCs w:val="18"/>
              </w:rPr>
              <w:t xml:space="preserve">Markdown avec gras rendu en HTML</w:t>
            </w:r>
          </w:p>
        </w:tc>
        <w:tc>
          <w:tcPr>
            <w:tcW w:type="dxa" w:w="4560"/>
            <w:shd w:fill="FFFFFF" w:color="auto" w:val="clear"/>
          </w:tcPr>
          <w:p>
            <w:pPr>
              <w:spacing w:after="60" w:before="60"/>
            </w:pPr>
            <w:r>
              <w:rPr>
                <w:rFonts w:ascii="Arial" w:cs="Arial" w:eastAsia="Arial" w:hAnsi="Arial"/>
                <w:color w:val="0C1B2E"/>
                <w:sz w:val="18"/>
                <w:szCs w:val="18"/>
              </w:rPr>
              <w:t xml:space="preserve">'Qu'est-ce que le ratio combiné ?'</w:t>
            </w:r>
          </w:p>
        </w:tc>
      </w:tr>
    </w:tbl>
    <w:p>
      <w:pPr>
        <w:pStyle w:val="Heading3"/>
        <w:spacing w:after="80" w:before="240"/>
      </w:pPr>
      <w:r>
        <w:rPr>
          <w:rFonts w:ascii="Arial" w:cs="Arial" w:eastAsia="Arial" w:hAnsi="Arial"/>
          <w:b/>
          <w:bCs/>
          <w:color w:val="2E2E38"/>
          <w:sz w:val="22"/>
          <w:szCs w:val="22"/>
        </w:rPr>
        <w:t xml:space="preserve">Principes de sécurité et fiabilité</w:t>
      </w:r>
    </w:p>
    <w:p>
      <w:pPr>
        <w:pBdr>
          <w:left w:val="single" w:color="C0392B" w:sz="12"/>
        </w:pBdr>
        <w:shd w:fill="F8F9FA" w:color="auto" w:val="clear"/>
        <w:spacing w:after="100" w:before="100"/>
        <w:ind w:left="200" w:right="200"/>
      </w:pPr>
      <w:r>
        <w:rPr>
          <w:rFonts w:ascii="Arial" w:cs="Arial" w:eastAsia="Arial" w:hAnsi="Arial"/>
          <w:b/>
          <w:bCs/>
          <w:color w:val="C0392B"/>
          <w:sz w:val="20"/>
          <w:szCs w:val="20"/>
        </w:rPr>
        <w:t xml:space="preserve">!  </w:t>
      </w:r>
      <w:r>
        <w:rPr>
          <w:rFonts w:ascii="Arial" w:cs="Arial" w:eastAsia="Arial" w:hAnsi="Arial"/>
          <w:color w:val="0C1B2E"/>
          <w:sz w:val="20"/>
          <w:szCs w:val="20"/>
        </w:rPr>
        <w:t xml:space="preserve">Le LLM ne génère JAMAIS de données financières. Il reformule uniquement des résultats réels issus de requêtes SQL vérifiées sur MarketInsurance.db. Seules les requêtes SELECT sont autorisées (vérification Python avant exécution SQL).</w:t>
      </w:r>
    </w:p>
    <w:p>
      <w:pPr>
        <w:pStyle w:val="ListParagraph"/>
        <w:numPr>
          <w:ilvl w:val="0"/>
          <w:numId w:val="2"/>
        </w:numPr>
        <w:spacing w:after="40" w:before="40"/>
        <w:ind w:left="360" w:hanging="360"/>
      </w:pPr>
      <w:r>
        <w:rPr>
          <w:rFonts w:ascii="Arial" w:cs="Arial" w:eastAsia="Arial" w:hAnsi="Arial"/>
          <w:b/>
          <w:bCs/>
          <w:color w:val="0C1B2E"/>
          <w:sz w:val="20"/>
          <w:szCs w:val="20"/>
        </w:rPr>
        <w:t xml:space="preserve">GROQ_API_KEY</w:t>
      </w:r>
      <w:r>
        <w:rPr>
          <w:rFonts w:ascii="Arial" w:cs="Arial" w:eastAsia="Arial" w:hAnsi="Arial"/>
          <w:color w:val="0C1B2E"/>
          <w:sz w:val="20"/>
          <w:szCs w:val="20"/>
        </w:rPr>
        <w:t xml:space="preserve"> stockée uniquement dans </w:t>
      </w:r>
      <w:r>
        <w:rPr>
          <w:rFonts w:ascii="Courier New" w:cs="Courier New" w:eastAsia="Courier New" w:hAnsi="Courier New"/>
          <w:color w:val="1A73E8"/>
          <w:sz w:val="18"/>
          <w:szCs w:val="18"/>
        </w:rPr>
        <w:t xml:space="preserve">.env</w:t>
      </w:r>
      <w:r>
        <w:rPr>
          <w:rFonts w:ascii="Arial" w:cs="Arial" w:eastAsia="Arial" w:hAnsi="Arial"/>
          <w:color w:val="0C1B2E"/>
          <w:sz w:val="20"/>
          <w:szCs w:val="20"/>
        </w:rPr>
        <w:t xml:space="preserve"> (jamais dans le code source, jamais dans git)</w:t>
      </w:r>
    </w:p>
    <w:p>
      <w:pPr>
        <w:pStyle w:val="ListParagraph"/>
        <w:numPr>
          <w:ilvl w:val="0"/>
          <w:numId w:val="2"/>
        </w:numPr>
        <w:spacing w:after="40" w:before="40"/>
        <w:ind w:left="360" w:hanging="360"/>
      </w:pPr>
      <w:r>
        <w:rPr>
          <w:rFonts w:ascii="Arial" w:cs="Arial" w:eastAsia="Arial" w:hAnsi="Arial"/>
          <w:b/>
          <w:bCs/>
          <w:color w:val="0C1B2E"/>
          <w:sz w:val="20"/>
          <w:szCs w:val="20"/>
        </w:rPr>
        <w:t xml:space="preserve">Session UUID</w:t>
      </w:r>
      <w:r>
        <w:rPr>
          <w:rFonts w:ascii="Arial" w:cs="Arial" w:eastAsia="Arial" w:hAnsi="Arial"/>
          <w:color w:val="0C1B2E"/>
          <w:sz w:val="20"/>
          <w:szCs w:val="20"/>
        </w:rPr>
        <w:t xml:space="preserve"> : chaque onglet génère </w:t>
      </w:r>
      <w:r>
        <w:rPr>
          <w:rFonts w:ascii="Courier New" w:cs="Courier New" w:eastAsia="Courier New" w:hAnsi="Courier New"/>
          <w:color w:val="1A73E8"/>
          <w:sz w:val="18"/>
          <w:szCs w:val="18"/>
        </w:rPr>
        <w:t xml:space="preserve">crypto.randomUUID()</w:t>
      </w:r>
      <w:r>
        <w:rPr>
          <w:rFonts w:ascii="Arial" w:cs="Arial" w:eastAsia="Arial" w:hAnsi="Arial"/>
          <w:color w:val="0C1B2E"/>
          <w:sz w:val="20"/>
          <w:szCs w:val="20"/>
        </w:rPr>
        <w:t xml:space="preserve"> côté frontend. Contexte maintenu 1h côté serveur.</w:t>
      </w:r>
    </w:p>
    <w:p>
      <w:pPr>
        <w:pStyle w:val="ListParagraph"/>
        <w:numPr>
          <w:ilvl w:val="0"/>
          <w:numId w:val="2"/>
        </w:numPr>
        <w:spacing w:after="40" w:before="40"/>
        <w:ind w:left="360" w:hanging="360"/>
      </w:pPr>
      <w:r>
        <w:rPr>
          <w:rFonts w:ascii="Arial" w:cs="Arial" w:eastAsia="Arial" w:hAnsi="Arial"/>
          <w:b/>
          <w:bCs/>
          <w:color w:val="0C1B2E"/>
          <w:sz w:val="20"/>
          <w:szCs w:val="20"/>
        </w:rPr>
        <w:t xml:space="preserve">rapidfuzz</w:t>
      </w:r>
      <w:r>
        <w:rPr>
          <w:rFonts w:ascii="Arial" w:cs="Arial" w:eastAsia="Arial" w:hAnsi="Arial"/>
          <w:color w:val="0C1B2E"/>
          <w:sz w:val="20"/>
          <w:szCs w:val="20"/>
        </w:rPr>
        <w:t xml:space="preserve"> pour la correspondance floue des noms de compagnies ('STAR', 'S.T.A.R.', 'Société STAR' → même entité)</w:t>
      </w:r>
    </w:p>
    <w:p>
      <w:pPr>
        <w:pStyle w:val="Heading3"/>
        <w:spacing w:after="80" w:before="240"/>
      </w:pPr>
      <w:r>
        <w:rPr>
          <w:rFonts w:ascii="Arial" w:cs="Arial" w:eastAsia="Arial" w:hAnsi="Arial"/>
          <w:b/>
          <w:bCs/>
          <w:color w:val="2E2E38"/>
          <w:sz w:val="22"/>
          <w:szCs w:val="22"/>
        </w:rPr>
        <w:t xml:space="preserve">Gestion des sessions et réinitialisation</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 Frontend : UUID unique par onglet navigateur</w:t>
        <w:br/>
        <w:t xml:space="preserve">const SESSION_ID = crypto.randomUUID();</w:t>
        <w:br/>
        <w:t xml:space="preserve"/>
        <w:br/>
        <w:t xml:space="preserve"># Envoi d'un message</w:t>
        <w:br/>
        <w:t xml:space="preserve">POST /api/chatbot</w:t>
        <w:br/>
        <w:t xml:space="preserve">Body: { message: '...', session_id: SESSION_ID }</w:t>
        <w:br/>
        <w:t xml:space="preserve"/>
        <w:br/>
        <w:t xml:space="preserve"># Réinitialisation du contexte</w:t>
        <w:br/>
        <w:t xml:space="preserve">POST /api/chatbot/reset</w:t>
        <w:br/>
        <w:t xml:space="preserve">Body: { session_id: SESSION_ID }</w:t>
        <w:br/>
        <w:t xml:space="preserve"/>
        <w:br/>
        <w:t xml:space="preserve"># Vérification du statut backend</w:t>
        <w:br/>
        <w:t xml:space="preserve">GET /api/chatbot/status</w:t>
        <w:br/>
        <w:t xml:space="preserve">→ { status: 'ok', llm_available: true/false, db_path: '...' }</w:t>
      </w:r>
    </w:p>
    <w:p>
      <w:pPr>
        <w:pBdr>
          <w:left w:val="single" w:color="1A73E8" w:sz="12"/>
        </w:pBdr>
        <w:shd w:fill="F8F9FA" w:color="auto" w:val="clear"/>
        <w:spacing w:after="100" w:before="100"/>
        <w:ind w:left="200" w:right="200"/>
      </w:pPr>
      <w:r>
        <w:rPr>
          <w:rFonts w:ascii="Arial" w:cs="Arial" w:eastAsia="Arial" w:hAnsi="Arial"/>
          <w:b/>
          <w:bCs/>
          <w:color w:val="1A73E8"/>
          <w:sz w:val="20"/>
          <w:szCs w:val="20"/>
        </w:rPr>
        <w:t xml:space="preserve">ℹ  </w:t>
      </w:r>
      <w:r>
        <w:rPr>
          <w:rFonts w:ascii="Arial" w:cs="Arial" w:eastAsia="Arial" w:hAnsi="Arial"/>
          <w:color w:val="0C1B2E"/>
          <w:sz w:val="20"/>
          <w:szCs w:val="20"/>
        </w:rPr>
        <w:t xml:space="preserve">Justification Groq vs OpenAI : Groq offre l'inférence Llama 3.3 70B en ~500ms contre 3–5s pour GPT-4o. Pour reformuler des données structurées en français avec un vocabulaire métier borné, un modèle 70B est suffisant. L'API gratuite est adaptée à un projet académique.</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ÉTAPE 11</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11 — Module de Prévisions (Machine Learning)</w:t>
      </w:r>
    </w:p>
    <w:p>
      <w:pPr>
        <w:spacing w:after="80" w:before="60"/>
      </w:pPr>
      <w:r>
        <w:rPr>
          <w:rFonts w:ascii="Arial" w:cs="Arial" w:eastAsia="Arial" w:hAnsi="Arial"/>
          <w:color w:val="0C1B2E"/>
          <w:sz w:val="20"/>
          <w:szCs w:val="20"/>
        </w:rPr>
        <w:t xml:space="preserve">Dossier : chatbot_portable/prediction/</w:t>
      </w:r>
    </w:p>
    <w:p>
      <w:pPr>
        <w:pStyle w:val="Heading3"/>
        <w:spacing w:after="80" w:before="240"/>
      </w:pPr>
      <w:r>
        <w:rPr>
          <w:rFonts w:ascii="Arial" w:cs="Arial" w:eastAsia="Arial" w:hAnsi="Arial"/>
          <w:b/>
          <w:bCs/>
          <w:color w:val="2E2E38"/>
          <w:sz w:val="22"/>
          <w:szCs w:val="22"/>
        </w:rPr>
        <w:t xml:space="preserve">Objectif</w:t>
      </w:r>
    </w:p>
    <w:p>
      <w:pPr>
        <w:spacing w:after="80" w:before="60"/>
      </w:pPr>
      <w:r>
        <w:rPr>
          <w:rFonts w:ascii="Arial" w:cs="Arial" w:eastAsia="Arial" w:hAnsi="Arial"/>
          <w:color w:val="0C1B2E"/>
          <w:sz w:val="20"/>
          <w:szCs w:val="20"/>
        </w:rPr>
        <w:t xml:space="preserve">Permettre des questions prévisionnelles via le chatbot : 'Quelles seront les primes de STAR en 2025 ?' ou 'Le ratio combiné de COMAR s'améliorera-t-il ?'. Deux algorithmes complémentaires sont combinés.</w:t>
      </w:r>
    </w:p>
    <w:p>
      <w:pPr>
        <w:pStyle w:val="Heading3"/>
        <w:spacing w:after="80" w:before="240"/>
      </w:pPr>
      <w:r>
        <w:rPr>
          <w:rFonts w:ascii="Arial" w:cs="Arial" w:eastAsia="Arial" w:hAnsi="Arial"/>
          <w:b/>
          <w:bCs/>
          <w:color w:val="2E2E38"/>
          <w:sz w:val="22"/>
          <w:szCs w:val="22"/>
        </w:rPr>
        <w:t xml:space="preserve">Composants du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800"/>
        <w:gridCol w:w="4760"/>
      </w:tblGrid>
      <w:tr>
        <w:trPr>
          <w:tblHeader/>
        </w:trPr>
        <w:tc>
          <w:tcPr>
            <w:tcW w:type="dxa" w:w="1800"/>
            <w:shd w:fill="2E2E38" w:color="auto" w:val="clear"/>
          </w:tcPr>
          <w:p>
            <w:pPr>
              <w:jc w:val="left"/>
            </w:pPr>
            <w:r>
              <w:rPr>
                <w:rFonts w:ascii="Arial" w:cs="Arial" w:eastAsia="Arial" w:hAnsi="Arial"/>
                <w:b/>
                <w:bCs/>
                <w:color w:val="FFE600"/>
                <w:spacing w:val="20"/>
                <w:sz w:val="17"/>
                <w:szCs w:val="17"/>
              </w:rPr>
              <w:t xml:space="preserve">COMPOSANT</w:t>
            </w:r>
          </w:p>
        </w:tc>
        <w:tc>
          <w:tcPr>
            <w:tcW w:type="dxa" w:w="2800"/>
            <w:shd w:fill="2E2E38" w:color="auto" w:val="clear"/>
          </w:tcPr>
          <w:p>
            <w:pPr>
              <w:jc w:val="left"/>
            </w:pPr>
            <w:r>
              <w:rPr>
                <w:rFonts w:ascii="Arial" w:cs="Arial" w:eastAsia="Arial" w:hAnsi="Arial"/>
                <w:b/>
                <w:bCs/>
                <w:color w:val="FFE600"/>
                <w:spacing w:val="20"/>
                <w:sz w:val="17"/>
                <w:szCs w:val="17"/>
              </w:rPr>
              <w:t xml:space="preserve">FICHIER</w:t>
            </w:r>
          </w:p>
        </w:tc>
        <w:tc>
          <w:tcPr>
            <w:tcW w:type="dxa" w:w="4760"/>
            <w:shd w:fill="2E2E38" w:color="auto" w:val="clear"/>
          </w:tcPr>
          <w:p>
            <w:pPr>
              <w:jc w:val="left"/>
            </w:pPr>
            <w:r>
              <w:rPr>
                <w:rFonts w:ascii="Arial" w:cs="Arial" w:eastAsia="Arial" w:hAnsi="Arial"/>
                <w:b/>
                <w:bCs/>
                <w:color w:val="FFE600"/>
                <w:spacing w:val="20"/>
                <w:sz w:val="17"/>
                <w:szCs w:val="17"/>
              </w:rPr>
              <w:t xml:space="preserve">RÔLE</w:t>
            </w:r>
          </w:p>
        </w:tc>
      </w:tr>
      <w:tr>
        <w:tc>
          <w:tcPr>
            <w:tcW w:type="dxa" w:w="1800"/>
            <w:shd w:fill="FFFFFF" w:color="auto" w:val="clear"/>
          </w:tcPr>
          <w:p>
            <w:pPr>
              <w:spacing w:after="60" w:before="60"/>
            </w:pPr>
            <w:r>
              <w:rPr>
                <w:rFonts w:ascii="Arial" w:cs="Arial" w:eastAsia="Arial" w:hAnsi="Arial"/>
                <w:color w:val="0C1B2E"/>
                <w:sz w:val="18"/>
                <w:szCs w:val="18"/>
              </w:rPr>
              <w:t xml:space="preserve">Modèle Prophet</w:t>
            </w:r>
          </w:p>
        </w:tc>
        <w:tc>
          <w:tcPr>
            <w:tcW w:type="dxa" w:w="2800"/>
            <w:shd w:fill="FFFFFF" w:color="auto" w:val="clear"/>
          </w:tcPr>
          <w:p>
            <w:pPr>
              <w:spacing w:after="60" w:before="60"/>
            </w:pPr>
            <w:r>
              <w:rPr>
                <w:rFonts w:ascii="Arial" w:cs="Arial" w:eastAsia="Arial" w:hAnsi="Arial"/>
                <w:color w:val="0C1B2E"/>
                <w:sz w:val="18"/>
                <w:szCs w:val="18"/>
              </w:rPr>
              <w:t xml:space="preserve">models/prophet_model.py</w:t>
            </w:r>
          </w:p>
        </w:tc>
        <w:tc>
          <w:tcPr>
            <w:tcW w:type="dxa" w:w="4760"/>
            <w:shd w:fill="FFFFFF" w:color="auto" w:val="clear"/>
          </w:tcPr>
          <w:p>
            <w:pPr>
              <w:spacing w:after="60" w:before="60"/>
            </w:pPr>
            <w:r>
              <w:rPr>
                <w:rFonts w:ascii="Arial" w:cs="Arial" w:eastAsia="Arial" w:hAnsi="Arial"/>
                <w:color w:val="0C1B2E"/>
                <w:sz w:val="18"/>
                <w:szCs w:val="18"/>
              </w:rPr>
              <w:t xml:space="preserve">Séries temporelles avec saisonnalité annuelle. Adapté aux KPIs à tendances progressives (primes, total actif).</w:t>
            </w:r>
          </w:p>
        </w:tc>
      </w:tr>
      <w:tr>
        <w:tc>
          <w:tcPr>
            <w:tcW w:type="dxa" w:w="1800"/>
            <w:shd w:fill="F8F9FA" w:color="auto" w:val="clear"/>
          </w:tcPr>
          <w:p>
            <w:pPr>
              <w:spacing w:after="60" w:before="60"/>
            </w:pPr>
            <w:r>
              <w:rPr>
                <w:rFonts w:ascii="Arial" w:cs="Arial" w:eastAsia="Arial" w:hAnsi="Arial"/>
                <w:color w:val="0C1B2E"/>
                <w:sz w:val="18"/>
                <w:szCs w:val="18"/>
              </w:rPr>
              <w:t xml:space="preserve">Modèle XGBoost</w:t>
            </w:r>
          </w:p>
        </w:tc>
        <w:tc>
          <w:tcPr>
            <w:tcW w:type="dxa" w:w="2800"/>
            <w:shd w:fill="F8F9FA" w:color="auto" w:val="clear"/>
          </w:tcPr>
          <w:p>
            <w:pPr>
              <w:spacing w:after="60" w:before="60"/>
            </w:pPr>
            <w:r>
              <w:rPr>
                <w:rFonts w:ascii="Arial" w:cs="Arial" w:eastAsia="Arial" w:hAnsi="Arial"/>
                <w:color w:val="0C1B2E"/>
                <w:sz w:val="18"/>
                <w:szCs w:val="18"/>
              </w:rPr>
              <w:t xml:space="preserve">models/xgboost_model.py</w:t>
            </w:r>
          </w:p>
        </w:tc>
        <w:tc>
          <w:tcPr>
            <w:tcW w:type="dxa" w:w="4760"/>
            <w:shd w:fill="F8F9FA" w:color="auto" w:val="clear"/>
          </w:tcPr>
          <w:p>
            <w:pPr>
              <w:spacing w:after="60" w:before="60"/>
            </w:pPr>
            <w:r>
              <w:rPr>
                <w:rFonts w:ascii="Arial" w:cs="Arial" w:eastAsia="Arial" w:hAnsi="Arial"/>
                <w:color w:val="0C1B2E"/>
                <w:sz w:val="18"/>
                <w:szCs w:val="18"/>
              </w:rPr>
              <w:t xml:space="preserve">Gradient boosting sur features macroéconomiques. Capture les patterns non-linéaires et ruptures de tendance.</w:t>
            </w:r>
          </w:p>
        </w:tc>
      </w:tr>
      <w:tr>
        <w:tc>
          <w:tcPr>
            <w:tcW w:type="dxa" w:w="1800"/>
            <w:shd w:fill="FFFFFF" w:color="auto" w:val="clear"/>
          </w:tcPr>
          <w:p>
            <w:pPr>
              <w:spacing w:after="60" w:before="60"/>
            </w:pPr>
            <w:r>
              <w:rPr>
                <w:rFonts w:ascii="Arial" w:cs="Arial" w:eastAsia="Arial" w:hAnsi="Arial"/>
                <w:color w:val="0C1B2E"/>
                <w:sz w:val="18"/>
                <w:szCs w:val="18"/>
              </w:rPr>
              <w:t xml:space="preserve">Factory</w:t>
            </w:r>
          </w:p>
        </w:tc>
        <w:tc>
          <w:tcPr>
            <w:tcW w:type="dxa" w:w="2800"/>
            <w:shd w:fill="FFFFFF" w:color="auto" w:val="clear"/>
          </w:tcPr>
          <w:p>
            <w:pPr>
              <w:spacing w:after="60" w:before="60"/>
            </w:pPr>
            <w:r>
              <w:rPr>
                <w:rFonts w:ascii="Arial" w:cs="Arial" w:eastAsia="Arial" w:hAnsi="Arial"/>
                <w:color w:val="0C1B2E"/>
                <w:sz w:val="18"/>
                <w:szCs w:val="18"/>
              </w:rPr>
              <w:t xml:space="preserve">models/model_factory.py</w:t>
            </w:r>
          </w:p>
        </w:tc>
        <w:tc>
          <w:tcPr>
            <w:tcW w:type="dxa" w:w="4760"/>
            <w:shd w:fill="FFFFFF" w:color="auto" w:val="clear"/>
          </w:tcPr>
          <w:p>
            <w:pPr>
              <w:spacing w:after="60" w:before="60"/>
            </w:pPr>
            <w:r>
              <w:rPr>
                <w:rFonts w:ascii="Arial" w:cs="Arial" w:eastAsia="Arial" w:hAnsi="Arial"/>
                <w:color w:val="0C1B2E"/>
                <w:sz w:val="18"/>
                <w:szCs w:val="18"/>
              </w:rPr>
              <w:t xml:space="preserve">Sélectionne automatiquement Prophet ou XGBoost selon le KPI cible et le volume de données disponibles.</w:t>
            </w:r>
          </w:p>
        </w:tc>
      </w:tr>
      <w:tr>
        <w:tc>
          <w:tcPr>
            <w:tcW w:type="dxa" w:w="1800"/>
            <w:shd w:fill="F8F9FA" w:color="auto" w:val="clear"/>
          </w:tcPr>
          <w:p>
            <w:pPr>
              <w:spacing w:after="60" w:before="60"/>
            </w:pPr>
            <w:r>
              <w:rPr>
                <w:rFonts w:ascii="Arial" w:cs="Arial" w:eastAsia="Arial" w:hAnsi="Arial"/>
                <w:color w:val="0C1B2E"/>
                <w:sz w:val="18"/>
                <w:szCs w:val="18"/>
              </w:rPr>
              <w:t xml:space="preserve">Feature Engineering</w:t>
            </w:r>
          </w:p>
        </w:tc>
        <w:tc>
          <w:tcPr>
            <w:tcW w:type="dxa" w:w="2800"/>
            <w:shd w:fill="F8F9FA" w:color="auto" w:val="clear"/>
          </w:tcPr>
          <w:p>
            <w:pPr>
              <w:spacing w:after="60" w:before="60"/>
            </w:pPr>
            <w:r>
              <w:rPr>
                <w:rFonts w:ascii="Arial" w:cs="Arial" w:eastAsia="Arial" w:hAnsi="Arial"/>
                <w:color w:val="0C1B2E"/>
                <w:sz w:val="18"/>
                <w:szCs w:val="18"/>
              </w:rPr>
              <w:t xml:space="preserve">data/feature_engineering.py</w:t>
            </w:r>
          </w:p>
        </w:tc>
        <w:tc>
          <w:tcPr>
            <w:tcW w:type="dxa" w:w="4760"/>
            <w:shd w:fill="F8F9FA" w:color="auto" w:val="clear"/>
          </w:tcPr>
          <w:p>
            <w:pPr>
              <w:spacing w:after="60" w:before="60"/>
            </w:pPr>
            <w:r>
              <w:rPr>
                <w:rFonts w:ascii="Arial" w:cs="Arial" w:eastAsia="Arial" w:hAnsi="Arial"/>
                <w:color w:val="0C1B2E"/>
                <w:sz w:val="18"/>
                <w:szCs w:val="18"/>
              </w:rPr>
              <w:t xml:space="preserve">Lag 1/2/3 ans, taux de croissance annuel, PIB, inflation, ratio compagnie/marché, indicateurs de cycle économique.</w:t>
            </w:r>
          </w:p>
        </w:tc>
      </w:tr>
      <w:tr>
        <w:tc>
          <w:tcPr>
            <w:tcW w:type="dxa" w:w="1800"/>
            <w:shd w:fill="FFFFFF" w:color="auto" w:val="clear"/>
          </w:tcPr>
          <w:p>
            <w:pPr>
              <w:spacing w:after="60" w:before="60"/>
            </w:pPr>
            <w:r>
              <w:rPr>
                <w:rFonts w:ascii="Arial" w:cs="Arial" w:eastAsia="Arial" w:hAnsi="Arial"/>
                <w:color w:val="0C1B2E"/>
                <w:sz w:val="18"/>
                <w:szCs w:val="18"/>
              </w:rPr>
              <w:t xml:space="preserve">Explainability SHAP</w:t>
            </w:r>
          </w:p>
        </w:tc>
        <w:tc>
          <w:tcPr>
            <w:tcW w:type="dxa" w:w="2800"/>
            <w:shd w:fill="FFFFFF" w:color="auto" w:val="clear"/>
          </w:tcPr>
          <w:p>
            <w:pPr>
              <w:spacing w:after="60" w:before="60"/>
            </w:pPr>
            <w:r>
              <w:rPr>
                <w:rFonts w:ascii="Arial" w:cs="Arial" w:eastAsia="Arial" w:hAnsi="Arial"/>
                <w:color w:val="0C1B2E"/>
                <w:sz w:val="18"/>
                <w:szCs w:val="18"/>
              </w:rPr>
              <w:t xml:space="preserve">explainability/shap_explainer.py</w:t>
            </w:r>
          </w:p>
        </w:tc>
        <w:tc>
          <w:tcPr>
            <w:tcW w:type="dxa" w:w="4760"/>
            <w:shd w:fill="FFFFFF" w:color="auto" w:val="clear"/>
          </w:tcPr>
          <w:p>
            <w:pPr>
              <w:spacing w:after="60" w:before="60"/>
            </w:pPr>
            <w:r>
              <w:rPr>
                <w:rFonts w:ascii="Arial" w:cs="Arial" w:eastAsia="Arial" w:hAnsi="Arial"/>
                <w:color w:val="0C1B2E"/>
                <w:sz w:val="18"/>
                <w:szCs w:val="18"/>
              </w:rPr>
              <w:t xml:space="preserve">Calcule les valeurs SHAP (SHapley Additive exPlanations) — contribution de chaque feature à la prévision.</w:t>
            </w:r>
          </w:p>
        </w:tc>
      </w:tr>
      <w:tr>
        <w:tc>
          <w:tcPr>
            <w:tcW w:type="dxa" w:w="1800"/>
            <w:shd w:fill="F8F9FA" w:color="auto" w:val="clear"/>
          </w:tcPr>
          <w:p>
            <w:pPr>
              <w:spacing w:after="60" w:before="60"/>
            </w:pPr>
            <w:r>
              <w:rPr>
                <w:rFonts w:ascii="Arial" w:cs="Arial" w:eastAsia="Arial" w:hAnsi="Arial"/>
                <w:color w:val="0C1B2E"/>
                <w:sz w:val="18"/>
                <w:szCs w:val="18"/>
              </w:rPr>
              <w:t xml:space="preserve">Narratif</w:t>
            </w:r>
          </w:p>
        </w:tc>
        <w:tc>
          <w:tcPr>
            <w:tcW w:type="dxa" w:w="2800"/>
            <w:shd w:fill="F8F9FA" w:color="auto" w:val="clear"/>
          </w:tcPr>
          <w:p>
            <w:pPr>
              <w:spacing w:after="60" w:before="60"/>
            </w:pPr>
            <w:r>
              <w:rPr>
                <w:rFonts w:ascii="Arial" w:cs="Arial" w:eastAsia="Arial" w:hAnsi="Arial"/>
                <w:color w:val="0C1B2E"/>
                <w:sz w:val="18"/>
                <w:szCs w:val="18"/>
              </w:rPr>
              <w:t xml:space="preserve">explainability/narrative_generator.py</w:t>
            </w:r>
          </w:p>
        </w:tc>
        <w:tc>
          <w:tcPr>
            <w:tcW w:type="dxa" w:w="4760"/>
            <w:shd w:fill="F8F9FA" w:color="auto" w:val="clear"/>
          </w:tcPr>
          <w:p>
            <w:pPr>
              <w:spacing w:after="60" w:before="60"/>
            </w:pPr>
            <w:r>
              <w:rPr>
                <w:rFonts w:ascii="Arial" w:cs="Arial" w:eastAsia="Arial" w:hAnsi="Arial"/>
                <w:color w:val="0C1B2E"/>
                <w:sz w:val="18"/>
                <w:szCs w:val="18"/>
              </w:rPr>
              <w:t xml:space="preserve">Traduit les SHAP values en phrases françaises compréhensibles : 'La hausse du PIB (+3.2%) contribue positivement à cette prévision'.</w:t>
            </w:r>
          </w:p>
        </w:tc>
      </w:tr>
      <w:tr>
        <w:tc>
          <w:tcPr>
            <w:tcW w:type="dxa" w:w="1800"/>
            <w:shd w:fill="FFFFFF" w:color="auto" w:val="clear"/>
          </w:tcPr>
          <w:p>
            <w:pPr>
              <w:spacing w:after="60" w:before="60"/>
            </w:pPr>
            <w:r>
              <w:rPr>
                <w:rFonts w:ascii="Arial" w:cs="Arial" w:eastAsia="Arial" w:hAnsi="Arial"/>
                <w:color w:val="0C1B2E"/>
                <w:sz w:val="18"/>
                <w:szCs w:val="18"/>
              </w:rPr>
              <w:t xml:space="preserve">Forecast Service</w:t>
            </w:r>
          </w:p>
        </w:tc>
        <w:tc>
          <w:tcPr>
            <w:tcW w:type="dxa" w:w="2800"/>
            <w:shd w:fill="FFFFFF" w:color="auto" w:val="clear"/>
          </w:tcPr>
          <w:p>
            <w:pPr>
              <w:spacing w:after="60" w:before="60"/>
            </w:pPr>
            <w:r>
              <w:rPr>
                <w:rFonts w:ascii="Arial" w:cs="Arial" w:eastAsia="Arial" w:hAnsi="Arial"/>
                <w:color w:val="0C1B2E"/>
                <w:sz w:val="18"/>
                <w:szCs w:val="18"/>
              </w:rPr>
              <w:t xml:space="preserve">inference/forecast_service.py</w:t>
            </w:r>
          </w:p>
        </w:tc>
        <w:tc>
          <w:tcPr>
            <w:tcW w:type="dxa" w:w="4760"/>
            <w:shd w:fill="FFFFFF" w:color="auto" w:val="clear"/>
          </w:tcPr>
          <w:p>
            <w:pPr>
              <w:spacing w:after="60" w:before="60"/>
            </w:pPr>
            <w:r>
              <w:rPr>
                <w:rFonts w:ascii="Arial" w:cs="Arial" w:eastAsia="Arial" w:hAnsi="Arial"/>
                <w:color w:val="0C1B2E"/>
                <w:sz w:val="18"/>
                <w:szCs w:val="18"/>
              </w:rPr>
              <w:t xml:space="preserve">Point d'entrée unifié. Cache les modèles entraînés pour éviter le re-entraînement à chaque requête chatbot.</w:t>
            </w:r>
          </w:p>
        </w:tc>
      </w:tr>
    </w:tbl>
    <w:p>
      <w:pPr>
        <w:pStyle w:val="Heading3"/>
        <w:spacing w:after="80" w:before="240"/>
      </w:pPr>
      <w:r>
        <w:rPr>
          <w:rFonts w:ascii="Arial" w:cs="Arial" w:eastAsia="Arial" w:hAnsi="Arial"/>
          <w:b/>
          <w:bCs/>
          <w:color w:val="2E2E38"/>
          <w:sz w:val="22"/>
          <w:szCs w:val="22"/>
        </w:rPr>
        <w:t xml:space="preserve">Stratégie de validation</w:t>
      </w:r>
    </w:p>
    <w:p>
      <w:pPr>
        <w:spacing w:after="80" w:before="60"/>
      </w:pPr>
      <w:r>
        <w:rPr>
          <w:rFonts w:ascii="Arial" w:cs="Arial" w:eastAsia="Arial" w:hAnsi="Arial"/>
          <w:color w:val="0C1B2E"/>
          <w:sz w:val="20"/>
          <w:szCs w:val="20"/>
        </w:rPr>
        <w:t xml:space="preserve">Validation walk-forward sur la fenêtre 2015–2024 :</w:t>
      </w:r>
    </w:p>
    <w:p>
      <w:pPr>
        <w:pStyle w:val="ListParagraph"/>
        <w:numPr>
          <w:ilvl w:val="0"/>
          <w:numId w:val="2"/>
        </w:numPr>
        <w:spacing w:after="40" w:before="40"/>
        <w:ind w:left="360" w:hanging="360"/>
      </w:pPr>
      <w:r>
        <w:rPr>
          <w:rFonts w:ascii="Arial" w:cs="Arial" w:eastAsia="Arial" w:hAnsi="Arial"/>
          <w:b/>
          <w:bCs/>
          <w:color w:val="0C1B2E"/>
          <w:sz w:val="20"/>
          <w:szCs w:val="20"/>
        </w:rPr>
        <w:t xml:space="preserve">Entraînement :</w:t>
      </w:r>
      <w:r>
        <w:rPr>
          <w:rFonts w:ascii="Arial" w:cs="Arial" w:eastAsia="Arial" w:hAnsi="Arial"/>
          <w:color w:val="0C1B2E"/>
          <w:sz w:val="20"/>
          <w:szCs w:val="20"/>
        </w:rPr>
        <w:t xml:space="preserve"> données 2015–2020 (6 ans)</w:t>
      </w:r>
    </w:p>
    <w:p>
      <w:pPr>
        <w:pStyle w:val="ListParagraph"/>
        <w:numPr>
          <w:ilvl w:val="0"/>
          <w:numId w:val="2"/>
        </w:numPr>
        <w:spacing w:after="40" w:before="40"/>
        <w:ind w:left="360" w:hanging="360"/>
      </w:pPr>
      <w:r>
        <w:rPr>
          <w:rFonts w:ascii="Arial" w:cs="Arial" w:eastAsia="Arial" w:hAnsi="Arial"/>
          <w:b/>
          <w:bCs/>
          <w:color w:val="0C1B2E"/>
          <w:sz w:val="20"/>
          <w:szCs w:val="20"/>
        </w:rPr>
        <w:t xml:space="preserve">Test :</w:t>
      </w:r>
      <w:r>
        <w:rPr>
          <w:rFonts w:ascii="Arial" w:cs="Arial" w:eastAsia="Arial" w:hAnsi="Arial"/>
          <w:color w:val="0C1B2E"/>
          <w:sz w:val="20"/>
          <w:szCs w:val="20"/>
        </w:rPr>
        <w:t xml:space="preserve"> prédictions 2021–2024 comparées aux réelles (4 ans hors échantillon)</w:t>
      </w:r>
    </w:p>
    <w:p>
      <w:pPr>
        <w:pStyle w:val="ListParagraph"/>
        <w:numPr>
          <w:ilvl w:val="0"/>
          <w:numId w:val="2"/>
        </w:numPr>
        <w:spacing w:after="40" w:before="40"/>
        <w:ind w:left="360" w:hanging="360"/>
      </w:pPr>
      <w:r>
        <w:rPr>
          <w:rFonts w:ascii="Arial" w:cs="Arial" w:eastAsia="Arial" w:hAnsi="Arial"/>
          <w:b/>
          <w:bCs/>
          <w:color w:val="0C1B2E"/>
          <w:sz w:val="20"/>
          <w:szCs w:val="20"/>
        </w:rPr>
        <w:t xml:space="preserve">Métriques :</w:t>
      </w:r>
      <w:r>
        <w:rPr>
          <w:rFonts w:ascii="Arial" w:cs="Arial" w:eastAsia="Arial" w:hAnsi="Arial"/>
          <w:color w:val="0C1B2E"/>
          <w:sz w:val="20"/>
          <w:szCs w:val="20"/>
        </w:rPr>
        <w:t xml:space="preserve"> MAPE (Mean Absolute Percentage Error) et RMSE normalisé</w:t>
      </w:r>
    </w:p>
    <w:p>
      <w:pPr>
        <w:pStyle w:val="ListParagraph"/>
        <w:numPr>
          <w:ilvl w:val="0"/>
          <w:numId w:val="2"/>
        </w:numPr>
        <w:spacing w:after="40" w:before="40"/>
        <w:ind w:left="360" w:hanging="360"/>
      </w:pPr>
      <w:r>
        <w:rPr>
          <w:rFonts w:ascii="Arial" w:cs="Arial" w:eastAsia="Arial" w:hAnsi="Arial"/>
          <w:b/>
          <w:bCs/>
          <w:color w:val="0C1B2E"/>
          <w:sz w:val="20"/>
          <w:szCs w:val="20"/>
        </w:rPr>
        <w:t xml:space="preserve">Intervalles de confiance :</w:t>
      </w:r>
      <w:r>
        <w:rPr>
          <w:rFonts w:ascii="Arial" w:cs="Arial" w:eastAsia="Arial" w:hAnsi="Arial"/>
          <w:color w:val="0C1B2E"/>
          <w:sz w:val="20"/>
          <w:szCs w:val="20"/>
        </w:rPr>
        <w:t xml:space="preserve"> bandes à 80% et 95% fournis avec chaque prévision</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PARTIE V — AUTOMATISATION &amp; DÉPLOIEMENT</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12 — Automatisation du Pipeline</w:t>
      </w:r>
    </w:p>
    <w:p>
      <w:pPr>
        <w:pStyle w:val="Heading3"/>
        <w:spacing w:after="80" w:before="240"/>
      </w:pPr>
      <w:r>
        <w:rPr>
          <w:rFonts w:ascii="Arial" w:cs="Arial" w:eastAsia="Arial" w:hAnsi="Arial"/>
          <w:b/>
          <w:bCs/>
          <w:color w:val="2E2E38"/>
          <w:sz w:val="22"/>
          <w:szCs w:val="22"/>
        </w:rPr>
        <w:t xml:space="preserve">Pipeline principal : pipelines/cmf_pipeline.py</w:t>
      </w:r>
    </w:p>
    <w:p>
      <w:pPr>
        <w:spacing w:after="80" w:before="60"/>
      </w:pPr>
      <w:r>
        <w:rPr>
          <w:rFonts w:ascii="Arial" w:cs="Arial" w:eastAsia="Arial" w:hAnsi="Arial"/>
          <w:color w:val="0C1B2E"/>
          <w:sz w:val="20"/>
          <w:szCs w:val="20"/>
        </w:rPr>
        <w:t xml:space="preserve">Le pipeline CMF orchestre les deux grandes phases de manière séquentielle et peut être lancé manuellement ou planifié :</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def main(headless=True):</w:t>
        <w:br/>
        <w:t xml:space="preserve">    # Phase 1 : Scraping CMF → MySQL</w:t>
        <w:br/>
        <w:t xml:space="preserve">    # Pour chaque compagnie du registre :</w:t>
        <w:br/>
        <w:t xml:space="preserve">    #   - Ouvre Chrome headless</w:t>
        <w:br/>
        <w:t xml:space="preserve">    #   - Sélectionne la société dans le widget Chosen</w:t>
        <w:br/>
        <w:t xml:space="preserve">    #   - Extrait les liens PDF des 10 dernières années</w:t>
        <w:br/>
        <w:t xml:space="preserve">    #   - Télécharge les nouveaux PDF (idempotent)</w:t>
        <w:br/>
        <w:t xml:space="preserve">    sync_summary = sync_documents(headless=headless)</w:t>
        <w:br/>
        <w:t xml:space="preserve"/>
        <w:br/>
        <w:t xml:space="preserve">    # Phase 2 : Extraction KPIs → SQLite</w:t>
        <w:br/>
        <w:t xml:space="preserve">    # Pour chaque document non encore traité :</w:t>
        <w:br/>
        <w:t xml:space="preserve">    #   - Détecte les sections (pdf_sections.py)</w:t>
        <w:br/>
        <w:t xml:space="preserve">    #   - Extrait les KPIs bruts (annexe12/13, bilan, résultat)</w:t>
        <w:br/>
        <w:t xml:space="preserve">    #   - Calcule les KPIs dérivés</w:t>
        <w:br/>
        <w:t xml:space="preserve">    #   - Persiste en base (market_intel.db)</w:t>
        <w:br/>
        <w:t xml:space="preserve">    kpi_summary = run_kpi_extraction()</w:t>
        <w:br/>
        <w:t xml:space="preserve"/>
        <w:br/>
        <w:t xml:space="preserve">    return {'sync': sync_summary, 'kpi': kpi_summary}</w:t>
      </w:r>
    </w:p>
    <w:p>
      <w:pPr>
        <w:pStyle w:val="Heading3"/>
        <w:spacing w:after="80" w:before="240"/>
      </w:pPr>
      <w:r>
        <w:rPr>
          <w:rFonts w:ascii="Arial" w:cs="Arial" w:eastAsia="Arial" w:hAnsi="Arial"/>
          <w:b/>
          <w:bCs/>
          <w:color w:val="2E2E38"/>
          <w:sz w:val="22"/>
          <w:szCs w:val="22"/>
        </w:rPr>
        <w:t xml:space="preserve">Idempotence : principe clé</w:t>
      </w:r>
    </w:p>
    <w:p>
      <w:pPr>
        <w:spacing w:after="80" w:before="60"/>
      </w:pPr>
      <w:r>
        <w:rPr>
          <w:rFonts w:ascii="Arial" w:cs="Arial" w:eastAsia="Arial" w:hAnsi="Arial"/>
          <w:color w:val="0C1B2E"/>
          <w:sz w:val="20"/>
          <w:szCs w:val="20"/>
        </w:rPr>
        <w:t xml:space="preserve">Chaque étape est </w:t>
      </w:r>
      <w:r>
        <w:rPr>
          <w:rFonts w:ascii="Arial" w:cs="Arial" w:eastAsia="Arial" w:hAnsi="Arial"/>
          <w:b/>
          <w:bCs/>
          <w:color w:val="0C1B2E"/>
          <w:sz w:val="20"/>
          <w:szCs w:val="20"/>
        </w:rPr>
        <w:t xml:space="preserve">idempotente</w:t>
      </w:r>
      <w:r>
        <w:rPr>
          <w:rFonts w:ascii="Arial" w:cs="Arial" w:eastAsia="Arial" w:hAnsi="Arial"/>
          <w:color w:val="0C1B2E"/>
          <w:sz w:val="20"/>
          <w:szCs w:val="20"/>
        </w:rPr>
        <w:t xml:space="preserve"> : exécutée plusieurs fois, elle ne crée jamais de doublons. Avant tout enregistrement, le système vérifie si le document existe déjà (`document_exists(code, annee)`). Un second passage sans nouvelles publications CMF est un no-op complet (0 PDF téléchargé, 0 KPI réextrait).</w:t>
      </w:r>
    </w:p>
    <w:p>
      <w:pPr>
        <w:spacing w:after="80" w:before="60"/>
      </w:pPr>
      <w:r>
        <w:rPr>
          <w:rFonts w:ascii="Arial" w:cs="Arial" w:eastAsia="Arial" w:hAnsi="Arial"/>
          <w:color w:val="0C1B2E"/>
          <w:sz w:val="20"/>
          <w:szCs w:val="20"/>
        </w:rPr>
        <w:t xml:space="preserve">En production, c'est pipelines/run_pipeline.py qui est planifié (et non cmf_pipeline.py seul) : il orchestre les 5 sources (CMF, FTUSA, CGA, INS, BVMT) avec retry et backoff exponentiel par source, journalise chaque exécution en JSON Lines, et génère un rapport HTML récapitulatif (reports/pipeline_run_&lt;horodatage&gt;.html) — y compris le nombre de valeurs de KPI extraites, pour repérer une régression d'extraction même quand la collecte elle-même a réussi.</w:t>
      </w:r>
    </w:p>
    <w:p>
      <w:pPr>
        <w:pStyle w:val="Heading3"/>
        <w:spacing w:after="80" w:before="240"/>
      </w:pPr>
      <w:r>
        <w:rPr>
          <w:rFonts w:ascii="Arial" w:cs="Arial" w:eastAsia="Arial" w:hAnsi="Arial"/>
          <w:b/>
          <w:bCs/>
          <w:color w:val="2E2E38"/>
          <w:sz w:val="22"/>
          <w:szCs w:val="22"/>
        </w:rPr>
        <w:t xml:space="preserve">Planification Windows — Task Scheduler</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 PowerShell en mode Administrateur</w:t>
        <w:br/>
        <w:t xml:space="preserve">$action = New-ScheduledTaskAction `</w:t>
        <w:br/>
        <w:t xml:space="preserve">    -Execute 'python' `</w:t>
        <w:br/>
        <w:t xml:space="preserve">    -Argument 'C:\Users\HP\Desktop\SCRAPING\pipelines\cmf_pipeline.py'</w:t>
        <w:br/>
        <w:t xml:space="preserve"/>
        <w:br/>
        <w:t xml:space="preserve">$trigger = New-ScheduledTaskTrigger `</w:t>
        <w:br/>
        <w:t xml:space="preserve">    -Weekly `</w:t>
        <w:br/>
        <w:t xml:space="preserve">    -DaysOfWeek Monday `</w:t>
        <w:br/>
        <w:t xml:space="preserve">    -At '02:00AM'</w:t>
        <w:br/>
        <w:t xml:space="preserve"/>
        <w:br/>
        <w:t xml:space="preserve">Register-ScheduledTask `</w:t>
        <w:br/>
        <w:t xml:space="preserve">    -TaskName 'FSMarketIntelligence_Pipeline' `</w:t>
        <w:br/>
        <w:t xml:space="preserve">    -Action $action `</w:t>
        <w:br/>
        <w:t xml:space="preserve">    -Trigger $trigger `</w:t>
        <w:br/>
        <w:t xml:space="preserve">    -RunLevel Highest</w:t>
      </w:r>
    </w:p>
    <w:p>
      <w:pPr>
        <w:pStyle w:val="Heading3"/>
        <w:spacing w:after="80" w:before="240"/>
      </w:pPr>
      <w:r>
        <w:rPr>
          <w:rFonts w:ascii="Arial" w:cs="Arial" w:eastAsia="Arial" w:hAnsi="Arial"/>
          <w:b/>
          <w:bCs/>
          <w:color w:val="2E2E38"/>
          <w:sz w:val="22"/>
          <w:szCs w:val="22"/>
        </w:rPr>
        <w:t xml:space="preserve">Planification Linux — cron</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 crontab -e — Exécution tous les lundis à 2h du matin</w:t>
        <w:br/>
        <w:t xml:space="preserve">0 2 * * 1 cd /opt/fs-market-intel &amp;&amp; python pipelines/cmf_pipeline.py &gt;&gt; logs/pipeline.log 2&gt;&amp;1</w:t>
        <w:br/>
        <w:t xml:space="preserve"/>
        <w:br/>
        <w:t xml:space="preserve"># Veille actualités — quotidien 6h et 18h</w:t>
        <w:br/>
        <w:t xml:space="preserve">0 6,18 * * * cd /opt/fs-market-intel &amp;&amp; python docs/veille/backend/scraper_actualites.py &gt;&gt; logs/veille.log 2&gt;&amp;1</w:t>
        <w:br/>
        <w:t xml:space="preserve"/>
        <w:br/>
        <w:t xml:space="preserve"># Veille réglementaire — lundi 3h</w:t>
        <w:br/>
        <w:t xml:space="preserve">0 3 * * 1 cd /opt/fs-market-intel &amp;&amp; python docs/veille/backend/scraper_reglementaire.py &gt;&gt; logs/regl.log 2&gt;&amp;1</w:t>
      </w:r>
    </w:p>
    <w:p>
      <w:pPr>
        <w:pBdr>
          <w:left w:val="single" w:color="0D7A3E" w:sz="12"/>
        </w:pBdr>
        <w:shd w:fill="F8F9FA" w:color="auto" w:val="clear"/>
        <w:spacing w:after="100" w:before="100"/>
        <w:ind w:left="200" w:right="200"/>
      </w:pPr>
      <w:r>
        <w:rPr>
          <w:rFonts w:ascii="Arial" w:cs="Arial" w:eastAsia="Arial" w:hAnsi="Arial"/>
          <w:b/>
          <w:bCs/>
          <w:color w:val="0D7A3E"/>
          <w:sz w:val="20"/>
          <w:szCs w:val="20"/>
        </w:rPr>
        <w:t xml:space="preserve">✓  </w:t>
      </w:r>
      <w:r>
        <w:rPr>
          <w:rFonts w:ascii="Arial" w:cs="Arial" w:eastAsia="Arial" w:hAnsi="Arial"/>
          <w:color w:val="0C1B2E"/>
          <w:sz w:val="20"/>
          <w:szCs w:val="20"/>
        </w:rPr>
        <w:t xml:space="preserve">Résultat de l'automatisation : sans aucune intervention manuelle, la plateforme collecte chaque semaine les nouveaux rapports publiés sur le CMF, extrait les KPIs, et met à jour l'interface. L'analyste n'ouvre plus jamais un PDF manuellement.</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ÉTAPE 13</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Étape 13 — Déploiement en Production</w:t>
      </w:r>
    </w:p>
    <w:p>
      <w:pPr>
        <w:pStyle w:val="Heading3"/>
        <w:spacing w:after="80" w:before="240"/>
      </w:pPr>
      <w:r>
        <w:rPr>
          <w:rFonts w:ascii="Arial" w:cs="Arial" w:eastAsia="Arial" w:hAnsi="Arial"/>
          <w:b/>
          <w:bCs/>
          <w:color w:val="2E2E38"/>
          <w:sz w:val="22"/>
          <w:szCs w:val="22"/>
        </w:rPr>
        <w:t xml:space="preserve">Architecture de déploiement</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SERVEUR LINUX (VPS ou VM EY)</w:t>
        <w:br/>
        <w:t xml:space="preserve">┌─────────────────────────────────────────────────────┐</w:t>
        <w:br/>
        <w:t xml:space="preserve">│                                                     │</w:t>
        <w:br/>
        <w:t xml:space="preserve">│  Nginx (reverse proxy, port 80/443, SSL/TLS)        │</w:t>
        <w:br/>
        <w:t xml:space="preserve">│       │                                             │</w:t>
        <w:br/>
        <w:t xml:space="preserve">│       ├─── /api/* ──────► Gunicorn Flask :8002      │</w:t>
        <w:br/>
        <w:t xml:space="preserve">│       │                   (4 workers, api/app.py)   │</w:t>
        <w:br/>
        <w:t xml:space="preserve">│       │                                             │</w:t>
        <w:br/>
        <w:t xml:space="preserve">│       ├─── /api/chatbot ► Gunicorn Flask :5001      │</w:t>
        <w:br/>
        <w:t xml:space="preserve">│       │                   (2 workers, chatbot)      │</w:t>
        <w:br/>
        <w:t xml:space="preserve">│       │                                             │</w:t>
        <w:br/>
        <w:t xml:space="preserve">│       └─── /* ──────────► frontend/dist/            │</w:t>
        <w:br/>
        <w:t xml:space="preserve">│                           (React build statique)    │</w:t>
        <w:br/>
        <w:t xml:space="preserve">│                                                     │</w:t>
        <w:br/>
        <w:t xml:space="preserve">│  Systemd : fs-api.service  fs-chatbot.service       │</w:t>
        <w:br/>
        <w:t xml:space="preserve">│  Cron    : pipeline CMF · veille quotidienne        │</w:t>
        <w:br/>
        <w:t xml:space="preserve">└─────────────────────────────────────────────────────┘</w:t>
      </w:r>
    </w:p>
    <w:p>
      <w:pPr>
        <w:pStyle w:val="Heading3"/>
        <w:spacing w:after="80" w:before="240"/>
      </w:pPr>
      <w:r>
        <w:rPr>
          <w:rFonts w:ascii="Arial" w:cs="Arial" w:eastAsia="Arial" w:hAnsi="Arial"/>
          <w:b/>
          <w:bCs/>
          <w:color w:val="2E2E38"/>
          <w:sz w:val="22"/>
          <w:szCs w:val="22"/>
        </w:rPr>
        <w:t xml:space="preserve">Procédure de déploiement pas-à-pas</w:t>
      </w:r>
    </w:p>
    <w:p>
      <w:pPr>
        <w:pStyle w:val="Heading4"/>
        <w:spacing w:after="60" w:before="180"/>
      </w:pPr>
      <w:r>
        <w:rPr>
          <w:rFonts w:ascii="Arial" w:cs="Arial" w:eastAsia="Arial" w:hAnsi="Arial"/>
          <w:b/>
          <w:bCs/>
          <w:color w:val="5C5C6E"/>
          <w:spacing w:val="30"/>
          <w:sz w:val="18"/>
          <w:szCs w:val="18"/>
        </w:rPr>
        <w:t xml:space="preserve">1. PRÉPARATION DU SERVEUR</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sudo apt update &amp;&amp; sudo apt install -y python3.11 python3-pip nodejs npm nginx</w:t>
        <w:br/>
        <w:t xml:space="preserve">git clone &lt;repo&gt; /opt/fs-market-intel</w:t>
        <w:br/>
        <w:t xml:space="preserve">cd /opt/fs-market-intel</w:t>
      </w:r>
    </w:p>
    <w:p>
      <w:pPr>
        <w:pStyle w:val="Heading4"/>
        <w:spacing w:after="60" w:before="180"/>
      </w:pPr>
      <w:r>
        <w:rPr>
          <w:rFonts w:ascii="Arial" w:cs="Arial" w:eastAsia="Arial" w:hAnsi="Arial"/>
          <w:b/>
          <w:bCs/>
          <w:color w:val="5C5C6E"/>
          <w:spacing w:val="30"/>
          <w:sz w:val="18"/>
          <w:szCs w:val="18"/>
        </w:rPr>
        <w:t xml:space="preserve">2. INSTALLATION DES DÉPENDANCES</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 Backend principal</w:t>
        <w:br/>
        <w:t xml:space="preserve">pip install flask flask-cors pdfplumber pymysql python-dotenv requests selenium beautifulsoup4 gunicorn</w:t>
        <w:br/>
        <w:t xml:space="preserve"/>
        <w:br/>
        <w:t xml:space="preserve"># Chatbot</w:t>
        <w:br/>
        <w:t xml:space="preserve">cd chatbot_portable</w:t>
        <w:br/>
        <w:t xml:space="preserve">pip install flask groq rapidfuzz prophet xgboost shap pandas numpy</w:t>
      </w:r>
    </w:p>
    <w:p>
      <w:pPr>
        <w:pStyle w:val="Heading4"/>
        <w:spacing w:after="60" w:before="180"/>
      </w:pPr>
      <w:r>
        <w:rPr>
          <w:rFonts w:ascii="Arial" w:cs="Arial" w:eastAsia="Arial" w:hAnsi="Arial"/>
          <w:b/>
          <w:bCs/>
          <w:color w:val="5C5C6E"/>
          <w:spacing w:val="30"/>
          <w:sz w:val="18"/>
          <w:szCs w:val="18"/>
        </w:rPr>
        <w:t xml:space="preserve">3. BUILD DU FRONTEND</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cd frontend</w:t>
        <w:br/>
        <w:t xml:space="preserve">npm install</w:t>
        <w:br/>
        <w:t xml:space="preserve">npm run build  # Génère frontend/dist/ (fichiers statiques optimisés)</w:t>
      </w:r>
    </w:p>
    <w:p>
      <w:pPr>
        <w:pStyle w:val="Heading4"/>
        <w:spacing w:after="60" w:before="180"/>
      </w:pPr>
      <w:r>
        <w:rPr>
          <w:rFonts w:ascii="Arial" w:cs="Arial" w:eastAsia="Arial" w:hAnsi="Arial"/>
          <w:b/>
          <w:bCs/>
          <w:color w:val="5C5C6E"/>
          <w:spacing w:val="30"/>
          <w:sz w:val="18"/>
          <w:szCs w:val="18"/>
        </w:rPr>
        <w:t xml:space="preserve">4. SERVICES SYSTEMD (DÉMARRAGE AUTOMATIQUE)</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 /etc/systemd/system/fs-api.service</w:t>
        <w:br/>
        <w:t xml:space="preserve">[Service]</w:t>
        <w:br/>
        <w:t xml:space="preserve">User=ubuntu</w:t>
        <w:br/>
        <w:t xml:space="preserve">WorkingDirectory=/opt/fs-market-intel</w:t>
        <w:br/>
        <w:t xml:space="preserve">ExecStart=gunicorn -w 4 -b 127.0.0.1:8002 'api.app:app'</w:t>
        <w:br/>
        <w:t xml:space="preserve">Restart=always</w:t>
        <w:br/>
        <w:t xml:space="preserve">EnvironmentFile=/opt/fs-market-intel/.env</w:t>
        <w:br/>
        <w:t xml:space="preserve"/>
        <w:br/>
        <w:t xml:space="preserve"># /etc/systemd/system/fs-chatbot.service</w:t>
        <w:br/>
        <w:t xml:space="preserve">[Service]</w:t>
        <w:br/>
        <w:t xml:space="preserve">User=ubuntu</w:t>
        <w:br/>
        <w:t xml:space="preserve">WorkingDirectory=/opt/fs-market-intel/chatbot_portable</w:t>
        <w:br/>
        <w:t xml:space="preserve">ExecStart=gunicorn -w 2 -b 127.0.0.1:5001 'app:app'</w:t>
        <w:br/>
        <w:t xml:space="preserve">Restart=always</w:t>
        <w:br/>
        <w:t xml:space="preserve">EnvironmentFile=/opt/fs-market-intel/chatbot_portable/.env</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sudo systemctl enable fs-api fs-chatbot</w:t>
        <w:br/>
        <w:t xml:space="preserve">sudo systemctl start  fs-api fs-chatbot</w:t>
      </w:r>
    </w:p>
    <w:p>
      <w:pPr>
        <w:pStyle w:val="Heading4"/>
        <w:spacing w:after="60" w:before="180"/>
      </w:pPr>
      <w:r>
        <w:rPr>
          <w:rFonts w:ascii="Arial" w:cs="Arial" w:eastAsia="Arial" w:hAnsi="Arial"/>
          <w:b/>
          <w:bCs/>
          <w:color w:val="5C5C6E"/>
          <w:spacing w:val="30"/>
          <w:sz w:val="18"/>
          <w:szCs w:val="18"/>
        </w:rPr>
        <w:t xml:space="preserve">5. CONFIGURATION NGINX</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server {</w:t>
        <w:br/>
        <w:t xml:space="preserve">    listen 80;</w:t>
        <w:br/>
        <w:t xml:space="preserve">    server_name market-intel.ey.tn;</w:t>
        <w:br/>
        <w:t xml:space="preserve"/>
        <w:br/>
        <w:t xml:space="preserve">    # Frontend React (fichiers statiques)</w:t>
        <w:br/>
        <w:t xml:space="preserve">    root /opt/fs-market-intel/frontend/dist;</w:t>
        <w:br/>
        <w:t xml:space="preserve">    index index.html;</w:t>
        <w:br/>
        <w:t xml:space="preserve">    location / { try_files $uri $uri/ /index.html; }</w:t>
        <w:br/>
        <w:t xml:space="preserve"/>
        <w:br/>
        <w:t xml:space="preserve">    # Proxy backend principal</w:t>
        <w:br/>
        <w:t xml:space="preserve">    location /api/ {</w:t>
        <w:br/>
        <w:t xml:space="preserve">        proxy_pass http://127.0.0.1:8002;</w:t>
        <w:br/>
        <w:t xml:space="preserve">        proxy_set_header Host $host;</w:t>
        <w:br/>
        <w:t xml:space="preserve">    }</w:t>
        <w:br/>
        <w:t xml:space="preserve"/>
        <w:br/>
        <w:t xml:space="preserve">    # Proxy chatbot</w:t>
        <w:br/>
        <w:t xml:space="preserve">    location /api/chatbot {</w:t>
        <w:br/>
        <w:t xml:space="preserve">        proxy_pass http://127.0.0.1:5001;</w:t>
        <w:br/>
        <w:t xml:space="preserve">    }</w:t>
        <w:br/>
        <w:t xml:space="preserve">}</w:t>
      </w:r>
    </w:p>
    <w:p>
      <w:pPr>
        <w:pStyle w:val="Heading4"/>
        <w:spacing w:after="60" w:before="180"/>
      </w:pPr>
      <w:r>
        <w:rPr>
          <w:rFonts w:ascii="Arial" w:cs="Arial" w:eastAsia="Arial" w:hAnsi="Arial"/>
          <w:b/>
          <w:bCs/>
          <w:color w:val="5C5C6E"/>
          <w:spacing w:val="30"/>
          <w:sz w:val="18"/>
          <w:szCs w:val="18"/>
        </w:rPr>
        <w:t xml:space="preserve">6. VARIABLES D'ENVIRONNEMENT (.ENV — JAMAIS DANS GIT)</w:t>
      </w:r>
    </w:p>
    <w:p>
      <w:pPr>
        <w:pBdr>
          <w:left w:val="single" w:color="FFE600" w:sz="12"/>
        </w:pBdr>
        <w:shd w:fill="1E1E2E" w:color="auto" w:val="clear"/>
        <w:spacing w:after="120" w:before="120"/>
        <w:ind w:left="200" w:right="200"/>
      </w:pPr>
      <w:r>
        <w:rPr>
          <w:rFonts w:ascii="Courier New" w:cs="Courier New" w:eastAsia="Courier New" w:hAnsi="Courier New"/>
          <w:color w:val="CDD6F4"/>
          <w:sz w:val="17"/>
          <w:szCs w:val="17"/>
        </w:rPr>
        <w:t xml:space="preserve"># Racine du projet</w:t>
        <w:br/>
        <w:t xml:space="preserve">DB_HOST=localhost</w:t>
        <w:br/>
        <w:t xml:space="preserve">DB_USER=fs_user</w:t>
        <w:br/>
        <w:t xml:space="preserve">DB_PASSWORD=&lt;mot_de_passe_securise&gt;</w:t>
        <w:br/>
        <w:t xml:space="preserve">DB_NAME=market_intel</w:t>
        <w:br/>
        <w:t xml:space="preserve"/>
        <w:br/>
        <w:t xml:space="preserve"># chatbot_portable/.env</w:t>
        <w:br/>
        <w:t xml:space="preserve">GROQ_API_KEY=gsk_...</w:t>
        <w:br/>
        <w:t xml:space="preserve">DB_PATH=/opt/fs-market-intel/chatbot_portable/MarketInsurance.db</w:t>
        <w:br/>
        <w:t xml:space="preserve">PORT=5001</w:t>
      </w:r>
    </w:p>
    <w:p>
      <w:pPr>
        <w:pStyle w:val="Heading3"/>
        <w:spacing w:after="80" w:before="240"/>
      </w:pPr>
      <w:r>
        <w:rPr>
          <w:rFonts w:ascii="Arial" w:cs="Arial" w:eastAsia="Arial" w:hAnsi="Arial"/>
          <w:b/>
          <w:bCs/>
          <w:color w:val="2E2E38"/>
          <w:sz w:val="22"/>
          <w:szCs w:val="22"/>
        </w:rPr>
        <w:t xml:space="preserve">Guide de démarrage rapide (développement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400"/>
        <w:gridCol w:w="800"/>
        <w:gridCol w:w="3000"/>
      </w:tblGrid>
      <w:tr>
        <w:trPr>
          <w:tblHeader/>
        </w:trPr>
        <w:tc>
          <w:tcPr>
            <w:tcW w:type="dxa" w:w="3200"/>
            <w:shd w:fill="2E2E38" w:color="auto" w:val="clear"/>
          </w:tcPr>
          <w:p>
            <w:pPr>
              <w:jc w:val="left"/>
            </w:pPr>
            <w:r>
              <w:rPr>
                <w:rFonts w:ascii="Arial" w:cs="Arial" w:eastAsia="Arial" w:hAnsi="Arial"/>
                <w:b/>
                <w:bCs/>
                <w:color w:val="FFE600"/>
                <w:spacing w:val="20"/>
                <w:sz w:val="17"/>
                <w:szCs w:val="17"/>
              </w:rPr>
              <w:t xml:space="preserve">COMMANDE</w:t>
            </w:r>
          </w:p>
        </w:tc>
        <w:tc>
          <w:tcPr>
            <w:tcW w:type="dxa" w:w="2400"/>
            <w:shd w:fill="2E2E38" w:color="auto" w:val="clear"/>
          </w:tcPr>
          <w:p>
            <w:pPr>
              <w:jc w:val="left"/>
            </w:pPr>
            <w:r>
              <w:rPr>
                <w:rFonts w:ascii="Arial" w:cs="Arial" w:eastAsia="Arial" w:hAnsi="Arial"/>
                <w:b/>
                <w:bCs/>
                <w:color w:val="FFE600"/>
                <w:spacing w:val="20"/>
                <w:sz w:val="17"/>
                <w:szCs w:val="17"/>
              </w:rPr>
              <w:t xml:space="preserve">SERVICE</w:t>
            </w:r>
          </w:p>
        </w:tc>
        <w:tc>
          <w:tcPr>
            <w:tcW w:type="dxa" w:w="800"/>
            <w:shd w:fill="2E2E38" w:color="auto" w:val="clear"/>
          </w:tcPr>
          <w:p>
            <w:pPr>
              <w:jc w:val="left"/>
            </w:pPr>
            <w:r>
              <w:rPr>
                <w:rFonts w:ascii="Arial" w:cs="Arial" w:eastAsia="Arial" w:hAnsi="Arial"/>
                <w:b/>
                <w:bCs/>
                <w:color w:val="FFE600"/>
                <w:spacing w:val="20"/>
                <w:sz w:val="17"/>
                <w:szCs w:val="17"/>
              </w:rPr>
              <w:t xml:space="preserve">PORT</w:t>
            </w:r>
          </w:p>
        </w:tc>
        <w:tc>
          <w:tcPr>
            <w:tcW w:type="dxa" w:w="3000"/>
            <w:shd w:fill="2E2E38" w:color="auto" w:val="clear"/>
          </w:tcPr>
          <w:p>
            <w:pPr>
              <w:jc w:val="left"/>
            </w:pPr>
            <w:r>
              <w:rPr>
                <w:rFonts w:ascii="Arial" w:cs="Arial" w:eastAsia="Arial" w:hAnsi="Arial"/>
                <w:b/>
                <w:bCs/>
                <w:color w:val="FFE600"/>
                <w:spacing w:val="20"/>
                <w:sz w:val="17"/>
                <w:szCs w:val="17"/>
              </w:rPr>
              <w:t xml:space="preserve">PRÉREQUIS</w:t>
            </w:r>
          </w:p>
        </w:tc>
      </w:tr>
      <w:tr>
        <w:tc>
          <w:tcPr>
            <w:tcW w:type="dxa" w:w="3200"/>
            <w:shd w:fill="FFFFFF" w:color="auto" w:val="clear"/>
          </w:tcPr>
          <w:p>
            <w:pPr>
              <w:spacing w:after="60" w:before="60"/>
            </w:pPr>
            <w:r>
              <w:rPr>
                <w:rFonts w:ascii="Arial" w:cs="Arial" w:eastAsia="Arial" w:hAnsi="Arial"/>
                <w:color w:val="0C1B2E"/>
                <w:sz w:val="18"/>
                <w:szCs w:val="18"/>
              </w:rPr>
              <w:t xml:space="preserve">python api/app.py</w:t>
            </w:r>
          </w:p>
        </w:tc>
        <w:tc>
          <w:tcPr>
            <w:tcW w:type="dxa" w:w="2400"/>
            <w:shd w:fill="FFFFFF" w:color="auto" w:val="clear"/>
          </w:tcPr>
          <w:p>
            <w:pPr>
              <w:spacing w:after="60" w:before="60"/>
            </w:pPr>
            <w:r>
              <w:rPr>
                <w:rFonts w:ascii="Arial" w:cs="Arial" w:eastAsia="Arial" w:hAnsi="Arial"/>
                <w:color w:val="0C1B2E"/>
                <w:sz w:val="18"/>
                <w:szCs w:val="18"/>
              </w:rPr>
              <w:t xml:space="preserve">Backend principal Flask</w:t>
            </w:r>
          </w:p>
        </w:tc>
        <w:tc>
          <w:tcPr>
            <w:tcW w:type="dxa" w:w="800"/>
            <w:shd w:fill="FFFFFF" w:color="auto" w:val="clear"/>
          </w:tcPr>
          <w:p>
            <w:pPr>
              <w:spacing w:after="60" w:before="60"/>
            </w:pPr>
            <w:r>
              <w:rPr>
                <w:rFonts w:ascii="Arial" w:cs="Arial" w:eastAsia="Arial" w:hAnsi="Arial"/>
                <w:color w:val="0C1B2E"/>
                <w:sz w:val="18"/>
                <w:szCs w:val="18"/>
              </w:rPr>
              <w:t xml:space="preserve">8002</w:t>
            </w:r>
          </w:p>
        </w:tc>
        <w:tc>
          <w:tcPr>
            <w:tcW w:type="dxa" w:w="3000"/>
            <w:shd w:fill="FFFFFF" w:color="auto" w:val="clear"/>
          </w:tcPr>
          <w:p>
            <w:pPr>
              <w:spacing w:after="60" w:before="60"/>
            </w:pPr>
            <w:r>
              <w:rPr>
                <w:rFonts w:ascii="Arial" w:cs="Arial" w:eastAsia="Arial" w:hAnsi="Arial"/>
                <w:color w:val="0C1B2E"/>
                <w:sz w:val="18"/>
                <w:szCs w:val="18"/>
              </w:rPr>
              <w:t xml:space="preserve">MySQL démarré, market_intel.db présent</w:t>
            </w:r>
          </w:p>
        </w:tc>
      </w:tr>
      <w:tr>
        <w:tc>
          <w:tcPr>
            <w:tcW w:type="dxa" w:w="3200"/>
            <w:shd w:fill="F8F9FA" w:color="auto" w:val="clear"/>
          </w:tcPr>
          <w:p>
            <w:pPr>
              <w:spacing w:after="60" w:before="60"/>
            </w:pPr>
            <w:r>
              <w:rPr>
                <w:rFonts w:ascii="Arial" w:cs="Arial" w:eastAsia="Arial" w:hAnsi="Arial"/>
                <w:color w:val="0C1B2E"/>
                <w:sz w:val="18"/>
                <w:szCs w:val="18"/>
              </w:rPr>
              <w:t xml:space="preserve">python chatbot_portable/app.py</w:t>
            </w:r>
          </w:p>
        </w:tc>
        <w:tc>
          <w:tcPr>
            <w:tcW w:type="dxa" w:w="2400"/>
            <w:shd w:fill="F8F9FA" w:color="auto" w:val="clear"/>
          </w:tcPr>
          <w:p>
            <w:pPr>
              <w:spacing w:after="60" w:before="60"/>
            </w:pPr>
            <w:r>
              <w:rPr>
                <w:rFonts w:ascii="Arial" w:cs="Arial" w:eastAsia="Arial" w:hAnsi="Arial"/>
                <w:color w:val="0C1B2E"/>
                <w:sz w:val="18"/>
                <w:szCs w:val="18"/>
              </w:rPr>
              <w:t xml:space="preserve">Chatbot Flask + Groq</w:t>
            </w:r>
          </w:p>
        </w:tc>
        <w:tc>
          <w:tcPr>
            <w:tcW w:type="dxa" w:w="800"/>
            <w:shd w:fill="F8F9FA" w:color="auto" w:val="clear"/>
          </w:tcPr>
          <w:p>
            <w:pPr>
              <w:spacing w:after="60" w:before="60"/>
            </w:pPr>
            <w:r>
              <w:rPr>
                <w:rFonts w:ascii="Arial" w:cs="Arial" w:eastAsia="Arial" w:hAnsi="Arial"/>
                <w:color w:val="0C1B2E"/>
                <w:sz w:val="18"/>
                <w:szCs w:val="18"/>
              </w:rPr>
              <w:t xml:space="preserve">5001</w:t>
            </w:r>
          </w:p>
        </w:tc>
        <w:tc>
          <w:tcPr>
            <w:tcW w:type="dxa" w:w="3000"/>
            <w:shd w:fill="F8F9FA" w:color="auto" w:val="clear"/>
          </w:tcPr>
          <w:p>
            <w:pPr>
              <w:spacing w:after="60" w:before="60"/>
            </w:pPr>
            <w:r>
              <w:rPr>
                <w:rFonts w:ascii="Arial" w:cs="Arial" w:eastAsia="Arial" w:hAnsi="Arial"/>
                <w:color w:val="0C1B2E"/>
                <w:sz w:val="18"/>
                <w:szCs w:val="18"/>
              </w:rPr>
              <w:t xml:space="preserve">.env avec GROQ_API_KEY valide</w:t>
            </w:r>
          </w:p>
        </w:tc>
      </w:tr>
      <w:tr>
        <w:tc>
          <w:tcPr>
            <w:tcW w:type="dxa" w:w="3200"/>
            <w:shd w:fill="FFFFFF" w:color="auto" w:val="clear"/>
          </w:tcPr>
          <w:p>
            <w:pPr>
              <w:spacing w:after="60" w:before="60"/>
            </w:pPr>
            <w:r>
              <w:rPr>
                <w:rFonts w:ascii="Arial" w:cs="Arial" w:eastAsia="Arial" w:hAnsi="Arial"/>
                <w:color w:val="0C1B2E"/>
                <w:sz w:val="18"/>
                <w:szCs w:val="18"/>
              </w:rPr>
              <w:t xml:space="preserve">npm run dev (dans frontend/)</w:t>
            </w:r>
          </w:p>
        </w:tc>
        <w:tc>
          <w:tcPr>
            <w:tcW w:type="dxa" w:w="2400"/>
            <w:shd w:fill="FFFFFF" w:color="auto" w:val="clear"/>
          </w:tcPr>
          <w:p>
            <w:pPr>
              <w:spacing w:after="60" w:before="60"/>
            </w:pPr>
            <w:r>
              <w:rPr>
                <w:rFonts w:ascii="Arial" w:cs="Arial" w:eastAsia="Arial" w:hAnsi="Arial"/>
                <w:color w:val="0C1B2E"/>
                <w:sz w:val="18"/>
                <w:szCs w:val="18"/>
              </w:rPr>
              <w:t xml:space="preserve">Frontend React Vite</w:t>
            </w:r>
          </w:p>
        </w:tc>
        <w:tc>
          <w:tcPr>
            <w:tcW w:type="dxa" w:w="800"/>
            <w:shd w:fill="FFFFFF" w:color="auto" w:val="clear"/>
          </w:tcPr>
          <w:p>
            <w:pPr>
              <w:spacing w:after="60" w:before="60"/>
            </w:pPr>
            <w:r>
              <w:rPr>
                <w:rFonts w:ascii="Arial" w:cs="Arial" w:eastAsia="Arial" w:hAnsi="Arial"/>
                <w:color w:val="0C1B2E"/>
                <w:sz w:val="18"/>
                <w:szCs w:val="18"/>
              </w:rPr>
              <w:t xml:space="preserve">5173</w:t>
            </w:r>
          </w:p>
        </w:tc>
        <w:tc>
          <w:tcPr>
            <w:tcW w:type="dxa" w:w="3000"/>
            <w:shd w:fill="FFFFFF" w:color="auto" w:val="clear"/>
          </w:tcPr>
          <w:p>
            <w:pPr>
              <w:spacing w:after="60" w:before="60"/>
            </w:pPr>
            <w:r>
              <w:rPr>
                <w:rFonts w:ascii="Arial" w:cs="Arial" w:eastAsia="Arial" w:hAnsi="Arial"/>
                <w:color w:val="0C1B2E"/>
                <w:sz w:val="18"/>
                <w:szCs w:val="18"/>
              </w:rPr>
              <w:t xml:space="preserve">Node.js 18+</w:t>
            </w:r>
          </w:p>
        </w:tc>
      </w:tr>
    </w:tbl>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ANALYSE CRITIQUE</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Limites et Cas Particuliers Connus</w:t>
      </w:r>
    </w:p>
    <w:p>
      <w:pPr>
        <w:pStyle w:val="Heading3"/>
        <w:spacing w:after="80" w:before="240"/>
      </w:pPr>
      <w:r>
        <w:rPr>
          <w:rFonts w:ascii="Arial" w:cs="Arial" w:eastAsia="Arial" w:hAnsi="Arial"/>
          <w:b/>
          <w:bCs/>
          <w:color w:val="2E2E38"/>
          <w:sz w:val="22"/>
          <w:szCs w:val="22"/>
        </w:rPr>
        <w:t xml:space="preserve">Limites de l'extraction PDF</w:t>
      </w:r>
    </w:p>
    <w:p>
      <w:pPr>
        <w:pStyle w:val="ListParagraph"/>
        <w:numPr>
          <w:ilvl w:val="0"/>
          <w:numId w:val="2"/>
        </w:numPr>
        <w:spacing w:after="40" w:before="40"/>
        <w:ind w:left="360" w:hanging="360"/>
      </w:pPr>
      <w:r>
        <w:rPr>
          <w:rFonts w:ascii="Arial" w:cs="Arial" w:eastAsia="Arial" w:hAnsi="Arial"/>
          <w:b/>
          <w:bCs/>
          <w:color w:val="0C1B2E"/>
          <w:sz w:val="20"/>
          <w:szCs w:val="20"/>
        </w:rPr>
        <w:t xml:space="preserve">PDFs scannés (images) :</w:t>
      </w:r>
      <w:r>
        <w:rPr>
          <w:rFonts w:ascii="Arial" w:cs="Arial" w:eastAsia="Arial" w:hAnsi="Arial"/>
          <w:color w:val="0C1B2E"/>
          <w:sz w:val="20"/>
          <w:szCs w:val="20"/>
        </w:rPr>
        <w:t xml:space="preserve"> pdfplumber ne peut pas extraire du texte d'un PDF image. Les rapports antérieurs à 2018 pour certaines compagnies peuvent être des scans → solution future : module OCR (Tesseract / AWS Textract).</w:t>
      </w:r>
    </w:p>
    <w:p>
      <w:pPr>
        <w:pStyle w:val="ListParagraph"/>
        <w:numPr>
          <w:ilvl w:val="0"/>
          <w:numId w:val="2"/>
        </w:numPr>
        <w:spacing w:after="40" w:before="40"/>
        <w:ind w:left="360" w:hanging="360"/>
      </w:pPr>
      <w:r>
        <w:rPr>
          <w:rFonts w:ascii="Arial" w:cs="Arial" w:eastAsia="Arial" w:hAnsi="Arial"/>
          <w:b/>
          <w:bCs/>
          <w:color w:val="0C1B2E"/>
          <w:sz w:val="20"/>
          <w:szCs w:val="20"/>
        </w:rPr>
        <w:t xml:space="preserve">Tableaux multi-pages :</w:t>
      </w:r>
      <w:r>
        <w:rPr>
          <w:rFonts w:ascii="Arial" w:cs="Arial" w:eastAsia="Arial" w:hAnsi="Arial"/>
          <w:color w:val="0C1B2E"/>
          <w:sz w:val="20"/>
          <w:szCs w:val="20"/>
        </w:rPr>
        <w:t xml:space="preserve"> quand un tableau s'étend sur 2+ pages avec en-têtes répétées, la reconstitution peut être incomplète. Documenté dans CAS_PARTICULIERS.md avec le traitement retenu.</w:t>
      </w:r>
    </w:p>
    <w:p>
      <w:pPr>
        <w:pStyle w:val="ListParagraph"/>
        <w:numPr>
          <w:ilvl w:val="0"/>
          <w:numId w:val="2"/>
        </w:numPr>
        <w:spacing w:after="40" w:before="40"/>
        <w:ind w:left="360" w:hanging="360"/>
      </w:pPr>
      <w:r>
        <w:rPr>
          <w:rFonts w:ascii="Arial" w:cs="Arial" w:eastAsia="Arial" w:hAnsi="Arial"/>
          <w:b/>
          <w:bCs/>
          <w:color w:val="0C1B2E"/>
          <w:sz w:val="20"/>
          <w:szCs w:val="20"/>
        </w:rPr>
        <w:t xml:space="preserve">Compagnies Takaful :</w:t>
      </w:r>
      <w:r>
        <w:rPr>
          <w:rFonts w:ascii="Arial" w:cs="Arial" w:eastAsia="Arial" w:hAnsi="Arial"/>
          <w:color w:val="0C1B2E"/>
          <w:sz w:val="20"/>
          <w:szCs w:val="20"/>
        </w:rPr>
        <w:t xml:space="preserve"> les libellés de la finance islamique ('wakala', 'tabarru'', 'moudaraba') ne correspondent pas aux patterns standard. Les compagnies At Takafulia, Zitouna Takaful et Al Amanah ont des taux d'extraction plus faibles.</w:t>
      </w:r>
    </w:p>
    <w:p>
      <w:pPr>
        <w:pStyle w:val="ListParagraph"/>
        <w:numPr>
          <w:ilvl w:val="0"/>
          <w:numId w:val="2"/>
        </w:numPr>
        <w:spacing w:after="40" w:before="40"/>
        <w:ind w:left="360" w:hanging="360"/>
      </w:pPr>
      <w:r>
        <w:rPr>
          <w:rFonts w:ascii="Arial" w:cs="Arial" w:eastAsia="Arial" w:hAnsi="Arial"/>
          <w:b/>
          <w:bCs/>
          <w:color w:val="0C1B2E"/>
          <w:sz w:val="20"/>
          <w:szCs w:val="20"/>
        </w:rPr>
        <w:t xml:space="preserve">Fusion / scission en cours d'année :</w:t>
      </w:r>
      <w:r>
        <w:rPr>
          <w:rFonts w:ascii="Arial" w:cs="Arial" w:eastAsia="Arial" w:hAnsi="Arial"/>
          <w:color w:val="0C1B2E"/>
          <w:sz w:val="20"/>
          <w:szCs w:val="20"/>
        </w:rPr>
        <w:t xml:space="preserve"> un rapport d'une compagnie rachetée peut être partiel. Le système prend uniquement le rapport annuel au 31/12 (règle uniforme).</w:t>
      </w:r>
    </w:p>
    <w:p>
      <w:pPr>
        <w:pStyle w:val="Heading3"/>
        <w:spacing w:after="80" w:before="240"/>
      </w:pPr>
      <w:r>
        <w:rPr>
          <w:rFonts w:ascii="Arial" w:cs="Arial" w:eastAsia="Arial" w:hAnsi="Arial"/>
          <w:b/>
          <w:bCs/>
          <w:color w:val="2E2E38"/>
          <w:sz w:val="22"/>
          <w:szCs w:val="22"/>
        </w:rPr>
        <w:t xml:space="preserve">Limites du chatbot</w:t>
      </w:r>
    </w:p>
    <w:p>
      <w:pPr>
        <w:pStyle w:val="ListParagraph"/>
        <w:numPr>
          <w:ilvl w:val="0"/>
          <w:numId w:val="2"/>
        </w:numPr>
        <w:spacing w:after="40" w:before="40"/>
        <w:ind w:left="360" w:hanging="360"/>
      </w:pPr>
      <w:r>
        <w:rPr>
          <w:rFonts w:ascii="Arial" w:cs="Arial" w:eastAsia="Arial" w:hAnsi="Arial"/>
          <w:b/>
          <w:bCs/>
          <w:color w:val="0C1B2E"/>
          <w:sz w:val="20"/>
          <w:szCs w:val="20"/>
        </w:rPr>
        <w:t xml:space="preserve">Données historiques limitées :</w:t>
      </w:r>
      <w:r>
        <w:rPr>
          <w:rFonts w:ascii="Arial" w:cs="Arial" w:eastAsia="Arial" w:hAnsi="Arial"/>
          <w:color w:val="0C1B2E"/>
          <w:sz w:val="20"/>
          <w:szCs w:val="20"/>
        </w:rPr>
        <w:t xml:space="preserve"> les prévisions ML nécessitent minimum 5 années. Les compagnies récentes (Zitouna Takaful créée en 2017, Al Amanah en 2019) ont des historiques courts, réduisant la fiabilité des prévisions.</w:t>
      </w:r>
    </w:p>
    <w:p>
      <w:pPr>
        <w:pStyle w:val="ListParagraph"/>
        <w:numPr>
          <w:ilvl w:val="0"/>
          <w:numId w:val="2"/>
        </w:numPr>
        <w:spacing w:after="40" w:before="40"/>
        <w:ind w:left="360" w:hanging="360"/>
      </w:pPr>
      <w:r>
        <w:rPr>
          <w:rFonts w:ascii="Arial" w:cs="Arial" w:eastAsia="Arial" w:hAnsi="Arial"/>
          <w:b/>
          <w:bCs/>
          <w:color w:val="0C1B2E"/>
          <w:sz w:val="20"/>
          <w:szCs w:val="20"/>
        </w:rPr>
        <w:t xml:space="preserve">Intent complexe :</w:t>
      </w:r>
      <w:r>
        <w:rPr>
          <w:rFonts w:ascii="Arial" w:cs="Arial" w:eastAsia="Arial" w:hAnsi="Arial"/>
          <w:color w:val="0C1B2E"/>
          <w:sz w:val="20"/>
          <w:szCs w:val="20"/>
        </w:rPr>
        <w:t xml:space="preserve"> les questions combinant plusieurs KPIs et plusieurs compagnies peuvent échapper à la détection d'intent structurée et basculer sur le Text-to-SQL LLM, moins fiable.</w:t>
      </w:r>
    </w:p>
    <w:p>
      <w:pPr>
        <w:pStyle w:val="ListParagraph"/>
        <w:numPr>
          <w:ilvl w:val="0"/>
          <w:numId w:val="2"/>
        </w:numPr>
        <w:spacing w:after="40" w:before="40"/>
        <w:ind w:left="360" w:hanging="360"/>
      </w:pPr>
      <w:r>
        <w:rPr>
          <w:rFonts w:ascii="Arial" w:cs="Arial" w:eastAsia="Arial" w:hAnsi="Arial"/>
          <w:b/>
          <w:bCs/>
          <w:color w:val="0C1B2E"/>
          <w:sz w:val="20"/>
          <w:szCs w:val="20"/>
        </w:rPr>
        <w:t xml:space="preserve">Quota Groq :</w:t>
      </w:r>
      <w:r>
        <w:rPr>
          <w:rFonts w:ascii="Arial" w:cs="Arial" w:eastAsia="Arial" w:hAnsi="Arial"/>
          <w:color w:val="0C1B2E"/>
          <w:sz w:val="20"/>
          <w:szCs w:val="20"/>
        </w:rPr>
        <w:t xml:space="preserve"> l'API gratuite Groq a un quota mensuel de tokens. En production intensive, une clé payante est nécessaire.</w:t>
      </w:r>
    </w:p>
    <w:p>
      <w:pPr>
        <w:pStyle w:val="Heading3"/>
        <w:spacing w:after="80" w:before="240"/>
      </w:pPr>
      <w:r>
        <w:rPr>
          <w:rFonts w:ascii="Arial" w:cs="Arial" w:eastAsia="Arial" w:hAnsi="Arial"/>
          <w:b/>
          <w:bCs/>
          <w:color w:val="2E2E38"/>
          <w:sz w:val="22"/>
          <w:szCs w:val="22"/>
        </w:rPr>
        <w:t xml:space="preserve">Limites du déploiement</w:t>
      </w:r>
    </w:p>
    <w:p>
      <w:pPr>
        <w:pStyle w:val="ListParagraph"/>
        <w:numPr>
          <w:ilvl w:val="0"/>
          <w:numId w:val="2"/>
        </w:numPr>
        <w:spacing w:after="40" w:before="40"/>
        <w:ind w:left="360" w:hanging="360"/>
      </w:pPr>
      <w:r>
        <w:rPr>
          <w:rFonts w:ascii="Arial" w:cs="Arial" w:eastAsia="Arial" w:hAnsi="Arial"/>
          <w:b/>
          <w:bCs/>
          <w:color w:val="0C1B2E"/>
          <w:sz w:val="20"/>
          <w:szCs w:val="20"/>
        </w:rPr>
        <w:t xml:space="preserve">Selenium en production :</w:t>
      </w:r>
      <w:r>
        <w:rPr>
          <w:rFonts w:ascii="Arial" w:cs="Arial" w:eastAsia="Arial" w:hAnsi="Arial"/>
          <w:color w:val="0C1B2E"/>
          <w:sz w:val="20"/>
          <w:szCs w:val="20"/>
        </w:rPr>
        <w:t xml:space="preserve"> Chrome headless nécessite des bibliothèques système supplémentaires sur Linux (libgconf-2-4, libxss1, libgbm1). Un environnement Docker préconfiguré simplifierait l'installation.</w:t>
      </w:r>
    </w:p>
    <w:p>
      <w:pPr>
        <w:pStyle w:val="ListParagraph"/>
        <w:numPr>
          <w:ilvl w:val="0"/>
          <w:numId w:val="2"/>
        </w:numPr>
        <w:spacing w:after="40" w:before="40"/>
        <w:ind w:left="360" w:hanging="360"/>
      </w:pPr>
      <w:r>
        <w:rPr>
          <w:rFonts w:ascii="Arial" w:cs="Arial" w:eastAsia="Arial" w:hAnsi="Arial"/>
          <w:b/>
          <w:bCs/>
          <w:color w:val="0C1B2E"/>
          <w:sz w:val="20"/>
          <w:szCs w:val="20"/>
        </w:rPr>
        <w:t xml:space="preserve">Portail CMF changeant :</w:t>
      </w:r>
      <w:r>
        <w:rPr>
          <w:rFonts w:ascii="Arial" w:cs="Arial" w:eastAsia="Arial" w:hAnsi="Arial"/>
          <w:color w:val="0C1B2E"/>
          <w:sz w:val="20"/>
          <w:szCs w:val="20"/>
        </w:rPr>
        <w:t xml:space="preserve"> si CMF modifie la structure HTML ou l'ID du widget Chosen, le scraper doit être mis à jour manuellement. Une alerte automatique sur les erreurs Selenium est recommandée.</w:t>
      </w:r>
    </w:p>
    <w:p>
      <w:r>
        <w:br w:type="page"/>
      </w:r>
    </w:p>
    <w:p>
      <w:pPr>
        <w:shd w:fill="2E2E38" w:color="auto" w:val="clear"/>
        <w:spacing w:after="60" w:before="240"/>
        <w:ind w:left="80" w:right="80"/>
      </w:pPr>
      <w:r>
        <w:rPr>
          <w:rFonts w:ascii="Arial" w:cs="Arial" w:eastAsia="Arial" w:hAnsi="Arial"/>
          <w:b/>
          <w:bCs/>
          <w:color w:val="FFE600"/>
          <w:spacing w:val="40"/>
          <w:sz w:val="16"/>
          <w:szCs w:val="16"/>
        </w:rPr>
        <w:t xml:space="preserve">PERSPECTIVES</w:t>
      </w:r>
    </w:p>
    <w:p>
      <w:pPr>
        <w:pStyle w:val="Heading1"/>
        <w:pBdr>
          <w:bottom w:val="single" w:color="FFE600" w:sz="6"/>
        </w:pBdr>
        <w:shd w:fill="2E2E38" w:color="auto" w:val="clear"/>
        <w:spacing w:after="120" w:before="400"/>
        <w:ind w:left="120" w:right="120"/>
      </w:pPr>
      <w:r>
        <w:rPr>
          <w:rFonts w:ascii="Arial" w:cs="Arial" w:eastAsia="Arial" w:hAnsi="Arial"/>
          <w:b/>
          <w:bCs/>
          <w:color w:val="FFFFFF"/>
          <w:sz w:val="28"/>
          <w:szCs w:val="28"/>
        </w:rPr>
        <w:t xml:space="preserve">Perspectives d'Évolution</w:t>
      </w:r>
    </w:p>
    <w:p>
      <w:pPr>
        <w:pStyle w:val="Heading3"/>
        <w:spacing w:after="80" w:before="240"/>
      </w:pPr>
      <w:r>
        <w:rPr>
          <w:rFonts w:ascii="Arial" w:cs="Arial" w:eastAsia="Arial" w:hAnsi="Arial"/>
          <w:b/>
          <w:bCs/>
          <w:color w:val="2E2E38"/>
          <w:sz w:val="22"/>
          <w:szCs w:val="22"/>
        </w:rPr>
        <w:t xml:space="preserve">Court terme (3–6 mois)</w:t>
      </w:r>
    </w:p>
    <w:p>
      <w:pPr>
        <w:pStyle w:val="ListParagraph"/>
        <w:numPr>
          <w:ilvl w:val="0"/>
          <w:numId w:val="2"/>
        </w:numPr>
        <w:spacing w:after="40" w:before="40"/>
        <w:ind w:left="360" w:hanging="360"/>
      </w:pPr>
      <w:r>
        <w:rPr>
          <w:rFonts w:ascii="Arial" w:cs="Arial" w:eastAsia="Arial" w:hAnsi="Arial"/>
          <w:color w:val="0C1B2E"/>
          <w:sz w:val="20"/>
          <w:szCs w:val="20"/>
        </w:rPr>
        <w:t xml:space="preserve">Module OCR (Tesseract ou AWS Textract) pour les PDFs scannés antérieurs à 2018</w:t>
      </w:r>
    </w:p>
    <w:p>
      <w:pPr>
        <w:pStyle w:val="ListParagraph"/>
        <w:numPr>
          <w:ilvl w:val="0"/>
          <w:numId w:val="2"/>
        </w:numPr>
        <w:spacing w:after="40" w:before="40"/>
        <w:ind w:left="360" w:hanging="360"/>
      </w:pPr>
      <w:r>
        <w:rPr>
          <w:rFonts w:ascii="Arial" w:cs="Arial" w:eastAsia="Arial" w:hAnsi="Arial"/>
          <w:color w:val="0C1B2E"/>
          <w:sz w:val="20"/>
          <w:szCs w:val="20"/>
        </w:rPr>
        <w:t xml:space="preserve">Notifications automatiques (email / Slack) lors de la publication d'un nouveau rapport CMF</w:t>
      </w:r>
    </w:p>
    <w:p>
      <w:pPr>
        <w:pStyle w:val="ListParagraph"/>
        <w:numPr>
          <w:ilvl w:val="0"/>
          <w:numId w:val="2"/>
        </w:numPr>
        <w:spacing w:after="40" w:before="40"/>
        <w:ind w:left="360" w:hanging="360"/>
      </w:pPr>
      <w:r>
        <w:rPr>
          <w:rFonts w:ascii="Arial" w:cs="Arial" w:eastAsia="Arial" w:hAnsi="Arial"/>
          <w:color w:val="0C1B2E"/>
          <w:sz w:val="20"/>
          <w:szCs w:val="20"/>
        </w:rPr>
        <w:t xml:space="preserve">Export Excel des analyses comparatives avec formules</w:t>
      </w:r>
    </w:p>
    <w:p>
      <w:pPr>
        <w:pStyle w:val="ListParagraph"/>
        <w:numPr>
          <w:ilvl w:val="0"/>
          <w:numId w:val="2"/>
        </w:numPr>
        <w:spacing w:after="40" w:before="40"/>
        <w:ind w:left="360" w:hanging="360"/>
      </w:pPr>
      <w:r>
        <w:rPr>
          <w:rFonts w:ascii="Arial" w:cs="Arial" w:eastAsia="Arial" w:hAnsi="Arial"/>
          <w:color w:val="0C1B2E"/>
          <w:sz w:val="20"/>
          <w:szCs w:val="20"/>
        </w:rPr>
        <w:t xml:space="preserve">Authentification utilisateur (JWT) pour les fonctionnalités EY internes</w:t>
      </w:r>
    </w:p>
    <w:p>
      <w:pPr>
        <w:pStyle w:val="ListParagraph"/>
        <w:numPr>
          <w:ilvl w:val="0"/>
          <w:numId w:val="2"/>
        </w:numPr>
        <w:spacing w:after="40" w:before="40"/>
        <w:ind w:left="360" w:hanging="360"/>
      </w:pPr>
      <w:r>
        <w:rPr>
          <w:rFonts w:ascii="Arial" w:cs="Arial" w:eastAsia="Arial" w:hAnsi="Arial"/>
          <w:color w:val="0C1B2E"/>
          <w:sz w:val="20"/>
          <w:szCs w:val="20"/>
        </w:rPr>
        <w:t xml:space="preserve">Tests unitaires automatisés sur les extracteurs PDF (jeu de test de référence par compagnie)</w:t>
      </w:r>
    </w:p>
    <w:p>
      <w:pPr>
        <w:pStyle w:val="Heading3"/>
        <w:spacing w:after="80" w:before="240"/>
      </w:pPr>
      <w:r>
        <w:rPr>
          <w:rFonts w:ascii="Arial" w:cs="Arial" w:eastAsia="Arial" w:hAnsi="Arial"/>
          <w:b/>
          <w:bCs/>
          <w:color w:val="2E2E38"/>
          <w:sz w:val="22"/>
          <w:szCs w:val="22"/>
        </w:rPr>
        <w:t xml:space="preserve">Moyen terme (6–18 mois)</w:t>
      </w:r>
    </w:p>
    <w:p>
      <w:pPr>
        <w:pStyle w:val="ListParagraph"/>
        <w:numPr>
          <w:ilvl w:val="0"/>
          <w:numId w:val="2"/>
        </w:numPr>
        <w:spacing w:after="40" w:before="40"/>
        <w:ind w:left="360" w:hanging="360"/>
      </w:pPr>
      <w:r>
        <w:rPr>
          <w:rFonts w:ascii="Arial" w:cs="Arial" w:eastAsia="Arial" w:hAnsi="Arial"/>
          <w:color w:val="0C1B2E"/>
          <w:sz w:val="20"/>
          <w:szCs w:val="20"/>
        </w:rPr>
        <w:t xml:space="preserve">Extension à d'autres marchés africains (Maroc, Algérie, Côte d'Ivoire, Sénégal)</w:t>
      </w:r>
    </w:p>
    <w:p>
      <w:pPr>
        <w:pStyle w:val="ListParagraph"/>
        <w:numPr>
          <w:ilvl w:val="0"/>
          <w:numId w:val="2"/>
        </w:numPr>
        <w:spacing w:after="40" w:before="40"/>
        <w:ind w:left="360" w:hanging="360"/>
      </w:pPr>
      <w:r>
        <w:rPr>
          <w:rFonts w:ascii="Arial" w:cs="Arial" w:eastAsia="Arial" w:hAnsi="Arial"/>
          <w:color w:val="0C1B2E"/>
          <w:sz w:val="20"/>
          <w:szCs w:val="20"/>
        </w:rPr>
        <w:t xml:space="preserve">Dashboard temps réel avec WebSocket pour les cours BVMT en direct</w:t>
      </w:r>
    </w:p>
    <w:p>
      <w:pPr>
        <w:pStyle w:val="ListParagraph"/>
        <w:numPr>
          <w:ilvl w:val="0"/>
          <w:numId w:val="2"/>
        </w:numPr>
        <w:spacing w:after="40" w:before="40"/>
        <w:ind w:left="360" w:hanging="360"/>
      </w:pPr>
      <w:r>
        <w:rPr>
          <w:rFonts w:ascii="Arial" w:cs="Arial" w:eastAsia="Arial" w:hAnsi="Arial"/>
          <w:color w:val="0C1B2E"/>
          <w:sz w:val="20"/>
          <w:szCs w:val="20"/>
        </w:rPr>
        <w:t xml:space="preserve">API publique documentée (OpenAPI / Swagger) pour les clients EY</w:t>
      </w:r>
    </w:p>
    <w:p>
      <w:pPr>
        <w:pStyle w:val="ListParagraph"/>
        <w:numPr>
          <w:ilvl w:val="0"/>
          <w:numId w:val="2"/>
        </w:numPr>
        <w:spacing w:after="40" w:before="40"/>
        <w:ind w:left="360" w:hanging="360"/>
      </w:pPr>
      <w:r>
        <w:rPr>
          <w:rFonts w:ascii="Arial" w:cs="Arial" w:eastAsia="Arial" w:hAnsi="Arial"/>
          <w:color w:val="0C1B2E"/>
          <w:sz w:val="20"/>
          <w:szCs w:val="20"/>
        </w:rPr>
        <w:t xml:space="preserve">Module de détection automatique de fraude assurantielle via ML sur les séries d'anomalies</w:t>
      </w:r>
    </w:p>
    <w:p>
      <w:pPr>
        <w:pStyle w:val="Heading3"/>
        <w:spacing w:after="80" w:before="240"/>
      </w:pPr>
      <w:r>
        <w:rPr>
          <w:rFonts w:ascii="Arial" w:cs="Arial" w:eastAsia="Arial" w:hAnsi="Arial"/>
          <w:b/>
          <w:bCs/>
          <w:color w:val="2E2E38"/>
          <w:sz w:val="22"/>
          <w:szCs w:val="22"/>
        </w:rPr>
        <w:t xml:space="preserve">Long terme</w:t>
      </w:r>
    </w:p>
    <w:p>
      <w:pPr>
        <w:pStyle w:val="ListParagraph"/>
        <w:numPr>
          <w:ilvl w:val="0"/>
          <w:numId w:val="2"/>
        </w:numPr>
        <w:spacing w:after="40" w:before="40"/>
        <w:ind w:left="360" w:hanging="360"/>
      </w:pPr>
      <w:r>
        <w:rPr>
          <w:rFonts w:ascii="Arial" w:cs="Arial" w:eastAsia="Arial" w:hAnsi="Arial"/>
          <w:color w:val="0C1B2E"/>
          <w:sz w:val="20"/>
          <w:szCs w:val="20"/>
        </w:rPr>
        <w:t xml:space="preserve">Rapport automatique de due diligence généré par LLM pour les projets de fusions-acquisitions</w:t>
      </w:r>
    </w:p>
    <w:p>
      <w:pPr>
        <w:pStyle w:val="ListParagraph"/>
        <w:numPr>
          <w:ilvl w:val="0"/>
          <w:numId w:val="2"/>
        </w:numPr>
        <w:spacing w:after="40" w:before="40"/>
        <w:ind w:left="360" w:hanging="360"/>
      </w:pPr>
      <w:r>
        <w:rPr>
          <w:rFonts w:ascii="Arial" w:cs="Arial" w:eastAsia="Arial" w:hAnsi="Arial"/>
          <w:color w:val="0C1B2E"/>
          <w:sz w:val="20"/>
          <w:szCs w:val="20"/>
        </w:rPr>
        <w:t xml:space="preserve">Comparaison internationale avec les marchés MENA (Middle East &amp; North Africa)</w:t>
      </w:r>
    </w:p>
    <w:p>
      <w:pPr>
        <w:pStyle w:val="ListParagraph"/>
        <w:numPr>
          <w:ilvl w:val="0"/>
          <w:numId w:val="2"/>
        </w:numPr>
        <w:spacing w:after="40" w:before="40"/>
        <w:ind w:left="360" w:hanging="360"/>
      </w:pPr>
      <w:r>
        <w:rPr>
          <w:rFonts w:ascii="Arial" w:cs="Arial" w:eastAsia="Arial" w:hAnsi="Arial"/>
          <w:color w:val="0C1B2E"/>
          <w:sz w:val="20"/>
          <w:szCs w:val="20"/>
        </w:rPr>
        <w:t xml:space="preserve">Intégration des données microéconomiques granulaires (sinistres par branche et région)</w:t>
      </w:r>
    </w:p>
    <w:p>
      <w:pPr>
        <w:pBdr>
          <w:bottom w:val="single" w:color="DDE2EC" w:sz="1"/>
        </w:pBdr>
        <w:spacing w:after="200" w:before="200"/>
      </w:pPr>
      <w:r>
        <w:t xml:space="preserve"/>
      </w:r>
    </w:p>
    <w:p>
      <w:pPr>
        <w:spacing w:after="0" w:before="200"/>
      </w:pPr>
      <w:r>
        <w:t xml:space="preserve"/>
      </w:r>
    </w:p>
    <w:p>
      <w:pPr>
        <w:pStyle w:val="Heading3"/>
        <w:spacing w:after="80" w:before="240"/>
      </w:pPr>
      <w:r>
        <w:rPr>
          <w:rFonts w:ascii="Arial" w:cs="Arial" w:eastAsia="Arial" w:hAnsi="Arial"/>
          <w:b/>
          <w:bCs/>
          <w:color w:val="2E2E38"/>
          <w:sz w:val="22"/>
          <w:szCs w:val="22"/>
        </w:rPr>
        <w:t xml:space="preserve">Conclusion</w:t>
      </w:r>
    </w:p>
    <w:p>
      <w:pPr>
        <w:spacing w:after="80" w:before="60"/>
      </w:pPr>
      <w:r>
        <w:rPr>
          <w:rFonts w:ascii="Arial" w:cs="Arial" w:eastAsia="Arial" w:hAnsi="Arial"/>
          <w:color w:val="0C1B2E"/>
          <w:sz w:val="20"/>
          <w:szCs w:val="20"/>
        </w:rPr>
        <w:t xml:space="preserve">Le projet FS Market Intelligence démontre qu'une petite équipe d'ingénieurs peut construire, en quelques mois, une plateforme d'intelligence marché qui remplace plusieurs jours de travail manuel hebdomadaires. L'automatisation intégrale — du scraping à la visualisation — est rendue possible par la combinaison rigoureuse de bibliothèques Python matures (Selenium, pdfplumber, Flask) et d'une architecture frontend moderne (React + Vite).</w:t>
      </w:r>
    </w:p>
    <w:p>
      <w:pPr>
        <w:spacing w:after="80" w:before="60"/>
      </w:pPr>
      <w:r>
        <w:rPr>
          <w:rFonts w:ascii="Arial" w:cs="Arial" w:eastAsia="Arial" w:hAnsi="Arial"/>
          <w:color w:val="0C1B2E"/>
          <w:sz w:val="20"/>
          <w:szCs w:val="20"/>
        </w:rPr>
        <w:t xml:space="preserve">La valeur différenciante du projet réside dans trois choix techniques fondamentaux : le système de détection PDF multi-couches (scoring pondéré + pré-filtre required patterns) qui résout l'hétérogénéité structurelle des rapports tunisiens, le pipeline d'audit qualité en 6 étapes qui quantifie la fiabilité des données extraites, et l'intégration d'un chatbot IA garantissant la non-hallucination en s'appuyant exclusivement sur des requêtes SQL vérifiées.</w:t>
      </w:r>
    </w:p>
    <w:p>
      <w:pPr>
        <w:spacing w:after="0" w:before="300"/>
      </w:pPr>
      <w:r>
        <w:t xml:space="preserve"/>
      </w:r>
    </w:p>
    <w:p>
      <w:pPr>
        <w:shd w:fill="2E2E38" w:color="auto" w:val="clear"/>
        <w:spacing w:before="200"/>
      </w:pPr>
      <w:r>
        <w:rPr>
          <w:rFonts w:ascii="Arial" w:cs="Arial" w:eastAsia="Arial" w:hAnsi="Arial"/>
          <w:b/>
          <w:bCs/>
          <w:color w:val="FFE600"/>
          <w:sz w:val="28"/>
          <w:szCs w:val="28"/>
        </w:rPr>
        <w:t xml:space="preserve">  EY  </w:t>
      </w:r>
      <w:r>
        <w:rPr>
          <w:rFonts w:ascii="Arial" w:cs="Arial" w:eastAsia="Arial" w:hAnsi="Arial"/>
          <w:color w:val="AAAAAA"/>
          <w:sz w:val="18"/>
          <w:szCs w:val="18"/>
        </w:rPr>
        <w:t xml:space="preserve">  FS Market Intelligence · Documentation Technique · PFE 2025-2026 · Confidentiel EY  </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rPr>
      <w:rFonts w:ascii="Arial" w:cs="Arial" w:eastAsia="Arial" w:hAnsi="Arial"/>
      <w:color w:val="0C1B2E"/>
      <w:sz w:val="20"/>
      <w:szCs w:val="20"/>
    </w:rPr>
  </w:style>
  <w:style w:type="paragraph" w:styleId="Heading1">
    <w:name w:val="Heading1"/>
    <w:basedOn w:val="Normal"/>
    <w:next w:val="Normal"/>
    <w:rPr>
      <w:rFonts w:ascii="Arial" w:cs="Arial" w:eastAsia="Arial" w:hAnsi="Arial"/>
      <w:b/>
      <w:bCs/>
      <w:color w:val="FFFFFF"/>
      <w:sz w:val="28"/>
      <w:szCs w:val="28"/>
    </w:rPr>
  </w:style>
  <w:style w:type="paragraph" w:styleId="Heading2">
    <w:name w:val="Heading2"/>
    <w:basedOn w:val="Normal"/>
    <w:next w:val="Normal"/>
    <w:rPr>
      <w:rFonts w:ascii="Arial" w:cs="Arial" w:eastAsia="Arial" w:hAnsi="Arial"/>
      <w:b/>
      <w:bCs/>
      <w:color w:val="2E2E38"/>
      <w:sz w:val="24"/>
      <w:szCs w:val="24"/>
    </w:rPr>
  </w:style>
  <w:style w:type="paragraph" w:styleId="Heading3">
    <w:name w:val="Heading3"/>
    <w:basedOn w:val="Normal"/>
    <w:next w:val="Normal"/>
    <w:rPr>
      <w:rFonts w:ascii="Arial" w:cs="Arial" w:eastAsia="Arial" w:hAnsi="Arial"/>
      <w:b/>
      <w:bCs/>
      <w:color w:val="2E2E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2026-07-26T14:20:21.002Z</dcterms:created>
  <dcterms:modified xsi:type="dcterms:W3CDTF">2026-07-26T14:20:21.005Z</dcterms:modified>
</cp:coreProperties>
</file>

<file path=docProps/custom.xml><?xml version="1.0" encoding="utf-8"?>
<Properties xmlns="http://schemas.openxmlformats.org/officeDocument/2006/custom-properties" xmlns:vt="http://schemas.openxmlformats.org/officeDocument/2006/docPropsVTypes"/>
</file>