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8"/>
        </w:rPr>
        <w:t>PERPUSKU</w:t>
      </w:r>
    </w:p>
    <w:p>
      <w:pPr>
        <w:pStyle w:val="Title"/>
      </w:pPr>
      <w:r>
        <w:t>Detail Desain UI/UX — Passport Travel UI</w:t>
      </w:r>
    </w:p>
    <w:p>
      <w:r>
        <w:t>Aplikasi desktop WPF (.NET 9) manajemen perpustakaan kampus. Tema: paspor / dokumen perjalanan — kertas, stempel tinta, stiker visa, ketikan mesin tik.</w:t>
      </w:r>
    </w:p>
    <w:p>
      <w:r>
        <w:t>Rev. 2.0 — Oktober 2026 (restyle Passport Travel UI; sebelumnya rev. 1.0 tema teal datar).</w:t>
      </w:r>
    </w:p>
    <w:p>
      <w:pPr>
        <w:pStyle w:val="Heading1"/>
      </w:pPr>
      <w:r>
        <w:t>1. Pendahuluan</w:t>
      </w:r>
    </w:p>
    <w:p>
      <w:pPr>
        <w:pStyle w:val="Heading2"/>
      </w:pPr>
      <w:r>
        <w:t>1.1 Tujuan desain</w:t>
      </w:r>
    </w:p>
    <w:p>
      <w:pPr>
        <w:pStyle w:val="ListBullet"/>
      </w:pPr>
      <w:r>
        <w:t>Rasa "dokumen resmi": halaman kertas hangat, rail navy seperti sampul paspor, aksen coral untuk aksi, merah tinta stempel untuk bahaya.</w:t>
      </w:r>
    </w:p>
    <w:p>
      <w:pPr>
        <w:pStyle w:val="ListBullet"/>
      </w:pPr>
      <w:r>
        <w:t>Konsisten di semua mesin: font Courier Prime di-embed dalam aplikasi (bukan bergantung font Windows).</w:t>
      </w:r>
    </w:p>
    <w:p>
      <w:pPr>
        <w:pStyle w:val="ListBullet"/>
      </w:pPr>
      <w:r>
        <w:t>Dua tema penuh (terang/gelap) dari satu set token; grafik dan PDF menyesuaikan.</w:t>
      </w:r>
    </w:p>
    <w:p>
      <w:pPr>
        <w:pStyle w:val="ListBullet"/>
      </w:pPr>
      <w:r>
        <w:t>Tanpa emoji dan tanpa glif ikon font sistem — seluruh ikon adalah geometri garis Lucide.</w:t>
      </w:r>
    </w:p>
    <w:p>
      <w:pPr>
        <w:pStyle w:val="Heading2"/>
      </w:pPr>
      <w:r>
        <w:t>1.2 Pembeda dari referensi SISMA</w:t>
      </w:r>
    </w:p>
    <w:p>
      <w:pPr>
        <w:pStyle w:val="ListBullet"/>
      </w:pPr>
      <w:r>
        <w:t>SISMA: tema kampus teal-hijau datar, Segoe UI + glif ikon font. PerpusKu rev.2: tema dokumen paspor, Courier Prime, ikon geometri Lucide.</w:t>
      </w:r>
    </w:p>
    <w:p>
      <w:pPr>
        <w:pStyle w:val="ListBullet"/>
      </w:pPr>
      <w:r>
        <w:t>Permukaan gelap PerpusKu bukan abu netral: maroon tinta (#5C0A0A) di atas arang (#0F0F0F) — "stempel basah di kertas gelap".</w:t>
      </w:r>
    </w:p>
    <w:p>
      <w:pPr>
        <w:pStyle w:val="ListBullet"/>
      </w:pPr>
      <w:r>
        <w:t>Kartu tampak seperti stiker visa: sudut 8px, stroke 1px, bayangan tipis; pill status dan indikator aktif menyerupai cap bulat.</w:t>
      </w:r>
    </w:p>
    <w:p>
      <w:pPr>
        <w:pStyle w:val="Heading1"/>
      </w:pPr>
      <w:r>
        <w:t>2. Design System</w:t>
      </w:r>
    </w:p>
    <w:p>
      <w:pPr>
        <w:pStyle w:val="Heading2"/>
      </w:pPr>
      <w:r>
        <w:t>2.1 Palet warna (token)</w:t>
      </w:r>
    </w:p>
    <w:p>
      <w:r>
        <w:t>Cahaya: palet resmi DESIGN.md (kertas #F5F2E9, coral #FF7F50, navy #1A237E, tinta #B71C1C). Gelap: palet arang-emas-maroon; semua nilai lain adalah turunan (shade/tint) dari 6 warna induk — tidak ada warna di luar palet.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Token (x:Key)</w:t>
            </w:r>
          </w:p>
        </w:tc>
        <w:tc>
          <w:tcPr>
            <w:tcW w:type="dxa" w:w="216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Terang</w:t>
            </w:r>
          </w:p>
        </w:tc>
        <w:tc>
          <w:tcPr>
            <w:tcW w:type="dxa" w:w="216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Fungsi</w:t>
            </w:r>
          </w:p>
        </w:tc>
        <w:tc>
          <w:tcPr>
            <w:tcW w:type="dxa" w:w="216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Gelap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BgBrush</w:t>
            </w:r>
          </w:p>
        </w:tc>
        <w:tc>
          <w:tcPr>
            <w:tcW w:type="dxa" w:w="2160"/>
            <w:shd w:val="clear" w:fill="F5F2E9"/>
          </w:tcPr>
          <w:p>
            <w:r>
              <w:rPr>
                <w:rFonts w:ascii="Courier New" w:hAnsi="Courier New"/>
                <w:sz w:val="18"/>
              </w:rPr>
              <w:t>#F5F2E9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Latar halaman</w:t>
            </w:r>
          </w:p>
        </w:tc>
        <w:tc>
          <w:tcPr>
            <w:tcW w:type="dxa" w:w="2160"/>
            <w:shd w:val="clear" w:fill="0F0F0F"/>
          </w:tcPr>
          <w:p>
            <w:r>
              <w:rPr>
                <w:rFonts w:ascii="Courier New" w:hAnsi="Courier New"/>
                <w:sz w:val="18"/>
              </w:rPr>
              <w:t>#0F0F0F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SurfaceBrush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rFonts w:ascii="Courier New" w:hAnsi="Courier New"/>
                <w:sz w:val="18"/>
              </w:rPr>
              <w:t>#FFFFFF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Permukaan kartu/dialog</w:t>
            </w:r>
          </w:p>
        </w:tc>
        <w:tc>
          <w:tcPr>
            <w:tcW w:type="dxa" w:w="2160"/>
            <w:shd w:val="clear" w:fill="5C0A0A"/>
          </w:tcPr>
          <w:p>
            <w:r>
              <w:rPr>
                <w:rFonts w:ascii="Courier New" w:hAnsi="Courier New"/>
                <w:sz w:val="18"/>
              </w:rPr>
              <w:t>#5C0A0A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SurfaceAltBrush</w:t>
            </w:r>
          </w:p>
        </w:tc>
        <w:tc>
          <w:tcPr>
            <w:tcW w:type="dxa" w:w="2160"/>
            <w:shd w:val="clear" w:fill="EFEADC"/>
          </w:tcPr>
          <w:p>
            <w:r>
              <w:rPr>
                <w:rFonts w:ascii="Courier New" w:hAnsi="Courier New"/>
                <w:sz w:val="18"/>
              </w:rPr>
              <w:t>#EFEADC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Header tabel, hover halus</w:t>
            </w:r>
          </w:p>
        </w:tc>
        <w:tc>
          <w:tcPr>
            <w:tcW w:type="dxa" w:w="2160"/>
            <w:shd w:val="clear" w:fill="701414"/>
          </w:tcPr>
          <w:p>
            <w:r>
              <w:rPr>
                <w:rFonts w:ascii="Courier New" w:hAnsi="Courier New"/>
                <w:sz w:val="18"/>
              </w:rPr>
              <w:t>#701414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BorderBrush</w:t>
            </w:r>
          </w:p>
        </w:tc>
        <w:tc>
          <w:tcPr>
            <w:tcW w:type="dxa" w:w="2160"/>
            <w:shd w:val="clear" w:fill="DCD5C4"/>
          </w:tcPr>
          <w:p>
            <w:r>
              <w:rPr>
                <w:rFonts w:ascii="Courier New" w:hAnsi="Courier New"/>
                <w:sz w:val="18"/>
              </w:rPr>
              <w:t>#DCD5C4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Stroke 1px kartu/input</w:t>
            </w:r>
          </w:p>
        </w:tc>
        <w:tc>
          <w:tcPr>
            <w:tcW w:type="dxa" w:w="2160"/>
            <w:shd w:val="clear" w:fill="4A4A4A"/>
          </w:tcPr>
          <w:p>
            <w:r>
              <w:rPr>
                <w:rFonts w:ascii="Courier New" w:hAnsi="Courier New"/>
                <w:sz w:val="18"/>
              </w:rPr>
              <w:t>#4A4A4A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TextBrush</w:t>
            </w:r>
          </w:p>
        </w:tc>
        <w:tc>
          <w:tcPr>
            <w:tcW w:type="dxa" w:w="2160"/>
            <w:shd w:val="clear" w:fill="2D2D2D"/>
          </w:tcPr>
          <w:p>
            <w:r>
              <w:rPr>
                <w:rFonts w:ascii="Courier New" w:hAnsi="Courier New"/>
                <w:sz w:val="18"/>
              </w:rPr>
              <w:t>#2D2D2D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Teks utama</w:t>
            </w:r>
          </w:p>
        </w:tc>
        <w:tc>
          <w:tcPr>
            <w:tcW w:type="dxa" w:w="2160"/>
            <w:shd w:val="clear" w:fill="D4D4D4"/>
          </w:tcPr>
          <w:p>
            <w:r>
              <w:rPr>
                <w:rFonts w:ascii="Courier New" w:hAnsi="Courier New"/>
                <w:sz w:val="18"/>
              </w:rPr>
              <w:t>#D4D4D4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TextMutedBrush</w:t>
            </w:r>
          </w:p>
        </w:tc>
        <w:tc>
          <w:tcPr>
            <w:tcW w:type="dxa" w:w="2160"/>
            <w:shd w:val="clear" w:fill="6E6A5F"/>
          </w:tcPr>
          <w:p>
            <w:r>
              <w:rPr>
                <w:rFonts w:ascii="Courier New" w:hAnsi="Courier New"/>
                <w:sz w:val="18"/>
              </w:rPr>
              <w:t>#6E6A5F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Teks sekunder</w:t>
            </w:r>
          </w:p>
        </w:tc>
        <w:tc>
          <w:tcPr>
            <w:tcW w:type="dxa" w:w="2160"/>
            <w:shd w:val="clear" w:fill="8F8F8F"/>
          </w:tcPr>
          <w:p>
            <w:r>
              <w:rPr>
                <w:rFonts w:ascii="Courier New" w:hAnsi="Courier New"/>
                <w:sz w:val="18"/>
              </w:rPr>
              <w:t>#8F8F8F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PrimaryBrush</w:t>
            </w:r>
          </w:p>
        </w:tc>
        <w:tc>
          <w:tcPr>
            <w:tcW w:type="dxa" w:w="2160"/>
            <w:shd w:val="clear" w:fill="FF7F50"/>
          </w:tcPr>
          <w:p>
            <w:r>
              <w:rPr>
                <w:rFonts w:ascii="Courier New" w:hAnsi="Courier New"/>
                <w:sz w:val="18"/>
              </w:rPr>
              <w:t>#FF7F50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CTA, elemen interaktif</w:t>
            </w:r>
          </w:p>
        </w:tc>
        <w:tc>
          <w:tcPr>
            <w:tcW w:type="dxa" w:w="2160"/>
            <w:shd w:val="clear" w:fill="FF2D2D"/>
          </w:tcPr>
          <w:p>
            <w:r>
              <w:rPr>
                <w:rFonts w:ascii="Courier New" w:hAnsi="Courier New"/>
                <w:sz w:val="18"/>
              </w:rPr>
              <w:t>#FF2D2D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PrimaryHover</w:t>
            </w:r>
          </w:p>
        </w:tc>
        <w:tc>
          <w:tcPr>
            <w:tcW w:type="dxa" w:w="2160"/>
            <w:shd w:val="clear" w:fill="EA754A"/>
          </w:tcPr>
          <w:p>
            <w:r>
              <w:rPr>
                <w:rFonts w:ascii="Courier New" w:hAnsi="Courier New"/>
                <w:sz w:val="18"/>
              </w:rPr>
              <w:t>#EA754A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CTA di-hover (−8%)</w:t>
            </w:r>
          </w:p>
        </w:tc>
        <w:tc>
          <w:tcPr>
            <w:tcW w:type="dxa" w:w="2160"/>
            <w:shd w:val="clear" w:fill="EA2929"/>
          </w:tcPr>
          <w:p>
            <w:r>
              <w:rPr>
                <w:rFonts w:ascii="Courier New" w:hAnsi="Courier New"/>
                <w:sz w:val="18"/>
              </w:rPr>
              <w:t>#EA2929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PrimarySoft</w:t>
            </w:r>
          </w:p>
        </w:tc>
        <w:tc>
          <w:tcPr>
            <w:tcW w:type="dxa" w:w="2160"/>
            <w:shd w:val="clear" w:fill="FFE3D8"/>
          </w:tcPr>
          <w:p>
            <w:r>
              <w:rPr>
                <w:rFonts w:ascii="Courier New" w:hAnsi="Courier New"/>
                <w:sz w:val="18"/>
              </w:rPr>
              <w:t>#FFE3D8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Latar lunak CTA</w:t>
            </w:r>
          </w:p>
        </w:tc>
        <w:tc>
          <w:tcPr>
            <w:tcW w:type="dxa" w:w="2160"/>
            <w:shd w:val="clear" w:fill="4A1212"/>
          </w:tcPr>
          <w:p>
            <w:r>
              <w:rPr>
                <w:rFonts w:ascii="Courier New" w:hAnsi="Courier New"/>
                <w:sz w:val="18"/>
              </w:rPr>
              <w:t>#4A1212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OnPrimaryBrush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rFonts w:ascii="Courier New" w:hAnsi="Courier New"/>
                <w:sz w:val="18"/>
              </w:rPr>
              <w:t>#FFFFFF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Teks di atas CTA</w:t>
            </w:r>
          </w:p>
        </w:tc>
        <w:tc>
          <w:tcPr>
            <w:tcW w:type="dxa" w:w="2160"/>
            <w:shd w:val="clear" w:fill="0F0F0F"/>
          </w:tcPr>
          <w:p>
            <w:r>
              <w:rPr>
                <w:rFonts w:ascii="Courier New" w:hAnsi="Courier New"/>
                <w:sz w:val="18"/>
              </w:rPr>
              <w:t>#0F0F0F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AccentBrush</w:t>
            </w:r>
          </w:p>
        </w:tc>
        <w:tc>
          <w:tcPr>
            <w:tcW w:type="dxa" w:w="2160"/>
            <w:shd w:val="clear" w:fill="1A237E"/>
          </w:tcPr>
          <w:p>
            <w:r>
              <w:rPr>
                <w:rFonts w:ascii="Courier New" w:hAnsi="Courier New"/>
                <w:sz w:val="18"/>
              </w:rPr>
              <w:t>#1A237E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Aksen navy</w:t>
            </w:r>
          </w:p>
        </w:tc>
        <w:tc>
          <w:tcPr>
            <w:tcW w:type="dxa" w:w="2160"/>
            <w:shd w:val="clear" w:fill="E8C547"/>
          </w:tcPr>
          <w:p>
            <w:r>
              <w:rPr>
                <w:rFonts w:ascii="Courier New" w:hAnsi="Courier New"/>
                <w:sz w:val="18"/>
              </w:rPr>
              <w:t>#E8C547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SuccessBrush</w:t>
            </w:r>
          </w:p>
        </w:tc>
        <w:tc>
          <w:tcPr>
            <w:tcW w:type="dxa" w:w="2160"/>
            <w:shd w:val="clear" w:fill="1A237E"/>
          </w:tcPr>
          <w:p>
            <w:r>
              <w:rPr>
                <w:rFonts w:ascii="Courier New" w:hAnsi="Courier New"/>
                <w:sz w:val="18"/>
              </w:rPr>
              <w:t>#1A237E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Sukses = biru stempel resmi</w:t>
            </w:r>
          </w:p>
        </w:tc>
        <w:tc>
          <w:tcPr>
            <w:tcW w:type="dxa" w:w="2160"/>
            <w:shd w:val="clear" w:fill="E8C547"/>
          </w:tcPr>
          <w:p>
            <w:r>
              <w:rPr>
                <w:rFonts w:ascii="Courier New" w:hAnsi="Courier New"/>
                <w:sz w:val="18"/>
              </w:rPr>
              <w:t>#E8C547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WarnBrush</w:t>
            </w:r>
          </w:p>
        </w:tc>
        <w:tc>
          <w:tcPr>
            <w:tcW w:type="dxa" w:w="2160"/>
            <w:shd w:val="clear" w:fill="FF7F50"/>
          </w:tcPr>
          <w:p>
            <w:r>
              <w:rPr>
                <w:rFonts w:ascii="Courier New" w:hAnsi="Courier New"/>
                <w:sz w:val="18"/>
              </w:rPr>
              <w:t>#FF7F50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Peringatan</w:t>
            </w:r>
          </w:p>
        </w:tc>
        <w:tc>
          <w:tcPr>
            <w:tcW w:type="dxa" w:w="2160"/>
            <w:shd w:val="clear" w:fill="F3793A"/>
          </w:tcPr>
          <w:p>
            <w:r>
              <w:rPr>
                <w:rFonts w:ascii="Courier New" w:hAnsi="Courier New"/>
                <w:sz w:val="18"/>
              </w:rPr>
              <w:t>#F3793A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DangerBrush</w:t>
            </w:r>
          </w:p>
        </w:tc>
        <w:tc>
          <w:tcPr>
            <w:tcW w:type="dxa" w:w="2160"/>
            <w:shd w:val="clear" w:fill="B71C1C"/>
          </w:tcPr>
          <w:p>
            <w:r>
              <w:rPr>
                <w:rFonts w:ascii="Courier New" w:hAnsi="Courier New"/>
                <w:sz w:val="18"/>
              </w:rPr>
              <w:t>#B71C1C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Bahaya / terlambat / tinta stempel</w:t>
            </w:r>
          </w:p>
        </w:tc>
        <w:tc>
          <w:tcPr>
            <w:tcW w:type="dxa" w:w="2160"/>
            <w:shd w:val="clear" w:fill="FF2D2D"/>
          </w:tcPr>
          <w:p>
            <w:r>
              <w:rPr>
                <w:rFonts w:ascii="Courier New" w:hAnsi="Courier New"/>
                <w:sz w:val="18"/>
              </w:rPr>
              <w:t>#FF2D2D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RailBrush</w:t>
            </w:r>
          </w:p>
        </w:tc>
        <w:tc>
          <w:tcPr>
            <w:tcW w:type="dxa" w:w="2160"/>
            <w:shd w:val="clear" w:fill="1A237E"/>
          </w:tcPr>
          <w:p>
            <w:r>
              <w:rPr>
                <w:rFonts w:ascii="Courier New" w:hAnsi="Courier New"/>
                <w:sz w:val="18"/>
              </w:rPr>
              <w:t>#1A237E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Bilah navigasi</w:t>
            </w:r>
          </w:p>
        </w:tc>
        <w:tc>
          <w:tcPr>
            <w:tcW w:type="dxa" w:w="2160"/>
            <w:shd w:val="clear" w:fill="141414"/>
          </w:tcPr>
          <w:p>
            <w:r>
              <w:rPr>
                <w:rFonts w:ascii="Courier New" w:hAnsi="Courier New"/>
                <w:sz w:val="18"/>
              </w:rPr>
              <w:t>#141414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RailActiveBrush</w:t>
            </w:r>
          </w:p>
        </w:tc>
        <w:tc>
          <w:tcPr>
            <w:tcW w:type="dxa" w:w="2160"/>
            <w:shd w:val="clear" w:fill="2C369F"/>
          </w:tcPr>
          <w:p>
            <w:r>
              <w:rPr>
                <w:rFonts w:ascii="Courier New" w:hAnsi="Courier New"/>
                <w:sz w:val="18"/>
              </w:rPr>
              <w:t>#2C369F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Item nav aktif</w:t>
            </w:r>
          </w:p>
        </w:tc>
        <w:tc>
          <w:tcPr>
            <w:tcW w:type="dxa" w:w="2160"/>
            <w:shd w:val="clear" w:fill="5C0A0A"/>
          </w:tcPr>
          <w:p>
            <w:r>
              <w:rPr>
                <w:rFonts w:ascii="Courier New" w:hAnsi="Courier New"/>
                <w:sz w:val="18"/>
              </w:rPr>
              <w:t>#5C0A0A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HeroBrush</w:t>
            </w:r>
          </w:p>
        </w:tc>
        <w:tc>
          <w:tcPr>
            <w:tcW w:type="dxa" w:w="2160"/>
            <w:shd w:val="clear" w:fill="121752"/>
          </w:tcPr>
          <w:p>
            <w:r>
              <w:rPr>
                <w:rFonts w:ascii="Courier New" w:hAnsi="Courier New"/>
                <w:sz w:val="18"/>
              </w:rPr>
              <w:t>gradien #121752→#1A237E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8"/>
              </w:rPr>
              <w:t>Panel sambutan login/beranda</w:t>
            </w:r>
          </w:p>
        </w:tc>
        <w:tc>
          <w:tcPr>
            <w:tcW w:type="dxa" w:w="2160"/>
            <w:shd w:val="clear" w:fill="0F0F0F"/>
          </w:tcPr>
          <w:p>
            <w:r>
              <w:rPr>
                <w:rFonts w:ascii="Courier New" w:hAnsi="Courier New"/>
                <w:sz w:val="18"/>
              </w:rPr>
              <w:t>gradien #0F0F0F→#5C0A0A</w:t>
            </w:r>
          </w:p>
        </w:tc>
      </w:tr>
    </w:tbl>
    <w:p>
      <w:r>
        <w:rPr>
          <w:i/>
        </w:rPr>
        <w:t>Catatan semantik: Success memakai navy/emas (bukan hijau) karena palet induk tidak punya hijau; Warn gelap adalah campuan coral→merah #F3793A; OnPrimary gelap hitam arang — teks hitam di atas merah lebih kontras daripada putih.</w:t>
      </w:r>
    </w:p>
    <w:p>
      <w:pPr>
        <w:pStyle w:val="Heading2"/>
      </w:pPr>
      <w:r>
        <w:t>2.2 Tipografi</w:t>
      </w:r>
    </w:p>
    <w:p>
      <w:r>
        <w:t>Satu keluarga untuk semua: Courier Prime (Regular/Bold/Italic/BoldItalic, SIL OFL), di-embed via pack URI dengan fallback "Courier New". Gaya mesin tik = identitas paspor.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Peran</w:t>
            </w:r>
          </w:p>
        </w:tc>
        <w:tc>
          <w:tcPr>
            <w:tcW w:type="dxa" w:w="288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Gaya</w:t>
            </w:r>
          </w:p>
        </w:tc>
        <w:tc>
          <w:tcPr>
            <w:tcW w:type="dxa" w:w="288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Ukuran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Judul halaman (H1)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Bold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36 px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Sub-judul / kartu besar (H2)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Bold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24 px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Body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14 px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Label UI / caption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Medium, letterSpacing halus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12–14 px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Nilai teknis (kode buku, ISBN, tanggal)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Regular (monospace alami)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>14 px</w:t>
            </w:r>
          </w:p>
        </w:tc>
      </w:tr>
    </w:tbl>
    <w:p>
      <w:r>
        <w:t>Deviasi tercatat dari DESIGN.md web (body 16px): di WPF, Courier monospace lebar dan DataGrid padat, maka body 14px. Judul hero clamp(2.5rem,5vw,4rem) dipetakan ke ukuran tetap karena jendela fixed-size.</w:t>
      </w:r>
    </w:p>
    <w:p>
      <w:pPr>
        <w:pStyle w:val="Heading2"/>
      </w:pPr>
      <w:r>
        <w:t>2.3 Bentuk, jarak, dan bayangan</w:t>
      </w:r>
    </w:p>
    <w:p>
      <w:pPr>
        <w:pStyle w:val="ListBullet"/>
      </w:pPr>
      <w:r>
        <w:t>Radius sudut: Sm 4, Md 8, Lg 8 (basis 8px, tidak ada sudut besar).</w:t>
      </w:r>
    </w:p>
    <w:p>
      <w:pPr>
        <w:pStyle w:val="ListBullet"/>
      </w:pPr>
      <w:r>
        <w:t>Bayangan kartu: DropShadow blur 12, depth 2, opacity 6% — setara 0 2px 12px rgba(0,0,0,.06).</w:t>
      </w:r>
    </w:p>
    <w:p>
      <w:pPr>
        <w:pStyle w:val="ListBullet"/>
      </w:pPr>
      <w:r>
        <w:t>Bayangan dialog: blur 26, depth 4, opacity 30% + margin transparan 18px (jendela tanpa bingkai).</w:t>
      </w:r>
    </w:p>
    <w:p>
      <w:pPr>
        <w:pStyle w:val="ListBullet"/>
      </w:pPr>
      <w:r>
        <w:t>Ritm jarak berdasar 8px; margin konten jendela 28px; padding kartu 14–20px.</w:t>
      </w:r>
    </w:p>
    <w:p>
      <w:pPr>
        <w:pStyle w:val="ListBullet"/>
      </w:pPr>
      <w:r>
        <w:t>Tanpa hitam murni #000000 pada teks; arang #2D2D2D / #D4D4D4.</w:t>
      </w:r>
    </w:p>
    <w:p>
      <w:pPr>
        <w:pStyle w:val="Heading2"/>
      </w:pPr>
      <w:r>
        <w:t>2.4 Komponen</w:t>
      </w:r>
    </w:p>
    <w:p>
      <w:pPr>
        <w:pStyle w:val="ListBullet"/>
      </w:pPr>
      <w:r>
        <w:t>PrimaryButton: isi PrimaryBrush, radius 8, tinggi 40; hover gelap 8% + bayangan angkat; aktif turun 1px; teks OnPrimary. Tanpa glow.</w:t>
      </w:r>
    </w:p>
    <w:p>
      <w:pPr>
        <w:pStyle w:val="ListBullet"/>
      </w:pPr>
      <w:r>
        <w:t>GhostButton: outline 1.5px warna muted, teks warna utama, hover isi SurfaceAlt halus.</w:t>
      </w:r>
    </w:p>
    <w:p>
      <w:pPr>
        <w:pStyle w:val="ListBullet"/>
      </w:pPr>
      <w:r>
        <w:t>Kartu: SurfaceBrush + BorderBrush 1px + CardShadow + radius 8.</w:t>
      </w:r>
    </w:p>
    <w:p>
      <w:pPr>
        <w:pStyle w:val="ListBullet"/>
      </w:pPr>
      <w:r>
        <w:t>Input: label di atas, stroke 1px, focus ring luar 2px warna aksen (FocusVisualStyle CornerRadius 10, margin −4), teks error di bawah. Tanpa label mengambang. Catatan implementasi: TextBox/PasswordBox memakai template default WPF (template kustom punya bug pelipatan tinggi pada runtime .NET 9).</w:t>
      </w:r>
    </w:p>
    <w:p>
      <w:pPr>
        <w:pStyle w:val="ListBullet"/>
      </w:pPr>
      <w:r>
        <w:t>StatusPill: pil kecil (2/3 kata) — Dipinjam = soft navy/emas, Terlambat = soft merah, Jatuh tempo = soft amber.</w:t>
      </w:r>
    </w:p>
    <w:p>
      <w:pPr>
        <w:pStyle w:val="ListBullet"/>
      </w:pPr>
      <w:r>
        <w:t>SearchBox: sticky kiri toolbar, ikon kaca pembesar Lucide, Height 40.</w:t>
      </w:r>
    </w:p>
    <w:p>
      <w:pPr>
        <w:pStyle w:val="ListBullet"/>
      </w:pPr>
      <w:r>
        <w:t>PagerBar: kanan-bawah tabel — "1–12 dari 32", panah prev/next, nomor halaman; halaman aktif = teks bold + underline aksen.</w:t>
      </w:r>
    </w:p>
    <w:p>
      <w:pPr>
        <w:pStyle w:val="ListBullet"/>
      </w:pPr>
      <w:r>
        <w:t>StatCard: ikon 40px dalam kotak soft, angka besar bold, label, sublabel muted.</w:t>
      </w:r>
    </w:p>
    <w:p>
      <w:pPr>
        <w:pStyle w:val="ListBullet"/>
      </w:pPr>
      <w:r>
        <w:t>Nav rail: 76px ikon saja, dapat dilebarkan ke 248px (ikon + label) — tombol toggle di header; item aktif RailActiveBrush + teks putih.</w:t>
      </w:r>
    </w:p>
    <w:p>
      <w:pPr>
        <w:pStyle w:val="ListBullet"/>
      </w:pPr>
      <w:r>
        <w:t>Toast: kanan-bawah, kartu surface + stroke 1.5px warna aksen pesan + ikon Lucide; hilang otomatis.</w:t>
      </w:r>
    </w:p>
    <w:p>
      <w:pPr>
        <w:pStyle w:val="ListBullet"/>
      </w:pPr>
      <w:r>
        <w:t>Skeleton: shimmer persegi sesuai dimensi baris; tanpa spinner bundar.</w:t>
      </w:r>
    </w:p>
    <w:p>
      <w:pPr>
        <w:pStyle w:val="ListBullet"/>
      </w:pPr>
      <w:r>
        <w:t>Kosong: ikon besar + teks deskriptif + tombol aksi.</w:t>
      </w:r>
    </w:p>
    <w:p>
      <w:r>
        <w:t>Ikon: 29 geometri garis Lucide (v0.469.0, ISC) ditanam sebagai resource "Icon.&lt;nama&gt;" di Themes/Icons.xaml, digambar dengan Path stroke (tebal ±1.75, ujung rounded). Converter IconGeom memetakan kunci → Geometry agar ikon ikut tema.</w:t>
      </w:r>
    </w:p>
    <w:p>
      <w:pPr>
        <w:pStyle w:val="Heading1"/>
      </w:pPr>
      <w:r>
        <w:t>3. Layout Aplikasi</w:t>
      </w:r>
    </w:p>
    <w:p>
      <w:pPr>
        <w:pStyle w:val="Heading2"/>
      </w:pPr>
      <w:r>
        <w:t>3.1 Shell</w:t>
      </w:r>
    </w:p>
    <w:p>
      <w:pPr>
        <w:pStyle w:val="ListBullet"/>
      </w:pPr>
      <w:r>
        <w:t>Jendela 1360×820 (min 1100×680), judul "PerpusKu", WindowStyle normal.</w:t>
      </w:r>
    </w:p>
    <w:p>
      <w:pPr>
        <w:pStyle w:val="ListBullet"/>
      </w:pPr>
      <w:r>
        <w:t>Kolom 0: rail navigasi (bisa dilebarkan). Kolom 1: header halaman + konten.</w:t>
      </w:r>
    </w:p>
    <w:p>
      <w:pPr>
        <w:pStyle w:val="ListBullet"/>
      </w:pPr>
      <w:r>
        <w:t>Header: judul H1 26px + subtitle muted + tanggal hari ini + tombol ganti tema (ikon bulan/matahari Lucide).</w:t>
      </w:r>
    </w:p>
    <w:p>
      <w:pPr>
        <w:pStyle w:val="ListBullet"/>
      </w:pPr>
      <w:r>
        <w:t>Z-index WPF = urutan tumpuk: toast paling atas, modal dialog owner-window di atas segalanya.</w:t>
      </w:r>
    </w:p>
    <w:p>
      <w:pPr>
        <w:pStyle w:val="ListBullet"/>
      </w:pPr>
      <w:r>
        <w:t>Semua layout multi-kolom memakai Grid UniformGrid/WrapPanel yang melipat saat lebar turun — tanpa horizontal overflow.</w:t>
      </w:r>
    </w:p>
    <w:p>
      <w:pPr>
        <w:pStyle w:val="Heading2"/>
      </w:pPr>
      <w:r>
        <w:t>3.2 Menu per peran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Peran</w:t>
            </w:r>
          </w:p>
        </w:tc>
        <w:tc>
          <w:tcPr>
            <w:tcW w:type="dxa" w:w="432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Menu yang muncul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Admin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Beranda, Katalog Buku, Anggota, Meja Sirkulasi, Riwayat, Laporan, Pengaturan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Pustakawan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Beranda, Katalog Buku, Anggota, Meja Sirkulasi, Riwayat, Laporan, Pengaturan (tanpa kelola akun)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Pengunjung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Beranda, Katalog Buku (hanya-katalog), Pengaturan (profil saja)</w:t>
            </w:r>
          </w:p>
        </w:tc>
      </w:tr>
    </w:tbl>
    <w:p>
      <w:r>
        <w:t>Gerbang menu = SessionService.Can(Permission.*) — sama dengan pemeriksaan di repository (belum UI-only).</w:t>
      </w:r>
    </w:p>
    <w:p>
      <w:pPr>
        <w:pStyle w:val="Heading1"/>
      </w:pPr>
      <w:r>
        <w:t>4. Spesifikasi Halaman</w:t>
      </w:r>
    </w:p>
    <w:p>
      <w:pPr>
        <w:pStyle w:val="Heading2"/>
      </w:pPr>
      <w:r>
        <w:t>4.1 Halaman Masuk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159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59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A5F"/>
          <w:sz w:val="17"/>
        </w:rPr>
        <w:t>Gambar 4.1 — split-screen: hero navy kiri (merek + tagline + bar chart hiasan), formulir kertas kanan</w:t>
      </w:r>
    </w:p>
    <w:p>
      <w:pPr>
        <w:pStyle w:val="ListBullet"/>
      </w:pPr>
      <w:r>
        <w:t>Jendela tanpa bingkai (WindowStyle None + AllowsTransparency), 940×580, radius 8, margin transparan untuk bayangan.</w:t>
      </w:r>
    </w:p>
    <w:p>
      <w:pPr>
        <w:pStyle w:val="ListBullet"/>
      </w:pPr>
      <w:r>
        <w:t>Kiri HeroBrush: teks HeroText, bar chart dekoratif warna palet. Kanan: "Selamat datang" H1, input Username/Password, CTA coral lebar penuh, hint akun demo monospace.</w:t>
      </w:r>
    </w:p>
    <w:p>
      <w:pPr>
        <w:pStyle w:val="ListBullet"/>
      </w:pPr>
      <w:r>
        <w:t>Gagal login: teks error merah + tombol "Coba lagi" saat database belum siap.</w:t>
      </w:r>
    </w:p>
    <w:p>
      <w:pPr>
        <w:pStyle w:val="Heading2"/>
      </w:pPr>
      <w:r>
        <w:t>4.2 Beranda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528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52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A5F"/>
          <w:sz w:val="17"/>
        </w:rPr>
        <w:t>Gambar 4.2a — Beranda tema terang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528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52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A5F"/>
          <w:sz w:val="17"/>
        </w:rPr>
        <w:t>Gambar 4.2b — Beranda tema gelap (permukaan maroon tinta, aksen emas)</w:t>
      </w:r>
    </w:p>
    <w:p>
      <w:pPr>
        <w:pStyle w:val="ListBullet"/>
      </w:pPr>
      <w:r>
        <w:t>Banner sambutan HeroBrush: "Selamat pagi, {nama}" + hitungan (dipinjam / jatuh tempo / terlambat; angka berwarna soft-accent).</w:t>
      </w:r>
    </w:p>
    <w:p>
      <w:pPr>
        <w:pStyle w:val="ListBullet"/>
      </w:pPr>
      <w:r>
        <w:t>Baris 4 StatCard: judul buku, anggota aktif, sedang dipinjam, terlambat (ikon: library, users, clock, alert-triangle).</w:t>
      </w:r>
    </w:p>
    <w:p>
      <w:pPr>
        <w:pStyle w:val="ListBullet"/>
      </w:pPr>
      <w:r>
        <w:t>Grafik garis "Peminjaman 7 hari terakhir" + donut "Koleksi per kategori" — warna seri diambil dari token tema saat runtime (Palette/PaletteDark di DashboardViewModel).</w:t>
      </w:r>
    </w:p>
    <w:p>
      <w:pPr>
        <w:pStyle w:val="ListBullet"/>
      </w:pPr>
      <w:r>
        <w:t>Tombol "Buka meja sirkulasi" = CTA coral di banner.</w:t>
      </w:r>
    </w:p>
    <w:p>
      <w:pPr>
        <w:pStyle w:val="Heading2"/>
      </w:pPr>
      <w:r>
        <w:t>4.3 Katalog Buku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528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t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52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A5F"/>
          <w:sz w:val="17"/>
        </w:rPr>
        <w:t>Gambar 4.3 — grid kartu buku (mode Kartu)</w:t>
      </w:r>
    </w:p>
    <w:p>
      <w:pPr>
        <w:pStyle w:val="ListBullet"/>
      </w:pPr>
      <w:r>
        <w:t>Toolbar: SearchBox, filter kategori (ComboBox), centang "Hanya yang tersedia", segmen Kartu|Tabel, CTA "+ Tambah buku".</w:t>
      </w:r>
    </w:p>
    <w:p>
      <w:pPr>
        <w:pStyle w:val="ListBullet"/>
      </w:pPr>
      <w:r>
        <w:t>Mode Kartu: wrap panel kartu buku — kategori (caption berwarna), judul (H2 kecil), penulis, penerbit·tahun, footer: pill stok "2/3", kode buku, rak, ikon edit (pulpen) dan hapus (tempat sampah).</w:t>
      </w:r>
    </w:p>
    <w:p>
      <w:pPr>
        <w:pStyle w:val="ListBullet"/>
      </w:pPr>
      <w:r>
        <w:t>Mode Tabel: DataGrid dengan header uppercase muted + garis row BorderBrush.</w:t>
      </w:r>
    </w:p>
    <w:p>
      <w:pPr>
        <w:pStyle w:val="ListBullet"/>
      </w:pPr>
      <w:r>
        <w:t>Strip kiri setiap kartu = warna kategori (CategoryBrushConverter, ikut tema).</w:t>
      </w:r>
    </w:p>
    <w:p>
      <w:pPr>
        <w:pStyle w:val="Heading2"/>
      </w:pPr>
      <w:r>
        <w:t>4.4 Dialog Tambah/Ubah Buku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0737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_buk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073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A5F"/>
          <w:sz w:val="17"/>
        </w:rPr>
        <w:t>Gambar 4.4 — dialog modal, jendela tanpa bingkai + bayangan dalam</w:t>
      </w:r>
    </w:p>
    <w:p>
      <w:pPr>
        <w:pStyle w:val="ListBullet"/>
      </w:pPr>
      <w:r>
        <w:t>Grid 2 kolom field: Kode buku*, Kategori* (combobox), Judul* (lebar penuh), Penulis*, Penerbit, Tahun terbit, Jumlah eksemplar*, Rak.</w:t>
      </w:r>
    </w:p>
    <w:p>
      <w:pPr>
        <w:pStyle w:val="ListBullet"/>
      </w:pPr>
      <w:r>
        <w:t>Footer kanan: Batal (ghost) + Tambah buku (CTA). Validasi inline merah di bawah field.</w:t>
      </w:r>
    </w:p>
    <w:p>
      <w:pPr>
        <w:pStyle w:val="Heading2"/>
      </w:pPr>
      <w:r>
        <w:t>4.5 Anggota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528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ggo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52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A5F"/>
          <w:sz w:val="17"/>
        </w:rPr>
        <w:t>Gambar 4.5 — tabel anggota + pager</w:t>
      </w:r>
    </w:p>
    <w:p>
      <w:pPr>
        <w:pStyle w:val="ListBullet"/>
      </w:pPr>
      <w:r>
        <w:t>Toolbar: pencarian (nama/nomor/email), filter tipe, CTA "Daftarkan anggota".</w:t>
      </w:r>
    </w:p>
    <w:p>
      <w:pPr>
        <w:pStyle w:val="ListBullet"/>
      </w:pPr>
      <w:r>
        <w:t>Kolom: No. anggota, Nama+email, Tipe, Telepon, Terdaftar, Pinjaman ("2 aktif"), Aksi (edit/hapus).</w:t>
      </w:r>
    </w:p>
    <w:p>
      <w:pPr>
        <w:pStyle w:val="Heading2"/>
      </w:pPr>
      <w:r>
        <w:t>4.6 Meja Sirkulasi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528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kulas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52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A5F"/>
          <w:sz w:val="17"/>
        </w:rPr>
        <w:t>Gambar 4.6 — dua panel: pinjamkan (kiri) &amp; pengembalian/perpanjangan (kanan)</w:t>
      </w:r>
    </w:p>
    <w:p>
      <w:pPr>
        <w:pStyle w:val="ListBullet"/>
      </w:pPr>
      <w:r>
        <w:t>Kiri: form nomor anggota + kode buku, hint aturan dari tabel Pengaturan (denda/hari, lama pinjam), tombol Pinjamkan (disabled sampai valid) + Bersihkan.</w:t>
      </w:r>
    </w:p>
    <w:p>
      <w:pPr>
        <w:pStyle w:val="ListBullet"/>
      </w:pPr>
      <w:r>
        <w:t>Kanan: pencarian pinjaman aktif; kartu hasil memuat judul, peminjam, pill status (Terlambat/Jatuh tempo hari ini), info denda, tombol Perpanjang (ghost) + Kembalikan (CTA).</w:t>
      </w:r>
    </w:p>
    <w:p>
      <w:pPr>
        <w:pStyle w:val="ListBullet"/>
      </w:pPr>
      <w:r>
        <w:t>Sukses → toast + reload; error stored-procedure tampil sebagai toast merah.</w:t>
      </w:r>
    </w:p>
    <w:p>
      <w:pPr>
        <w:pStyle w:val="Heading2"/>
      </w:pPr>
      <w:r>
        <w:t>4.7 Riwayat</w:t>
      </w:r>
    </w:p>
    <w:p>
      <w:r>
        <w:t>Tabel seluruh transaksi (vw_PeminjamanDetail): tanggal, buku, anggota, status, denda; filter status Dipinjam|Terlambat|Dikembalikan|semua + rentang tanggal; baris terlambat diberi pill merah. Tanpa screenshot (konten tabel sama dengan 4.5).</w:t>
      </w:r>
    </w:p>
    <w:p>
      <w:pPr>
        <w:pStyle w:val="Heading2"/>
      </w:pPr>
      <w:r>
        <w:t>4.8 Laporan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528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por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52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A5F"/>
          <w:sz w:val="17"/>
        </w:rPr>
        <w:t>Gambar 4.8 — ringkasan periode + ekspor PDF</w:t>
      </w:r>
    </w:p>
    <w:p>
      <w:pPr>
        <w:pStyle w:val="ListBullet"/>
      </w:pPr>
      <w:r>
        <w:t>Kontrol periode: Tanggal dari/sampai + pintasan ghost "7 hari | 30 hari | Bulan ini" + Terapkan; CTA "Ekspor PDF".</w:t>
      </w:r>
    </w:p>
    <w:p>
      <w:pPr>
        <w:pStyle w:val="ListBullet"/>
      </w:pPr>
      <w:r>
        <w:t>4 StatCard ringkasan; kolom kiri 5 buku terpopuler (peringkat dalam kotak soft), kolom kanan tabel rincian transaksi.</w:t>
      </w:r>
    </w:p>
    <w:p>
      <w:pPr>
        <w:pStyle w:val="ListBullet"/>
      </w:pPr>
      <w:r>
        <w:t>PDF (QuestPDF) memakai gaya cetak resmi: navy + kertas, tema cetak selalu terang agar ekonomis tinta.</w:t>
      </w:r>
    </w:p>
    <w:p>
      <w:pPr>
        <w:pStyle w:val="Heading2"/>
      </w:pPr>
      <w:r>
        <w:t>4.9 Pengaturan</w:t>
      </w:r>
    </w:p>
    <w:p>
      <w:pPr>
        <w:pStyle w:val="ListBullet"/>
      </w:pPr>
      <w:r>
        <w:t>Tema: switch Terang|Gelap (segmen) — langsung apply + persist ke %APPDATA%\PerpusKu\prefs.json.</w:t>
      </w:r>
    </w:p>
    <w:p>
      <w:pPr>
        <w:pStyle w:val="ListBullet"/>
      </w:pPr>
      <w:r>
        <w:t>Akun saya: ubah password (PBKDF2), profil.</w:t>
      </w:r>
    </w:p>
    <w:p>
      <w:pPr>
        <w:pStyle w:val="ListBullet"/>
      </w:pPr>
      <w:r>
        <w:t>Aturan perpustakaan: edit Kunci/Nilai tabel Pengaturan (lama pinjam, maks pinjam, maks perpanjang, denda per hari).</w:t>
      </w:r>
    </w:p>
    <w:p>
      <w:pPr>
        <w:pStyle w:val="Heading1"/>
      </w:pPr>
      <w:r>
        <w:t>5. Interaksi dan Umpan Balik</w:t>
      </w:r>
    </w:p>
    <w:p>
      <w:pPr>
        <w:pStyle w:val="ListBullet"/>
      </w:pPr>
      <w:r>
        <w:t>Fisika: ease-out, 200–300ms. Hover tombol: opacity → 0.88 + bayangan; aktif: turun 1px.</w:t>
      </w:r>
    </w:p>
    <w:p>
      <w:pPr>
        <w:pStyle w:val="ListBullet"/>
      </w:pPr>
      <w:r>
        <w:t>Halaman masuk: fade 200ms; daftar kartu stagger ±80ms per item.</w:t>
      </w:r>
    </w:p>
    <w:p>
      <w:pPr>
        <w:pStyle w:val="ListBullet"/>
      </w:pPr>
      <w:r>
        <w:t>Animasi hanya transform/opacity — tanpa properti yang memicu layout.</w:t>
      </w:r>
    </w:p>
    <w:p>
      <w:pPr>
        <w:pStyle w:val="ListBullet"/>
      </w:pPr>
      <w:r>
        <w:t>Nonaktif: opacity 45%, kursor default.</w:t>
      </w:r>
    </w:p>
    <w:p>
      <w:pPr>
        <w:pStyle w:val="ListBullet"/>
      </w:pPr>
      <w:r>
        <w:t>Setiap aksi tulis (tambah/ubah/hapus/pinjam/kembali/perpanjang) → toast + baris LogAktivitas.</w:t>
      </w:r>
    </w:p>
    <w:p>
      <w:pPr>
        <w:pStyle w:val="Heading1"/>
      </w:pPr>
      <w:r>
        <w:t>6. Aksesibilitas</w:t>
      </w:r>
    </w:p>
    <w:p>
      <w:pPr>
        <w:pStyle w:val="ListBullet"/>
      </w:pPr>
      <w:r>
        <w:t>Kontras teks: #2D2D2D di atas #F5F2E9 ≈ 11:1; #D4D4D4 di atas #5C0A0A ≈ 7:1 — di atas ambang WCAG AA.</w:t>
      </w:r>
    </w:p>
    <w:p>
      <w:pPr>
        <w:pStyle w:val="ListBullet"/>
      </w:pPr>
      <w:r>
        <w:t>Fokus keyboard terlihat: focus ring 2px aksen (FocusVisualStyle khusus, tidak dihapus).</w:t>
      </w:r>
    </w:p>
    <w:p>
      <w:pPr>
        <w:pStyle w:val="ListBullet"/>
      </w:pPr>
      <w:r>
        <w:t>Target sentuh ≥ 40px (input 42, tombol 40, ikon nav 28 dalam hit area 44).</w:t>
      </w:r>
    </w:p>
    <w:p>
      <w:pPr>
        <w:pStyle w:val="ListBullet"/>
      </w:pPr>
      <w:r>
        <w:t>Ikon selalu didampingi teks/tooltip; status tidak mengandalkan warna saja (selalu ada label kata).</w:t>
      </w:r>
    </w:p>
    <w:p>
      <w:pPr>
        <w:pStyle w:val="ListBullet"/>
      </w:pPr>
      <w:r>
        <w:t>Monospace Courier Prime: alternatif teks — nilai teknis (kode, tanggal, nomor) tidak bergantung warna.</w:t>
      </w:r>
    </w:p>
    <w:p>
      <w:pPr>
        <w:pStyle w:val="Heading1"/>
      </w:pPr>
      <w:r>
        <w:t>7. Pemetaan Desain ke Berkas XAML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Berkas</w:t>
            </w:r>
          </w:p>
        </w:tc>
        <w:tc>
          <w:tcPr>
            <w:tcW w:type="dxa" w:w="4320"/>
            <w:shd w:val="clear" w:fill="1A237E"/>
          </w:tcPr>
          <w:p>
            <w:r>
              <w:rPr>
                <w:rFonts w:ascii="Courier New" w:hAnsi="Courier New"/>
                <w:b/>
                <w:color w:val="FFFFFF"/>
                <w:sz w:val="18"/>
              </w:rPr>
              <w:t>Isi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Themes/LightTheme.xaml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17+ SolidColorBrush token tema terang + HeroBrush gradien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Themes/DarkTheme.xaml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Token tema gelap (kunci sama) + catatan penurun warna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Themes/Tokens.xaml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HeadFont/BodyFont Courier Prime (pack URI), Radius Sm/Md/Lg, CardShadow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Themes/Styles.xaml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H1/H2/Muted, PrimaryButton, GhostButton, kartu, input + FocusRing, ComboBox, nav, pill, skeleton, toast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Themes/Icons.xaml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29 geometri Path Lucide ("Icon.&lt;nama&gt;")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Themes/Converters.xaml + Converters/Converters.cs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IconGeomConverter, CategoryBrushConverter, dsb.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Services/ThemeService.cs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Apply(): tukar MergedDictionaries[0]; persist prefs.json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Fonts/*.ttf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>Courier Prime Regular/Bold/Italic/BoldItalic (SIL OFL), dibundel csproj &lt;Resource&gt;</w:t>
            </w:r>
          </w:p>
        </w:tc>
      </w:tr>
    </w:tbl>
    <w:p>
      <w:r>
        <w:t>Konversi dari aturan web DESIGN.md: clamp() → ukuran tetap jendela fixed; dvh → 100% jendela; grid 1280px → margin konten 28px; max 72ch → lebar kolom teks dalam kartu.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 w:eastAsia="Courier New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urier New" w:hAnsi="Courier New"/>
      <w:b/>
      <w:bCs/>
      <w:color w:val="2D2D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ourier New" w:hAnsi="Courier New"/>
      <w:b/>
      <w:bCs/>
      <w:color w:val="2D2D2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ourier New" w:hAnsi="Courier New"/>
      <w:b/>
      <w:bCs/>
      <w:color w:val="2D2D2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A237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A237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1A237E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1A237E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1A237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ourier New" w:hAnsi="Courier New"/>
      <w:color w:val="2D2D2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1A237E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1A237E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2D2D2D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2D2D2D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1A237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1A237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A237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A237E" w:themeColor="accent1"/>
      </w:pBdr>
      <w:spacing w:before="200" w:after="280"/>
      <w:ind w:left="936" w:right="936"/>
    </w:pPr>
    <w:rPr>
      <w:b/>
      <w:bCs/>
      <w:i/>
      <w:iCs/>
      <w:color w:val="1A237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1A237E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1A237E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2D2D2D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1A237E" w:themeColor="accent1"/>
        <w:bottom w:val="single" w:sz="8" w:space="0" w:color="1A237E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A237E" w:themeColor="accent1"/>
          <w:left w:val="nil"/>
          <w:bottom w:val="single" w:sz="8" w:space="0" w:color="1A237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A237E" w:themeColor="accent1"/>
          <w:left w:val="nil"/>
          <w:bottom w:val="single" w:sz="8" w:space="0" w:color="1A237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A237E" w:themeColor="accent1"/>
        <w:left w:val="single" w:sz="8" w:space="0" w:color="1A237E" w:themeColor="accent1"/>
        <w:bottom w:val="single" w:sz="8" w:space="0" w:color="1A237E" w:themeColor="accent1"/>
        <w:right w:val="single" w:sz="8" w:space="0" w:color="1A237E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A237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A237E" w:themeColor="accent1"/>
          <w:left w:val="single" w:sz="8" w:space="0" w:color="1A237E" w:themeColor="accent1"/>
          <w:bottom w:val="single" w:sz="8" w:space="0" w:color="1A237E" w:themeColor="accent1"/>
          <w:right w:val="single" w:sz="8" w:space="0" w:color="1A237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A237E" w:themeColor="accent1"/>
          <w:left w:val="single" w:sz="8" w:space="0" w:color="1A237E" w:themeColor="accent1"/>
          <w:bottom w:val="single" w:sz="8" w:space="0" w:color="1A237E" w:themeColor="accent1"/>
          <w:right w:val="single" w:sz="8" w:space="0" w:color="1A237E" w:themeColor="accent1"/>
        </w:tcBorders>
      </w:tcPr>
    </w:tblStylePr>
    <w:tblStylePr w:type="band1Horz">
      <w:tblPr/>
      <w:tcPr>
        <w:tcBorders>
          <w:top w:val="single" w:sz="8" w:space="0" w:color="1A237E" w:themeColor="accent1"/>
          <w:left w:val="single" w:sz="8" w:space="0" w:color="1A237E" w:themeColor="accent1"/>
          <w:bottom w:val="single" w:sz="8" w:space="0" w:color="1A237E" w:themeColor="accent1"/>
          <w:right w:val="single" w:sz="8" w:space="0" w:color="1A237E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A237E" w:themeColor="accent1"/>
        <w:left w:val="single" w:sz="8" w:space="0" w:color="1A237E" w:themeColor="accent1"/>
        <w:bottom w:val="single" w:sz="8" w:space="0" w:color="1A237E" w:themeColor="accent1"/>
        <w:right w:val="single" w:sz="8" w:space="0" w:color="1A237E" w:themeColor="accent1"/>
        <w:insideH w:val="single" w:sz="8" w:space="0" w:color="1A237E" w:themeColor="accent1"/>
        <w:insideV w:val="single" w:sz="8" w:space="0" w:color="1A237E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A237E" w:themeColor="accent1"/>
          <w:left w:val="single" w:sz="8" w:space="0" w:color="1A237E" w:themeColor="accent1"/>
          <w:bottom w:val="single" w:sz="18" w:space="0" w:color="1A237E" w:themeColor="accent1"/>
          <w:right w:val="single" w:sz="8" w:space="0" w:color="1A237E" w:themeColor="accent1"/>
          <w:insideH w:val="nil"/>
          <w:insideV w:val="single" w:sz="8" w:space="0" w:color="1A237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A237E" w:themeColor="accent1"/>
          <w:left w:val="single" w:sz="8" w:space="0" w:color="1A237E" w:themeColor="accent1"/>
          <w:bottom w:val="single" w:sz="8" w:space="0" w:color="1A237E" w:themeColor="accent1"/>
          <w:right w:val="single" w:sz="8" w:space="0" w:color="1A237E" w:themeColor="accent1"/>
          <w:insideH w:val="nil"/>
          <w:insideV w:val="single" w:sz="8" w:space="0" w:color="1A237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A237E" w:themeColor="accent1"/>
          <w:left w:val="single" w:sz="8" w:space="0" w:color="1A237E" w:themeColor="accent1"/>
          <w:bottom w:val="single" w:sz="8" w:space="0" w:color="1A237E" w:themeColor="accent1"/>
          <w:right w:val="single" w:sz="8" w:space="0" w:color="1A237E" w:themeColor="accent1"/>
        </w:tcBorders>
      </w:tcPr>
    </w:tblStylePr>
    <w:tblStylePr w:type="band1Vert">
      <w:tblPr/>
      <w:tcPr>
        <w:tcBorders>
          <w:top w:val="single" w:sz="8" w:space="0" w:color="1A237E" w:themeColor="accent1"/>
          <w:left w:val="single" w:sz="8" w:space="0" w:color="1A237E" w:themeColor="accent1"/>
          <w:bottom w:val="single" w:sz="8" w:space="0" w:color="1A237E" w:themeColor="accent1"/>
          <w:right w:val="single" w:sz="8" w:space="0" w:color="1A237E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1A237E" w:themeColor="accent1"/>
          <w:left w:val="single" w:sz="8" w:space="0" w:color="1A237E" w:themeColor="accent1"/>
          <w:bottom w:val="single" w:sz="8" w:space="0" w:color="1A237E" w:themeColor="accent1"/>
          <w:right w:val="single" w:sz="8" w:space="0" w:color="1A237E" w:themeColor="accent1"/>
          <w:insideV w:val="single" w:sz="8" w:space="0" w:color="1A237E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1A237E" w:themeColor="accent1"/>
          <w:left w:val="single" w:sz="8" w:space="0" w:color="1A237E" w:themeColor="accent1"/>
          <w:bottom w:val="single" w:sz="8" w:space="0" w:color="1A237E" w:themeColor="accent1"/>
          <w:right w:val="single" w:sz="8" w:space="0" w:color="1A237E" w:themeColor="accent1"/>
          <w:insideV w:val="single" w:sz="8" w:space="0" w:color="1A237E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1A237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A237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A237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A237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1A237E" w:themeColor="accent1"/>
        <w:bottom w:val="single" w:sz="8" w:space="0" w:color="1A237E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A237E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1A237E" w:themeColor="accent1"/>
          <w:bottom w:val="single" w:sz="8" w:space="0" w:color="1A237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A237E" w:themeColor="accent1"/>
          <w:bottom w:val="single" w:sz="8" w:space="0" w:color="1A237E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1A237E" w:themeColor="accent1"/>
        <w:left w:val="single" w:sz="8" w:space="0" w:color="1A237E" w:themeColor="accent1"/>
        <w:bottom w:val="single" w:sz="8" w:space="0" w:color="1A237E" w:themeColor="accent1"/>
        <w:right w:val="single" w:sz="8" w:space="0" w:color="1A237E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A237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A237E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A237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A237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2D2D2D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2D2D2D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D2D2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D2D2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1A237E" w:themeColor="accent1"/>
        <w:left w:val="single" w:sz="8" w:space="0" w:color="1A237E" w:themeColor="accent1"/>
        <w:bottom w:val="single" w:sz="8" w:space="0" w:color="1A237E" w:themeColor="accent1"/>
        <w:right w:val="single" w:sz="8" w:space="0" w:color="1A237E" w:themeColor="accent1"/>
        <w:insideH w:val="single" w:sz="8" w:space="0" w:color="1A237E" w:themeColor="accent1"/>
        <w:insideV w:val="single" w:sz="8" w:space="0" w:color="1A237E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2D2D2D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2D2D2D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D2D2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D2D2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1A237E" w:themeColor="accent1"/>
          <w:insideV w:val="single" w:sz="6" w:space="0" w:color="1A237E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2D2D2D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2D2D2D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D2D2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D2D2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2D2D2D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2D2D2D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D2D2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D2D2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2D2D2D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2D2D2D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D2D2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D2D2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2D2D2D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2D2D2D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D2D2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D2D2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2D2D2D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2D2D2D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2D2D2D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D2D2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D2D2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A237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A237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A237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A237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A237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2D2D2D" w:themeColor="text1"/>
      </w:rPr>
    </w:tblStylePr>
    <w:tblStylePr w:type="nwCell">
      <w:rPr>
        <w:color w:val="2D2D2D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1A237E" w:themeColor="accent1"/>
        <w:bottom w:val="single" w:sz="4" w:space="0" w:color="1A237E" w:themeColor="accent1"/>
        <w:right w:val="single" w:sz="4" w:space="0" w:color="1A237E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2D2D2D" w:themeColor="text1"/>
      </w:rPr>
    </w:tblStylePr>
    <w:tblStylePr w:type="nwCell">
      <w:rPr>
        <w:color w:val="2D2D2D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2D2D2D" w:themeColor="text1"/>
      </w:rPr>
    </w:tblStylePr>
    <w:tblStylePr w:type="nwCell">
      <w:rPr>
        <w:color w:val="2D2D2D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2D2D2D" w:themeColor="text1"/>
      </w:rPr>
    </w:tblStylePr>
    <w:tblStylePr w:type="nwCell">
      <w:rPr>
        <w:color w:val="2D2D2D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2D2D2D" w:themeColor="text1"/>
      </w:rPr>
    </w:tblStylePr>
    <w:tblStylePr w:type="nwCell">
      <w:rPr>
        <w:color w:val="2D2D2D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2D2D2D" w:themeColor="text1"/>
      </w:rPr>
    </w:tblStylePr>
    <w:tblStylePr w:type="nwCell">
      <w:rPr>
        <w:color w:val="2D2D2D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2D2D2D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2D2D2D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2D2D2D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2D2D2D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2D2D2D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2D2D2D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2D2D2D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2D2D2D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2D2D2D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