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p>
    <w:p w:rsidR="00000000" w:rsidDel="00000000" w:rsidP="00000000" w:rsidRDefault="00000000" w:rsidRPr="00000000" w14:paraId="00000002">
      <w:pPr>
        <w:pBdr>
          <w:top w:space="0" w:sz="0" w:val="nil"/>
          <w:left w:space="0" w:sz="0" w:val="nil"/>
          <w:bottom w:space="0" w:sz="0" w:val="nil"/>
          <w:right w:space="0" w:sz="0" w:val="nil"/>
          <w:between w:space="0" w:sz="0" w:val="nil"/>
        </w:pBdr>
        <w:rPr>
          <w:i w:val="1"/>
          <w:color w:val="8496b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i w:val="1"/>
          <w:color w:val="8496b0"/>
          <w:sz w:val="20"/>
          <w:szCs w:val="20"/>
        </w:rPr>
      </w:pPr>
      <w:r w:rsidDel="00000000" w:rsidR="00000000" w:rsidRPr="00000000">
        <w:rPr>
          <w:rtl w:val="0"/>
        </w:rPr>
      </w:r>
    </w:p>
    <w:p w:rsidR="00000000" w:rsidDel="00000000" w:rsidP="00000000" w:rsidRDefault="00000000" w:rsidRPr="00000000" w14:paraId="00000004">
      <w:pPr>
        <w:pStyle w:val="Subtitle"/>
        <w:rPr/>
      </w:pPr>
      <w:r w:rsidDel="00000000" w:rsidR="00000000" w:rsidRPr="00000000">
        <w:rPr>
          <w:rtl w:val="0"/>
        </w:rPr>
        <w:t xml:space="preserve">ΕΤΑΙΡΕΙΕΣ ΔΙΑΧΕΙΡΙΣΗΣ ΑΥΤΟΚΙΝΗΤΟΔΡΟΜΩΝ (OPERATORS)</w:t>
      </w:r>
    </w:p>
    <w:p w:rsidR="00000000" w:rsidDel="00000000" w:rsidP="00000000" w:rsidRDefault="00000000" w:rsidRPr="00000000" w14:paraId="00000005">
      <w:pPr>
        <w:pStyle w:val="Heading1"/>
        <w:numPr>
          <w:ilvl w:val="0"/>
          <w:numId w:val="1"/>
        </w:numPr>
        <w:ind w:left="360" w:hanging="360"/>
        <w:rPr/>
      </w:pPr>
      <w:r w:rsidDel="00000000" w:rsidR="00000000" w:rsidRPr="00000000">
        <w:rPr>
          <w:rtl w:val="0"/>
        </w:rPr>
        <w:t xml:space="preserve">Σύνοψη επιχειρησιακού περιβάλλοντος</w:t>
      </w:r>
    </w:p>
    <w:p w:rsidR="00000000" w:rsidDel="00000000" w:rsidP="00000000" w:rsidRDefault="00000000" w:rsidRPr="00000000" w14:paraId="00000006">
      <w:pPr>
        <w:pStyle w:val="Heading2"/>
        <w:rPr/>
      </w:pPr>
      <w:r w:rsidDel="00000000" w:rsidR="00000000" w:rsidRPr="00000000">
        <w:rPr>
          <w:rtl w:val="0"/>
        </w:rPr>
        <w:t xml:space="preserve">1.1</w:t>
        <w:tab/>
        <w:t xml:space="preserve">Επιχειρησιακοί στόχοι</w:t>
      </w:r>
    </w:p>
    <w:p w:rsidR="00000000" w:rsidDel="00000000" w:rsidP="00000000" w:rsidRDefault="00000000" w:rsidRPr="00000000" w14:paraId="00000007">
      <w:pPr>
        <w:jc w:val="both"/>
        <w:rPr/>
      </w:pPr>
      <w:r w:rsidDel="00000000" w:rsidR="00000000" w:rsidRPr="00000000">
        <w:rPr>
          <w:rtl w:val="0"/>
        </w:rPr>
        <w:t xml:space="preserve">Οι εταιρείες διαχείρισης των αυτοκινητοδρόμων (Operators), στο πλαίσιο της διαλειτουργικότητας των ηλεκτρονικών διοδίων, επιτρέπουν στους σταθμούς διοδίων τους διελεύσεις αυτοκινήτων που διαθέτουν πομπούς άλλων εταιρειών. Μέσω του συστήματος EveryPass, οι Operators επιθυμούν να αποστέλλουν σε ένα κεντρικό σύστημα τα δεδομένα των διελεύσεων, ώστε να μπορούν εύκολα να εξάγουν αναφορές και στοιχεία για τις χρεώσεις που προκύπτουν μεταξύ τους, να κάνουν συμψηφισμούς και να καταγράφουν τις σχετικές πληρωμές, ώστε να διευκολύνεται η οικονομική διαχείριση. Επιπλέον, με τη δυνατότητα προβολής συγκεντρωτικών στοιχείων, θα μπορούν να παρακολουθούν στατιστικά για τις διελεύσεις από τους σταθμούς τους, τα οποία είναι αξιοποιήσιμα για επιχειρηματικούς σκοπούς, αλλά και για τη βελτίωση των υπηρεσιών τους και την καλύτερη διαχείριση του δικτύου τους.</w:t>
      </w:r>
    </w:p>
    <w:p w:rsidR="00000000" w:rsidDel="00000000" w:rsidP="00000000" w:rsidRDefault="00000000" w:rsidRPr="00000000" w14:paraId="00000008">
      <w:pPr>
        <w:pStyle w:val="Heading2"/>
        <w:rPr/>
      </w:pPr>
      <w:r w:rsidDel="00000000" w:rsidR="00000000" w:rsidRPr="00000000">
        <w:rPr>
          <w:rtl w:val="0"/>
        </w:rPr>
        <w:t xml:space="preserve">1.2</w:t>
        <w:tab/>
        <w:t xml:space="preserve">Περίγραμμα επιχειρησιακών λειτουργιών</w:t>
      </w:r>
    </w:p>
    <w:p w:rsidR="00000000" w:rsidDel="00000000" w:rsidP="00000000" w:rsidRDefault="00000000" w:rsidRPr="00000000" w14:paraId="00000009">
      <w:pPr>
        <w:rPr/>
      </w:pPr>
      <w:r w:rsidDel="00000000" w:rsidR="00000000" w:rsidRPr="00000000">
        <w:rPr>
          <w:rtl w:val="0"/>
        </w:rPr>
        <w:t xml:space="preserve">Στο ακόλουθο διάγραμμα παρουσιάζονται οι λειτουργίες της τρέχουσας έκδοσης του συστήματος που αφορούν τους Operators.</w:t>
      </w:r>
    </w:p>
    <w:p w:rsidR="00000000" w:rsidDel="00000000" w:rsidP="00000000" w:rsidRDefault="00000000" w:rsidRPr="00000000" w14:paraId="0000000A">
      <w:pPr>
        <w:jc w:val="center"/>
        <w:rPr/>
      </w:pPr>
      <w:r w:rsidDel="00000000" w:rsidR="00000000" w:rsidRPr="00000000">
        <w:rPr/>
        <w:drawing>
          <wp:inline distB="0" distT="0" distL="0" distR="0">
            <wp:extent cx="5000625" cy="30194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00625" cy="301942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rPr/>
      </w:pPr>
      <w:r w:rsidDel="00000000" w:rsidR="00000000" w:rsidRPr="00000000">
        <w:rPr>
          <w:rtl w:val="0"/>
        </w:rPr>
        <w:t xml:space="preserve">1.3</w:t>
        <w:tab/>
        <w:tab/>
        <w:t xml:space="preserve">Δείκτες ποιότητας</w:t>
      </w:r>
    </w:p>
    <w:p w:rsidR="00000000" w:rsidDel="00000000" w:rsidP="00000000" w:rsidRDefault="00000000" w:rsidRPr="00000000" w14:paraId="0000000C">
      <w:pPr>
        <w:rPr/>
      </w:pPr>
      <w:r w:rsidDel="00000000" w:rsidR="00000000" w:rsidRPr="00000000">
        <w:rPr>
          <w:rtl w:val="0"/>
        </w:rPr>
        <w:t xml:space="preserve">Μετρήσιμοι δείκτες ποιότητας για τους Operators:</w:t>
      </w:r>
    </w:p>
    <w:p w:rsidR="00000000" w:rsidDel="00000000" w:rsidP="00000000" w:rsidRDefault="00000000" w:rsidRPr="00000000" w14:paraId="0000000D">
      <w:pPr>
        <w:numPr>
          <w:ilvl w:val="0"/>
          <w:numId w:val="2"/>
        </w:numPr>
        <w:ind w:left="720" w:hanging="360"/>
        <w:rPr/>
      </w:pPr>
      <w:r w:rsidDel="00000000" w:rsidR="00000000" w:rsidRPr="00000000">
        <w:rPr>
          <w:rtl w:val="0"/>
        </w:rPr>
        <w:t xml:space="preserve">Διαθεσιμότητα συστήματος</w:t>
      </w:r>
    </w:p>
    <w:p w:rsidR="00000000" w:rsidDel="00000000" w:rsidP="00000000" w:rsidRDefault="00000000" w:rsidRPr="00000000" w14:paraId="0000000E">
      <w:pPr>
        <w:numPr>
          <w:ilvl w:val="0"/>
          <w:numId w:val="2"/>
        </w:numPr>
        <w:spacing w:before="0" w:lineRule="auto"/>
        <w:ind w:left="720" w:hanging="360"/>
        <w:rPr/>
      </w:pPr>
      <w:r w:rsidDel="00000000" w:rsidR="00000000" w:rsidRPr="00000000">
        <w:rPr>
          <w:rtl w:val="0"/>
        </w:rPr>
        <w:t xml:space="preserve">Χρόνος απόκρισης συστήματος στην αποστολή δεδομένων</w:t>
      </w:r>
    </w:p>
    <w:p w:rsidR="00000000" w:rsidDel="00000000" w:rsidP="00000000" w:rsidRDefault="00000000" w:rsidRPr="00000000" w14:paraId="0000000F">
      <w:pPr>
        <w:numPr>
          <w:ilvl w:val="0"/>
          <w:numId w:val="2"/>
        </w:numPr>
        <w:spacing w:before="0" w:lineRule="auto"/>
        <w:ind w:left="720" w:hanging="360"/>
        <w:rPr/>
      </w:pPr>
      <w:r w:rsidDel="00000000" w:rsidR="00000000" w:rsidRPr="00000000">
        <w:rPr>
          <w:rtl w:val="0"/>
        </w:rPr>
        <w:t xml:space="preserve">Ασφάλεια μεταφοράς δεδομένων</w:t>
      </w:r>
    </w:p>
    <w:p w:rsidR="00000000" w:rsidDel="00000000" w:rsidP="00000000" w:rsidRDefault="00000000" w:rsidRPr="00000000" w14:paraId="00000010">
      <w:pPr>
        <w:numPr>
          <w:ilvl w:val="0"/>
          <w:numId w:val="2"/>
        </w:numPr>
        <w:spacing w:before="0" w:lineRule="auto"/>
        <w:ind w:left="720" w:hanging="360"/>
        <w:rPr/>
      </w:pPr>
      <w:r w:rsidDel="00000000" w:rsidR="00000000" w:rsidRPr="00000000">
        <w:rPr>
          <w:rtl w:val="0"/>
        </w:rPr>
        <w:t xml:space="preserve">Ευχρηστία διεπαφής χρήστη</w:t>
      </w:r>
    </w:p>
    <w:p w:rsidR="00000000" w:rsidDel="00000000" w:rsidP="00000000" w:rsidRDefault="00000000" w:rsidRPr="00000000" w14:paraId="00000011">
      <w:pPr>
        <w:numPr>
          <w:ilvl w:val="0"/>
          <w:numId w:val="2"/>
        </w:numPr>
        <w:spacing w:before="0" w:lineRule="auto"/>
        <w:ind w:left="720" w:hanging="360"/>
        <w:rPr/>
      </w:pPr>
      <w:r w:rsidDel="00000000" w:rsidR="00000000" w:rsidRPr="00000000">
        <w:rPr>
          <w:rtl w:val="0"/>
        </w:rPr>
        <w:t xml:space="preserve">Χρόνος απόκρισης για την εξαγωγή αναφοράς χρεώσεων</w:t>
      </w:r>
    </w:p>
    <w:p w:rsidR="00000000" w:rsidDel="00000000" w:rsidP="00000000" w:rsidRDefault="00000000" w:rsidRPr="00000000" w14:paraId="00000012">
      <w:pPr>
        <w:pStyle w:val="Heading1"/>
        <w:numPr>
          <w:ilvl w:val="0"/>
          <w:numId w:val="1"/>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13">
      <w:pPr>
        <w:spacing w:after="240" w:before="0" w:lineRule="auto"/>
        <w:jc w:val="both"/>
        <w:rPr/>
      </w:pPr>
      <w:r w:rsidDel="00000000" w:rsidR="00000000" w:rsidRPr="00000000">
        <w:rPr>
          <w:rtl w:val="0"/>
        </w:rPr>
        <w:t xml:space="preserve">Όλες οι απαιτούμενες πληροφορίες παρέχονται από τα συστήματα διαχείρισης διελεύσεων των αυτοκινητοδρόμων που συμμετέχουν στο πρόγραμμα διαλειτουργικότητας.</w:t>
      </w:r>
    </w:p>
    <w:p w:rsidR="00000000" w:rsidDel="00000000" w:rsidP="00000000" w:rsidRDefault="00000000" w:rsidRPr="00000000" w14:paraId="00000014">
      <w:pPr>
        <w:jc w:val="both"/>
        <w:rPr/>
      </w:pPr>
      <w:r w:rsidDel="00000000" w:rsidR="00000000" w:rsidRPr="00000000">
        <w:rPr>
          <w:rtl w:val="0"/>
        </w:rPr>
        <w:t xml:space="preserve">Τα συστήματα αυτά είναι των οδών: Αττική Οδός (aodos.gr), Γέφυρα(gefyra.gr), Εγνατία Οδός(egnatia.eu), Κεντρική Οδός (kentrikiodos.gr), Μορέας (moreas.com.gr), Νέα Οδός (neaodos.gr) και Ολυμπία Οδός (olympiaodos.gr). Η προσθήκη ή αφαίρεση οδών είναι δυνατή μόνο από το διαχειριστή του συστήματος.</w:t>
      </w:r>
    </w:p>
    <w:p w:rsidR="00000000" w:rsidDel="00000000" w:rsidP="00000000" w:rsidRDefault="00000000" w:rsidRPr="00000000" w14:paraId="00000015">
      <w:pPr>
        <w:pStyle w:val="Heading1"/>
        <w:numPr>
          <w:ilvl w:val="0"/>
          <w:numId w:val="1"/>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16">
      <w:pPr>
        <w:rPr/>
      </w:pPr>
      <w:r w:rsidDel="00000000" w:rsidR="00000000" w:rsidRPr="00000000">
        <w:rPr>
          <w:rtl w:val="0"/>
        </w:rPr>
        <w:t xml:space="preserve">Οι Operators έχουν τις ακόλουθες απαιτήσεις:</w:t>
      </w:r>
    </w:p>
    <w:p w:rsidR="00000000" w:rsidDel="00000000" w:rsidP="00000000" w:rsidRDefault="00000000" w:rsidRPr="00000000" w14:paraId="00000017">
      <w:pPr>
        <w:numPr>
          <w:ilvl w:val="0"/>
          <w:numId w:val="3"/>
        </w:numPr>
        <w:ind w:left="720" w:hanging="360"/>
        <w:rPr/>
      </w:pPr>
      <w:r w:rsidDel="00000000" w:rsidR="00000000" w:rsidRPr="00000000">
        <w:rPr>
          <w:rtl w:val="0"/>
        </w:rPr>
        <w:t xml:space="preserve">Να μπορούν να στέλνουν εύκολα και με αυτοματοποιημένο τρόπο τα δεδομένα διελεύσεων οχημάτων από τους σταθμούς διοδίων τους σε κεντρικό σύστημα</w:t>
      </w:r>
    </w:p>
    <w:p w:rsidR="00000000" w:rsidDel="00000000" w:rsidP="00000000" w:rsidRDefault="00000000" w:rsidRPr="00000000" w14:paraId="00000018">
      <w:pPr>
        <w:numPr>
          <w:ilvl w:val="0"/>
          <w:numId w:val="3"/>
        </w:numPr>
        <w:spacing w:before="0" w:lineRule="auto"/>
        <w:ind w:left="720" w:hanging="360"/>
        <w:rPr/>
      </w:pPr>
      <w:r w:rsidDel="00000000" w:rsidR="00000000" w:rsidRPr="00000000">
        <w:rPr>
          <w:rtl w:val="0"/>
        </w:rPr>
        <w:t xml:space="preserve">Να λαμβάνουν επιβεβαίωση της ορθής αποστολής δεδομένων ή ενημέρωση σφάλματος</w:t>
      </w:r>
    </w:p>
    <w:p w:rsidR="00000000" w:rsidDel="00000000" w:rsidP="00000000" w:rsidRDefault="00000000" w:rsidRPr="00000000" w14:paraId="00000019">
      <w:pPr>
        <w:numPr>
          <w:ilvl w:val="0"/>
          <w:numId w:val="3"/>
        </w:numPr>
        <w:spacing w:before="0" w:lineRule="auto"/>
        <w:ind w:left="720" w:hanging="360"/>
        <w:rPr/>
      </w:pPr>
      <w:r w:rsidDel="00000000" w:rsidR="00000000" w:rsidRPr="00000000">
        <w:rPr>
          <w:rtl w:val="0"/>
        </w:rPr>
        <w:t xml:space="preserve">Να μπορούν με εύκολο τρόπο, μέσω διαδικτυακής εφαρμογής, να βλέπουν συγκεντρωτικά στοιχεία για τις διελεύσεις</w:t>
      </w:r>
    </w:p>
    <w:p w:rsidR="00000000" w:rsidDel="00000000" w:rsidP="00000000" w:rsidRDefault="00000000" w:rsidRPr="00000000" w14:paraId="0000001A">
      <w:pPr>
        <w:numPr>
          <w:ilvl w:val="0"/>
          <w:numId w:val="3"/>
        </w:numPr>
        <w:spacing w:before="0" w:lineRule="auto"/>
        <w:ind w:left="720" w:hanging="360"/>
        <w:rPr/>
      </w:pPr>
      <w:r w:rsidDel="00000000" w:rsidR="00000000" w:rsidRPr="00000000">
        <w:rPr>
          <w:rtl w:val="0"/>
        </w:rPr>
        <w:t xml:space="preserve">Να μπορούν μέσω διαδικτυακής εφαρμογής να συμψηφίζουν χρεώσεις με κάθε άλλο Operator, για συγκεκριμένο χρονικό διάστημα, και να υπολογίζουν για κάθε άλλο Operator το ποσό που οφείλουν ή τους οφείλει, για το διάστημα αυτό</w:t>
      </w:r>
    </w:p>
    <w:p w:rsidR="00000000" w:rsidDel="00000000" w:rsidP="00000000" w:rsidRDefault="00000000" w:rsidRPr="00000000" w14:paraId="0000001B">
      <w:pPr>
        <w:pStyle w:val="Heading1"/>
        <w:numPr>
          <w:ilvl w:val="0"/>
          <w:numId w:val="1"/>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1C">
      <w:pPr>
        <w:rPr/>
      </w:pPr>
      <w:r w:rsidDel="00000000" w:rsidR="00000000" w:rsidRPr="00000000">
        <w:rPr>
          <w:rtl w:val="0"/>
        </w:rPr>
        <w:t xml:space="preserve">Οι Operators επιβάλλουν τους ακόλουθους περιορισμούς:</w:t>
      </w:r>
    </w:p>
    <w:p w:rsidR="00000000" w:rsidDel="00000000" w:rsidP="00000000" w:rsidRDefault="00000000" w:rsidRPr="00000000" w14:paraId="0000001D">
      <w:pPr>
        <w:numPr>
          <w:ilvl w:val="0"/>
          <w:numId w:val="4"/>
        </w:numPr>
        <w:ind w:left="720" w:hanging="360"/>
        <w:rPr/>
      </w:pPr>
      <w:r w:rsidDel="00000000" w:rsidR="00000000" w:rsidRPr="00000000">
        <w:rPr>
          <w:rtl w:val="0"/>
        </w:rPr>
        <w:t xml:space="preserve">Ασφάλεια και αξιοπιστία μεταφοράς δεδομένων</w:t>
      </w:r>
    </w:p>
    <w:p w:rsidR="00000000" w:rsidDel="00000000" w:rsidP="00000000" w:rsidRDefault="00000000" w:rsidRPr="00000000" w14:paraId="0000001E">
      <w:pPr>
        <w:numPr>
          <w:ilvl w:val="0"/>
          <w:numId w:val="4"/>
        </w:numPr>
        <w:spacing w:before="0" w:lineRule="auto"/>
        <w:ind w:left="720" w:hanging="360"/>
        <w:rPr/>
      </w:pPr>
      <w:r w:rsidDel="00000000" w:rsidR="00000000" w:rsidRPr="00000000">
        <w:rPr>
          <w:rtl w:val="0"/>
        </w:rPr>
        <w:t xml:space="preserve">Εξασφάλιση της εγκυρότητας των προβαλλόμενων πληροφοριών</w:t>
      </w:r>
    </w:p>
    <w:p w:rsidR="00000000" w:rsidDel="00000000" w:rsidP="00000000" w:rsidRDefault="00000000" w:rsidRPr="00000000" w14:paraId="0000001F">
      <w:pPr>
        <w:numPr>
          <w:ilvl w:val="0"/>
          <w:numId w:val="4"/>
        </w:numPr>
        <w:spacing w:before="0" w:lineRule="auto"/>
        <w:ind w:left="720" w:hanging="360"/>
        <w:rPr/>
      </w:pPr>
      <w:r w:rsidDel="00000000" w:rsidR="00000000" w:rsidRPr="00000000">
        <w:rPr>
          <w:rtl w:val="0"/>
        </w:rPr>
        <w:t xml:space="preserve">Διασφάλιση της εμπιστευτικότητας οικονομικών στοιχείων</w:t>
      </w:r>
    </w:p>
    <w:p w:rsidR="00000000" w:rsidDel="00000000" w:rsidP="00000000" w:rsidRDefault="00000000" w:rsidRPr="00000000" w14:paraId="00000020">
      <w:pPr>
        <w:pStyle w:val="Heading1"/>
        <w:numPr>
          <w:ilvl w:val="0"/>
          <w:numId w:val="1"/>
        </w:numPr>
        <w:ind w:left="360" w:hanging="360"/>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21">
      <w:pPr>
        <w:rPr/>
      </w:pPr>
      <w:r w:rsidDel="00000000" w:rsidR="00000000" w:rsidRPr="00000000">
        <w:rPr>
          <w:rtl w:val="0"/>
        </w:rPr>
        <w:t xml:space="preserve">Δεν υπάρχουν.</w:t>
      </w:r>
    </w:p>
    <w:sectPr>
      <w:headerReference r:id="rId8" w:type="default"/>
      <w:headerReference r:id="rId9" w:type="first"/>
      <w:headerReference r:id="rId10" w:type="even"/>
      <w:footerReference r:id="rId11" w:type="default"/>
      <w:footerReference r:id="rId12" w:type="first"/>
      <w:footerReference r:id="rId13" w:type="even"/>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pBdr>
        <w:top w:space="0" w:sz="0" w:val="nil"/>
        <w:left w:space="0" w:sz="0" w:val="nil"/>
        <w:bottom w:space="0" w:sz="0" w:val="nil"/>
        <w:right w:space="0" w:sz="0" w:val="nil"/>
        <w:between w:space="0" w:sz="0" w:val="nil"/>
      </w:pBdr>
      <w:tabs>
        <w:tab w:val="center" w:pos="4680"/>
        <w:tab w:val="right" w:pos="9360"/>
      </w:tabs>
      <w:spacing w:before="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pBdr>
        <w:top w:space="0" w:sz="0" w:val="nil"/>
        <w:left w:space="0" w:sz="0" w:val="nil"/>
        <w:bottom w:space="0" w:sz="0" w:val="nil"/>
        <w:right w:space="0" w:sz="0" w:val="nil"/>
        <w:between w:space="0" w:sz="0" w:val="nil"/>
      </w:pBdr>
      <w:tabs>
        <w:tab w:val="center" w:pos="4680"/>
        <w:tab w:val="right" w:pos="9360"/>
      </w:tabs>
      <w:spacing w:before="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pBdr>
        <w:top w:color="000000" w:space="1" w:sz="4" w:val="single"/>
        <w:left w:space="0" w:sz="0" w:val="nil"/>
        <w:bottom w:space="0" w:sz="0" w:val="nil"/>
        <w:right w:space="0" w:sz="0" w:val="nil"/>
        <w:between w:space="0" w:sz="0" w:val="nil"/>
      </w:pBdr>
      <w:tabs>
        <w:tab w:val="center" w:pos="4680"/>
        <w:tab w:val="right" w:pos="9360"/>
      </w:tabs>
      <w:spacing w:before="0" w:lineRule="auto"/>
      <w:rPr>
        <w:color w:val="000000"/>
        <w:sz w:val="18"/>
        <w:szCs w:val="18"/>
      </w:rPr>
    </w:pPr>
    <w:r w:rsidDel="00000000" w:rsidR="00000000" w:rsidRPr="00000000">
      <w:rPr>
        <w:sz w:val="18"/>
        <w:szCs w:val="18"/>
        <w:rtl w:val="0"/>
      </w:rPr>
      <w:t xml:space="preserve">softeng21-88</w:t>
    </w:r>
    <w:r w:rsidDel="00000000" w:rsidR="00000000" w:rsidRPr="00000000">
      <w:rPr>
        <w:color w:val="000000"/>
        <w:sz w:val="18"/>
        <w:szCs w:val="18"/>
        <w:rtl w:val="0"/>
      </w:rPr>
      <w:tab/>
      <w:t xml:space="preserve">ΕΓΓΡΑΦΟ StRS (2021)</w:t>
      <w:tab/>
      <w:t xml:space="preserve">Σελ</w:t>
    </w:r>
    <w:r w:rsidDel="00000000" w:rsidR="00000000" w:rsidRPr="00000000">
      <w:rPr>
        <w:color w:val="000000"/>
        <w:sz w:val="18"/>
        <w:szCs w:val="18"/>
      </w:rPr>
      <w:fldChar w:fldCharType="begin"/>
      <w:instrText xml:space="preserve">PAGE</w:instrText>
      <w:fldChar w:fldCharType="separate"/>
      <w:fldChar w:fldCharType="end"/>
    </w:r>
    <w:r w:rsidDel="00000000" w:rsidR="00000000" w:rsidRPr="00000000">
      <w:rPr>
        <w:color w:val="000000"/>
        <w:sz w:val="18"/>
        <w:szCs w:val="18"/>
        <w:rtl w:val="0"/>
      </w:rPr>
      <w:t xml:space="preserve"> /</w:t>
    </w:r>
    <w:r w:rsidDel="00000000" w:rsidR="00000000" w:rsidRPr="00000000">
      <w:rPr>
        <w:color w:val="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Bdr>
        <w:top w:space="0" w:sz="0" w:val="nil"/>
        <w:left w:space="0" w:sz="0" w:val="nil"/>
        <w:bottom w:space="0" w:sz="0" w:val="nil"/>
        <w:right w:space="0" w:sz="0" w:val="nil"/>
        <w:between w:space="0" w:sz="0" w:val="nil"/>
      </w:pBdr>
      <w:tabs>
        <w:tab w:val="center" w:pos="4680"/>
        <w:tab w:val="right" w:pos="9360"/>
      </w:tabs>
      <w:spacing w:before="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pBdr>
        <w:top w:space="0" w:sz="0" w:val="nil"/>
        <w:left w:space="0" w:sz="0" w:val="nil"/>
        <w:bottom w:space="0" w:sz="0" w:val="nil"/>
        <w:right w:space="0" w:sz="0" w:val="nil"/>
        <w:between w:space="0" w:sz="0" w:val="nil"/>
      </w:pBdr>
      <w:tabs>
        <w:tab w:val="center" w:pos="4680"/>
        <w:tab w:val="right" w:pos="9360"/>
      </w:tabs>
      <w:spacing w:before="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Bdr>
        <w:top w:space="0" w:sz="0" w:val="nil"/>
        <w:left w:space="0" w:sz="0" w:val="nil"/>
        <w:bottom w:space="0" w:sz="0" w:val="nil"/>
        <w:right w:space="0" w:sz="0" w:val="nil"/>
        <w:between w:space="0" w:sz="0" w:val="nil"/>
      </w:pBdr>
      <w:tabs>
        <w:tab w:val="center" w:pos="4680"/>
        <w:tab w:val="right" w:pos="9360"/>
      </w:tabs>
      <w:spacing w:before="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
      </w:pPr>
      <w:rPr/>
    </w:lvl>
    <w:lvl w:ilvl="4">
      <w:start w:val="1"/>
      <w:numFmt w:val="decimal"/>
      <w:lvlText w:val="%1.%2.%3.%4.%5."/>
      <w:lvlJc w:val="left"/>
      <w:pPr>
        <w:ind w:left="2232" w:hanging="792"/>
      </w:pPr>
      <w:rPr/>
    </w:lvl>
    <w:lvl w:ilvl="5">
      <w:start w:val="1"/>
      <w:numFmt w:val="decimal"/>
      <w:lvlText w:val="%1.%2.%3.%4.%5.%6."/>
      <w:lvlJc w:val="left"/>
      <w:pPr>
        <w:ind w:left="2736" w:hanging="934.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600" w:lineRule="auto"/>
      <w:ind w:left="720" w:hanging="360"/>
    </w:pPr>
    <w:rPr>
      <w:rFonts w:ascii="Calibri" w:cs="Calibri" w:eastAsia="Calibri" w:hAnsi="Calibri"/>
      <w:sz w:val="32"/>
      <w:szCs w:val="32"/>
    </w:rPr>
  </w:style>
  <w:style w:type="paragraph" w:styleId="Heading2">
    <w:name w:val="heading 2"/>
    <w:basedOn w:val="Normal"/>
    <w:next w:val="Normal"/>
    <w:pPr>
      <w:keepNext w:val="1"/>
      <w:keepLines w:val="1"/>
      <w:spacing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0" w:lineRule="auto"/>
    </w:pPr>
    <w:rPr>
      <w:rFonts w:ascii="Calibri" w:cs="Calibri" w:eastAsia="Calibri" w:hAnsi="Calibri"/>
      <w:sz w:val="56"/>
      <w:szCs w:val="56"/>
    </w:rPr>
  </w:style>
  <w:style w:type="paragraph" w:styleId="Normal" w:default="1">
    <w:name w:val="Normal"/>
    <w:qFormat w:val="1"/>
    <w:rsid w:val="00C87106"/>
    <w:pPr>
      <w:snapToGrid w:val="0"/>
    </w:pPr>
  </w:style>
  <w:style w:type="paragraph" w:styleId="Heading1">
    <w:name w:val="heading 1"/>
    <w:basedOn w:val="Normal"/>
    <w:next w:val="Normal"/>
    <w:link w:val="Heading1Char"/>
    <w:uiPriority w:val="9"/>
    <w:qFormat w:val="1"/>
    <w:rsid w:val="004276A5"/>
    <w:pPr>
      <w:keepNext w:val="1"/>
      <w:keepLines w:val="1"/>
      <w:numPr>
        <w:numId w:val="1"/>
      </w:numPr>
      <w:spacing w:before="600"/>
      <w:outlineLvl w:val="0"/>
    </w:pPr>
    <w:rPr>
      <w:rFonts w:asciiTheme="majorHAnsi" w:cstheme="majorBidi" w:eastAsiaTheme="majorEastAsia" w:hAnsiTheme="majorHAnsi"/>
      <w:sz w:val="32"/>
      <w:szCs w:val="32"/>
    </w:rPr>
  </w:style>
  <w:style w:type="paragraph" w:styleId="Heading2">
    <w:name w:val="heading 2"/>
    <w:basedOn w:val="Normal"/>
    <w:next w:val="Normal"/>
    <w:link w:val="Heading2Char"/>
    <w:uiPriority w:val="9"/>
    <w:unhideWhenUsed w:val="1"/>
    <w:qFormat w:val="1"/>
    <w:rsid w:val="00BE4961"/>
    <w:pPr>
      <w:keepNext w:val="1"/>
      <w:keepLines w:val="1"/>
      <w:spacing w:before="240"/>
      <w:ind w:left="567" w:hanging="567"/>
      <w:outlineLvl w:val="1"/>
    </w:pPr>
    <w:rPr>
      <w:rFonts w:asciiTheme="majorHAnsi" w:cstheme="majorBidi" w:eastAsiaTheme="majorEastAsia" w:hAnsiTheme="majorHAnsi"/>
      <w:sz w:val="26"/>
      <w:szCs w:val="2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772CA3"/>
    <w:pPr>
      <w:spacing w:before="0"/>
      <w:contextualSpacing w:val="1"/>
    </w:pPr>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4276A5"/>
    <w:rPr>
      <w:rFonts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rsid w:val="00BE4961"/>
    <w:rPr>
      <w:rFonts w:asciiTheme="majorHAnsi" w:cstheme="majorBidi" w:eastAsiaTheme="majorEastAsia" w:hAnsiTheme="majorHAnsi"/>
      <w:sz w:val="26"/>
      <w:szCs w:val="26"/>
      <w:lang w:val="el-GR"/>
    </w:rPr>
  </w:style>
  <w:style w:type="paragraph" w:styleId="Description" w:customStyle="1">
    <w:name w:val="Description"/>
    <w:basedOn w:val="Normal"/>
    <w:qFormat w:val="1"/>
    <w:rsid w:val="00772CA3"/>
    <w:rPr>
      <w:i w:val="1"/>
      <w:color w:val="8496b0" w:themeColor="text2" w:themeTint="000099"/>
      <w:sz w:val="20"/>
    </w:rPr>
  </w:style>
  <w:style w:type="character" w:styleId="TitleChar" w:customStyle="1">
    <w:name w:val="Title Char"/>
    <w:basedOn w:val="DefaultParagraphFont"/>
    <w:link w:val="Title"/>
    <w:uiPriority w:val="10"/>
    <w:rsid w:val="00772CA3"/>
    <w:rPr>
      <w:rFonts w:asciiTheme="majorHAnsi" w:cstheme="majorBidi" w:eastAsiaTheme="majorEastAsia" w:hAnsiTheme="majorHAnsi"/>
      <w:spacing w:val="-10"/>
      <w:kern w:val="28"/>
      <w:sz w:val="56"/>
      <w:szCs w:val="56"/>
      <w:lang w:val="el-GR"/>
    </w:rPr>
  </w:style>
  <w:style w:type="paragraph" w:styleId="Header">
    <w:name w:val="header"/>
    <w:basedOn w:val="Normal"/>
    <w:link w:val="HeaderChar"/>
    <w:uiPriority w:val="99"/>
    <w:unhideWhenUsed w:val="1"/>
    <w:rsid w:val="00651715"/>
    <w:pPr>
      <w:tabs>
        <w:tab w:val="center" w:pos="4680"/>
        <w:tab w:val="right" w:pos="9360"/>
      </w:tabs>
      <w:spacing w:before="0"/>
    </w:pPr>
  </w:style>
  <w:style w:type="character" w:styleId="HeaderChar" w:customStyle="1">
    <w:name w:val="Header Char"/>
    <w:basedOn w:val="DefaultParagraphFont"/>
    <w:link w:val="Header"/>
    <w:uiPriority w:val="99"/>
    <w:rsid w:val="00651715"/>
    <w:rPr>
      <w:lang w:val="el-GR"/>
    </w:rPr>
  </w:style>
  <w:style w:type="paragraph" w:styleId="Footer">
    <w:name w:val="footer"/>
    <w:basedOn w:val="Normal"/>
    <w:link w:val="FooterChar"/>
    <w:uiPriority w:val="99"/>
    <w:unhideWhenUsed w:val="1"/>
    <w:rsid w:val="00651715"/>
    <w:pPr>
      <w:tabs>
        <w:tab w:val="center" w:pos="4680"/>
        <w:tab w:val="right" w:pos="9360"/>
      </w:tabs>
      <w:spacing w:before="0"/>
    </w:pPr>
  </w:style>
  <w:style w:type="character" w:styleId="FooterChar" w:customStyle="1">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val="1"/>
    <w:pPr>
      <w:spacing w:after="160"/>
    </w:pPr>
    <w:rPr>
      <w:color w:val="5a5a5a"/>
      <w:sz w:val="28"/>
      <w:szCs w:val="28"/>
    </w:rPr>
  </w:style>
  <w:style w:type="character" w:styleId="SubtitleChar" w:customStyle="1">
    <w:name w:val="Subtitle Char"/>
    <w:basedOn w:val="DefaultParagraphFont"/>
    <w:link w:val="Subtitle"/>
    <w:uiPriority w:val="11"/>
    <w:rsid w:val="00A642AE"/>
    <w:rPr>
      <w:rFonts w:eastAsiaTheme="minorEastAsia"/>
      <w:color w:val="5a5a5a" w:themeColor="text1" w:themeTint="0000A5"/>
      <w:spacing w:val="15"/>
      <w:sz w:val="28"/>
      <w:szCs w:val="22"/>
      <w:lang w:val="el-GR"/>
    </w:rPr>
  </w:style>
  <w:style w:type="paragraph" w:styleId="Subtitle">
    <w:name w:val="Subtitle"/>
    <w:basedOn w:val="Normal"/>
    <w:next w:val="Normal"/>
    <w:pPr>
      <w:spacing w:after="160" w:lineRule="auto"/>
    </w:pPr>
    <w:rPr>
      <w:color w:val="5a5a5a"/>
      <w:sz w:val="28"/>
      <w:szCs w:val="28"/>
    </w:r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JIwr/0us864FrjhBKzxZJg3Rbaw==">AMUW2mWBWAs4IppCidncb+4D2X14Gq/EPNARUkjOs8s66VHN1UMB48B1+okglez1YUMBWd1KpoSZ19lTfFqAIS1ki4HuTX6ieV/gHlwlNLLIY9Pqq5oASgo=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2021-11-21T10:13:00Z</dcterms:created>
  <dc:creator>Vassilios Vescoukis</dc:creator>
</cp:coreProperties>
</file>