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ΠΑΡΟΧΟΙ ΥΠΗΡΕΣΙΩΝ ΠΛΗΡΩΜΩΝ - ΤΡΑΠΕΖΕΣ (Payment Service Providers)</w:t>
      </w:r>
    </w:p>
    <w:p w:rsidR="00000000" w:rsidDel="00000000" w:rsidP="00000000" w:rsidRDefault="00000000" w:rsidRPr="00000000" w14:paraId="00000004">
      <w:pPr>
        <w:pStyle w:val="Heading1"/>
        <w:numPr>
          <w:ilvl w:val="0"/>
          <w:numId w:val="4"/>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5">
      <w:pPr>
        <w:pStyle w:val="Heading2"/>
        <w:rPr/>
      </w:pPr>
      <w:r w:rsidDel="00000000" w:rsidR="00000000" w:rsidRPr="00000000">
        <w:rPr>
          <w:rtl w:val="0"/>
        </w:rPr>
        <w:t xml:space="preserve">1.1</w:t>
        <w:tab/>
        <w:t xml:space="preserve">Επιχειρησιακοί στόχοι</w:t>
      </w:r>
    </w:p>
    <w:p w:rsidR="00000000" w:rsidDel="00000000" w:rsidP="00000000" w:rsidRDefault="00000000" w:rsidRPr="00000000" w14:paraId="00000006">
      <w:pPr>
        <w:jc w:val="both"/>
        <w:rPr/>
      </w:pPr>
      <w:r w:rsidDel="00000000" w:rsidR="00000000" w:rsidRPr="00000000">
        <w:rPr>
          <w:rtl w:val="0"/>
        </w:rPr>
        <w:t xml:space="preserve">Οι Payment Service Providers παρέχουν υπηρεσίες στις Εταιρείες Διαχείρισης Αυτοκινητοδρόμων (Operators). Παρόλο που δεν έχουν άμεση αλληλεπίδραση με το σύστημα, παρέχουν μέσω των συστημάτων τους τη δυνατότητα στους Operators να εξοφλήσουν τις οικονομικές υποχρεώσεις που προκύπτουν μεταξύ τους από τη διαλειτουργικότητα των διοδίων. Για να διασφαλιστεί ότι το σύστημα εμφανίζει στους χρήστες σωστά δεδομένα σχετικά με τις οφειλές τους, είναι απαραίτητο να επαληθεύεται κάθε πληρωμή. Αντίστοιχα, με στόχο την βελτίωση των υπηρεσιών που παρέχουν οι Payment Service Providers στους Operators, το σύστημα θα μπορούσε να εξάγει μοναδικούς κωδικούς που να συσχετίζονται με τις πληρωμές.</w:t>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jc w:val="both"/>
        <w:rPr/>
      </w:pPr>
      <w:r w:rsidDel="00000000" w:rsidR="00000000" w:rsidRPr="00000000">
        <w:rPr>
          <w:rtl w:val="0"/>
        </w:rPr>
        <w:t xml:space="preserve">Στην τρέχουσα έκδοση του συστήματος, οι Payment Service Providers είναι εξωτερικοί εμπλεκόμενοι. Δεν αποτελούν χρήστες του συστήματος και δεν το ενσωματώνουν στις επιχειρησιακές τους λειτουργίες, αλλά συνδέονται μόνο εμμέσως με αυτό.</w:t>
      </w:r>
    </w:p>
    <w:p w:rsidR="00000000" w:rsidDel="00000000" w:rsidP="00000000" w:rsidRDefault="00000000" w:rsidRPr="00000000" w14:paraId="00000009">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0A">
      <w:pPr>
        <w:rPr/>
      </w:pPr>
      <w:r w:rsidDel="00000000" w:rsidR="00000000" w:rsidRPr="00000000">
        <w:rPr>
          <w:rtl w:val="0"/>
        </w:rPr>
        <w:t xml:space="preserve">Μετρήσιμοι δείκτες ποιότητας για τους Payment Service Providers: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Διαθεσιμότητα συστήματος</w:t>
      </w:r>
    </w:p>
    <w:p w:rsidR="00000000" w:rsidDel="00000000" w:rsidP="00000000" w:rsidRDefault="00000000" w:rsidRPr="00000000" w14:paraId="0000000C">
      <w:pPr>
        <w:numPr>
          <w:ilvl w:val="0"/>
          <w:numId w:val="2"/>
        </w:numPr>
        <w:spacing w:before="0" w:lineRule="auto"/>
        <w:ind w:left="720" w:hanging="360"/>
        <w:rPr/>
      </w:pPr>
      <w:r w:rsidDel="00000000" w:rsidR="00000000" w:rsidRPr="00000000">
        <w:rPr>
          <w:rtl w:val="0"/>
        </w:rPr>
        <w:t xml:space="preserve">Χρόνος απόκρισης συστήματος στην αποστολή δεδομένων</w:t>
      </w:r>
    </w:p>
    <w:p w:rsidR="00000000" w:rsidDel="00000000" w:rsidP="00000000" w:rsidRDefault="00000000" w:rsidRPr="00000000" w14:paraId="0000000D">
      <w:pPr>
        <w:pStyle w:val="Heading1"/>
        <w:numPr>
          <w:ilvl w:val="0"/>
          <w:numId w:val="4"/>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E">
      <w:pPr>
        <w:rPr/>
      </w:pPr>
      <w:r w:rsidDel="00000000" w:rsidR="00000000" w:rsidRPr="00000000">
        <w:rPr>
          <w:rtl w:val="0"/>
        </w:rPr>
        <w:t xml:space="preserve">N/A</w:t>
      </w:r>
    </w:p>
    <w:p w:rsidR="00000000" w:rsidDel="00000000" w:rsidP="00000000" w:rsidRDefault="00000000" w:rsidRPr="00000000" w14:paraId="0000000F">
      <w:pPr>
        <w:pStyle w:val="Heading1"/>
        <w:numPr>
          <w:ilvl w:val="0"/>
          <w:numId w:val="4"/>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0">
      <w:pPr>
        <w:rPr/>
      </w:pPr>
      <w:r w:rsidDel="00000000" w:rsidR="00000000" w:rsidRPr="00000000">
        <w:rPr>
          <w:rtl w:val="0"/>
        </w:rPr>
        <w:t xml:space="preserve">Οι Payment Service Providers έχουν τις ακόλουθες απαιτήσεις:</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Το σύστημα να υποστηρίζει κωδικούς πληρωμής: Όταν ο Operator κάνει συμψηφισμό χρεώσεων με κάποιον άλλο Operator και εξάγει υπόλοιπο προς πληρωμή, έχει τη δυνατότητα δημιουργίας ενός μοναδικού κωδικού πληρωμής, τον οποίο χρησιμοποιεί κατά την εκτέλεση της πληρωμής στο περιβάλλον του Payment Service Provider.</w:t>
      </w:r>
    </w:p>
    <w:p w:rsidR="00000000" w:rsidDel="00000000" w:rsidP="00000000" w:rsidRDefault="00000000" w:rsidRPr="00000000" w14:paraId="00000012">
      <w:pPr>
        <w:numPr>
          <w:ilvl w:val="0"/>
          <w:numId w:val="1"/>
        </w:numPr>
        <w:spacing w:before="0" w:lineRule="auto"/>
        <w:ind w:left="720" w:hanging="360"/>
        <w:jc w:val="both"/>
        <w:rPr/>
      </w:pPr>
      <w:r w:rsidDel="00000000" w:rsidR="00000000" w:rsidRPr="00000000">
        <w:rPr>
          <w:rtl w:val="0"/>
        </w:rPr>
        <w:t xml:space="preserve">Σε μελλοντική έκδοση του συστήματος, ο κωδικός πληρωμής θα μπορεί να χρησιμοποιηθεί και για την πιστοποίηση της: Με την εκτέλεση της πληρωμής, ο Payment Service Provider στέλνει στο σύστημα ειδοποίηση για την εκτέλεση της πληρωμής, ώστε οι αντίστοιχες χρεώσεις στο σύστημα να καταγραφούν ως εξοφλημένες.</w:t>
      </w:r>
    </w:p>
    <w:p w:rsidR="00000000" w:rsidDel="00000000" w:rsidP="00000000" w:rsidRDefault="00000000" w:rsidRPr="00000000" w14:paraId="00000013">
      <w:pPr>
        <w:pStyle w:val="Heading1"/>
        <w:numPr>
          <w:ilvl w:val="0"/>
          <w:numId w:val="4"/>
        </w:numPr>
        <w:ind w:left="360" w:hanging="360"/>
        <w:rPr/>
      </w:pPr>
      <w:r w:rsidDel="00000000" w:rsidR="00000000" w:rsidRPr="00000000">
        <w:rPr>
          <w:rtl w:val="0"/>
        </w:rPr>
        <w:t xml:space="preserve">Περιορισμοί στο πλαίσιο του έργου</w:t>
        <w:tab/>
      </w:r>
    </w:p>
    <w:p w:rsidR="00000000" w:rsidDel="00000000" w:rsidP="00000000" w:rsidRDefault="00000000" w:rsidRPr="00000000" w14:paraId="00000014">
      <w:pPr>
        <w:rPr/>
      </w:pPr>
      <w:r w:rsidDel="00000000" w:rsidR="00000000" w:rsidRPr="00000000">
        <w:rPr>
          <w:rtl w:val="0"/>
        </w:rPr>
        <w:t xml:space="preserve">Οι Payment Service Provider s επιβάλλουν τους ακόλουθους περιορισμούς:</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Ασφάλεια και αξιοπιστία μεταφοράς δεδομένων</w:t>
      </w:r>
    </w:p>
    <w:p w:rsidR="00000000" w:rsidDel="00000000" w:rsidP="00000000" w:rsidRDefault="00000000" w:rsidRPr="00000000" w14:paraId="00000016">
      <w:pPr>
        <w:numPr>
          <w:ilvl w:val="0"/>
          <w:numId w:val="3"/>
        </w:numPr>
        <w:spacing w:before="0" w:lineRule="auto"/>
        <w:ind w:left="720" w:hanging="360"/>
        <w:rPr/>
      </w:pPr>
      <w:r w:rsidDel="00000000" w:rsidR="00000000" w:rsidRPr="00000000">
        <w:rPr>
          <w:rtl w:val="0"/>
        </w:rPr>
        <w:t xml:space="preserve">Εξασφάλιση της εγκυρότητας των προβαλλόμενων πληροφοριών</w:t>
      </w:r>
    </w:p>
    <w:p w:rsidR="00000000" w:rsidDel="00000000" w:rsidP="00000000" w:rsidRDefault="00000000" w:rsidRPr="00000000" w14:paraId="00000017">
      <w:pPr>
        <w:pStyle w:val="Heading1"/>
        <w:numPr>
          <w:ilvl w:val="0"/>
          <w:numId w:val="4"/>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8">
      <w:pPr>
        <w:rPr/>
      </w:pPr>
      <w:r w:rsidDel="00000000" w:rsidR="00000000" w:rsidRPr="00000000">
        <w:rPr>
          <w:rtl w:val="0"/>
        </w:rPr>
        <w:t xml:space="preserve">Δεν υπάρχουν.</w:t>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color="000000" w:space="1" w:sz="4" w:val="single"/>
        <w:left w:space="0" w:sz="0" w:val="nil"/>
        <w:bottom w:space="0" w:sz="0" w:val="nil"/>
        <w:right w:space="0" w:sz="0" w:val="nil"/>
        <w:between w:space="0" w:sz="0" w:val="nil"/>
      </w:pBdr>
      <w:tabs>
        <w:tab w:val="center" w:pos="4680"/>
        <w:tab w:val="right" w:pos="9360"/>
      </w:tabs>
      <w:spacing w:before="0" w:lineRule="auto"/>
      <w:rPr>
        <w:color w:val="000000"/>
        <w:sz w:val="18"/>
        <w:szCs w:val="18"/>
      </w:rPr>
    </w:pPr>
    <w:r w:rsidDel="00000000" w:rsidR="00000000" w:rsidRPr="00000000">
      <w:rPr>
        <w:sz w:val="18"/>
        <w:szCs w:val="18"/>
        <w:rtl w:val="0"/>
      </w:rPr>
      <w:t xml:space="preserve">softeng21-88</w:t>
    </w:r>
    <w:r w:rsidDel="00000000" w:rsidR="00000000" w:rsidRPr="00000000">
      <w:rPr>
        <w:color w:val="000000"/>
        <w:sz w:val="18"/>
        <w:szCs w:val="18"/>
        <w:rtl w:val="0"/>
      </w:rPr>
      <w:tab/>
      <w:t xml:space="preserve">ΕΓΓΡΑΦΟ StRS (2021)</w:t>
      <w:tab/>
      <w:t xml:space="preserve">Σελ</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p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pPr>
      <w:spacing w:after="160"/>
    </w:pPr>
    <w:rPr>
      <w:color w:val="5a5a5a"/>
      <w:sz w:val="28"/>
      <w:szCs w:val="28"/>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nzQFSSxLLJQKWzINZYEofnxfA==">AMUW2mWCjxKQz1VrH4Bm9tPDCVBlKJjgpDa4xdFglopOPMS77Qt5s+QQXtIhc8wXXFl3tIu0M76c2fuiaK5M3xRvr0FskD1s8LtLb6SNuaWwic63vqEz9EQ=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2021-11-21T10:13:00Z</dcterms:created>
  <dc:creator>Vassilios Vescoukis</dc:creator>
</cp:coreProperties>
</file>