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Style w:val="Title"/>
      </w:pPr>
      <w:r>
        <w:t xml:space="preserve">Cloud Security Assessment</w:t>
      </w:r>
    </w:p>
    <w:p>
      <w:pPr>
        <w:pStyle w:val="CoverRule"/>
      </w:pPr>
    </w:p>
    <w:p>
      <w:r>
        <w:rPr>
          <w:b/>
          <w:bCs/>
        </w:rPr>
        <w:t xml:space="preserve">Client:</w:t>
      </w:r>
      <w:r>
        <w:t xml:space="preserve"> Example Logistics Ltd.</w:t>
      </w:r>
    </w:p>
    <w:p>
      <w:r>
        <w:rPr>
          <w:b/>
          <w:bCs/>
        </w:rPr>
        <w:t xml:space="preserve">Prepared by:</w:t>
      </w:r>
      <w:r>
        <w:t xml:space="preserve"> Harbor &amp; Pine Advisory, Security Practice</w:t>
      </w:r>
    </w:p>
    <w:p>
      <w:pPr>
        <w:sectPr>
          <w:pgSz w:w="11906" w:h="16838" w:orient="portrait"/>
          <w:pgMar w:top="1417" w:right="1417" w:bottom="1417" w:left="1417" w:header="709" w:footer="709" w:gutter="0"/>
          <w:pgNumType/>
          <w:docGrid w:linePitch="360"/>
        </w:sectPr>
      </w:pPr>
      <w:r>
        <w:rPr>
          <w:b/>
          <w:bCs/>
        </w:rPr>
        <w:t xml:space="preserve">Date:</w:t>
      </w:r>
      <w:r>
        <w:t xml:space="preserve"> 1 October 2026</w:t>
      </w:r>
    </w:p>
    <w:p>
      <w:pPr>
        <w:pStyle w:val="Heading1"/>
      </w:pPr>
      <w:r>
        <w:t xml:space="preserve">Executive summary</w:t>
      </w:r>
    </w:p>
    <w:p>
      <w:r>
        <w:t xml:space="preserve">We reviewed the production cloud environment and found 6 issues: 1 critical, 2 high, 2 medium and 1 low. The critical issue (a public storage bucket with shipment exports) should be fixed this week. The others can be planned over the next quarter.</w:t>
      </w:r>
    </w:p>
    <w:tbl>
      <w:tblPr>
        <w:tblW w:type="dxa" w:w="90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536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Findings</w:t>
            </w:r>
          </w:p>
        </w:tc>
      </w:tr>
      <w:tr>
        <w:tc>
          <w:tcPr>
            <w:tcW w:type="dxa" w:w="4536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c>
          <w:tcPr>
            <w:tcW w:type="dxa" w:w="4536"/>
          </w:tcPr>
          <w:p>
            <w:pPr>
              <w:pStyle w:val="TableText"/>
            </w:pPr>
            <w:r>
              <w:t xml:space="preserve">High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type="dxa" w:w="4536"/>
          </w:tcPr>
          <w:p>
            <w:pPr>
              <w:pStyle w:val="TableText"/>
            </w:pPr>
            <w:r>
              <w:t xml:space="preserve">Medium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type="dxa" w:w="4536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type="dxa" w:w="4536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Scope</w:t>
      </w:r>
    </w:p>
    <w:p>
      <w:r>
        <w:t xml:space="preserve">Production AWS account, customer-facing web application and CI/CD pipeline. Testing ran from 15 to 26 September 2026.</w:t>
      </w:r>
    </w:p>
    <w:p>
      <w:pPr>
        <w:pStyle w:val="Heading1"/>
      </w:pPr>
      <w:r>
        <w:t xml:space="preserve">Findings overview</w:t>
      </w:r>
    </w:p>
    <w:tbl>
      <w:tblPr>
        <w:tblW w:type="dxa" w:w="9072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4572"/>
        <w:gridCol w:w="1500"/>
        <w:gridCol w:w="2000"/>
      </w:tblGrid>
      <w:tr>
        <w:trPr>
          <w:tblHeader/>
        </w:trPr>
        <w:tc>
          <w:tcPr>
            <w:tcW w:type="dxa" w:w="1000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572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500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000"/>
            <w:shd w:fill="1F4E79" w:color="auto" w:val="clear"/>
          </w:tcPr>
          <w:p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Storage bucket with shipment exports is publicly readable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Storage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Root account has no MFA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High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Long-lived deploy keys in the CI pipeline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High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CI/CD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Database snapshots are not encrypted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Medium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Data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Web application sends no security headers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Medium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Application</w:t>
            </w:r>
          </w:p>
        </w:tc>
      </w:tr>
      <w:tr>
        <w:tc>
          <w:tcPr>
            <w:tcW w:type="dxa" w:w="1000"/>
          </w:tcPr>
          <w:p>
            <w:pPr>
              <w:pStyle w:val="TableText"/>
            </w:pPr>
            <w:r>
              <w:t xml:space="preserve">F-06</w:t>
            </w:r>
          </w:p>
        </w:tc>
        <w:tc>
          <w:tcPr>
            <w:tcW w:type="dxa" w:w="4572"/>
          </w:tcPr>
          <w:p>
            <w:pPr>
              <w:pStyle w:val="TableText"/>
            </w:pPr>
            <w:r>
              <w:t xml:space="preserve">Audit log retention is 30 days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t xml:space="preserve">Logging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Detailed findings</w:t>
      </w:r>
    </w:p>
    <w:p>
      <w:pPr>
        <w:pStyle w:val="Heading2"/>
      </w:pPr>
      <w:r>
        <w:t xml:space="preserve">F-01: Storage bucket with shipment exports is publicly readable</w:t>
      </w:r>
    </w:p>
    <w:p>
      <w:r>
        <w:rPr>
          <w:b/>
          <w:bCs/>
        </w:rPr>
        <w:t xml:space="preserve">Severity:</w:t>
      </w:r>
      <w:r>
        <w:t xml:space="preserve"> Critical · </w:t>
      </w:r>
      <w:r>
        <w:rPr>
          <w:b/>
          <w:bCs/>
        </w:rPr>
        <w:t xml:space="preserve">Area:</w:t>
      </w:r>
      <w:r>
        <w:t xml:space="preserve"> Storage</w:t>
      </w:r>
    </w:p>
    <w:p>
      <w:r>
        <w:t xml:space="preserve">The bucket that stores nightly shipment exports allows anonymous read access. The files contain customer names and delivery addresses.</w:t>
      </w:r>
    </w:p>
    <w:p>
      <w:r>
        <w:rPr>
          <w:b/>
          <w:bCs/>
        </w:rPr>
        <w:t xml:space="preserve">Recommendation:</w:t>
      </w:r>
      <w:r>
        <w:t xml:space="preserve"> Block public access on the bucket and the account, rotate the export links already shared, and review access logs for the last 90 days.</w:t>
      </w:r>
    </w:p>
    <w:p>
      <w:pPr>
        <w:pStyle w:val="Heading2"/>
      </w:pPr>
      <w:r>
        <w:t xml:space="preserve">F-02: Root account has no MFA</w:t>
      </w:r>
    </w:p>
    <w:p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Area:</w:t>
      </w:r>
      <w:r>
        <w:t xml:space="preserve"> Identity</w:t>
      </w:r>
    </w:p>
    <w:p>
      <w:r>
        <w:t xml:space="preserve">The AWS root user can sign in with a password only. It was last used 41 days ago.</w:t>
      </w:r>
    </w:p>
    <w:p>
      <w:r>
        <w:rPr>
          <w:b/>
          <w:bCs/>
        </w:rPr>
        <w:t xml:space="preserve">Recommendation:</w:t>
      </w:r>
      <w:r>
        <w:t xml:space="preserve"> Enable hardware MFA on the root user, store the device securely and alert on any root sign-in.</w:t>
      </w:r>
    </w:p>
    <w:p>
      <w:pPr>
        <w:pStyle w:val="Heading2"/>
      </w:pPr>
      <w:r>
        <w:t xml:space="preserve">F-03: Long-lived deploy keys in the CI pipeline</w:t>
      </w:r>
    </w:p>
    <w:p>
      <w:r>
        <w:rPr>
          <w:b/>
          <w:bCs/>
        </w:rPr>
        <w:t xml:space="preserve">Severity:</w:t>
      </w:r>
      <w:r>
        <w:t xml:space="preserve"> High · </w:t>
      </w:r>
      <w:r>
        <w:rPr>
          <w:b/>
          <w:bCs/>
        </w:rPr>
        <w:t xml:space="preserve">Area:</w:t>
      </w:r>
      <w:r>
        <w:t xml:space="preserve"> CI/CD</w:t>
      </w:r>
    </w:p>
    <w:p>
      <w:r>
        <w:t xml:space="preserve">The pipeline uses an IAM user access key created 14 months ago with administrator permissions.</w:t>
      </w:r>
    </w:p>
    <w:p>
      <w:r>
        <w:rPr>
          <w:b/>
          <w:bCs/>
        </w:rPr>
        <w:t xml:space="preserve">Recommendation:</w:t>
      </w:r>
      <w:r>
        <w:t xml:space="preserve"> Replace the key with short-lived OIDC credentials and a role limited to the deploy actions.</w:t>
      </w:r>
    </w:p>
    <w:p>
      <w:pPr>
        <w:pStyle w:val="Heading2"/>
      </w:pPr>
      <w:r>
        <w:t xml:space="preserve">F-04: Database snapshots are not encrypted</w:t>
      </w:r>
    </w:p>
    <w:p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Area:</w:t>
      </w:r>
      <w:r>
        <w:t xml:space="preserve"> Data</w:t>
      </w:r>
    </w:p>
    <w:p>
      <w:r>
        <w:t xml:space="preserve">Manual snapshots of the orders database are stored without encryption at rest.</w:t>
      </w:r>
    </w:p>
    <w:p>
      <w:r>
        <w:rPr>
          <w:b/>
          <w:bCs/>
        </w:rPr>
        <w:t xml:space="preserve">Recommendation:</w:t>
      </w:r>
      <w:r>
        <w:t xml:space="preserve"> Copy the snapshots with encryption enabled, delete the unencrypted copies and enforce encryption by policy.</w:t>
      </w:r>
    </w:p>
    <w:p>
      <w:pPr>
        <w:pStyle w:val="Heading2"/>
      </w:pPr>
      <w:r>
        <w:t xml:space="preserve">F-05: Web application sends no security headers</w:t>
      </w:r>
    </w:p>
    <w:p>
      <w:r>
        <w:rPr>
          <w:b/>
          <w:bCs/>
        </w:rPr>
        <w:t xml:space="preserve">Severity:</w:t>
      </w:r>
      <w:r>
        <w:t xml:space="preserve"> Medium · </w:t>
      </w:r>
      <w:r>
        <w:rPr>
          <w:b/>
          <w:bCs/>
        </w:rPr>
        <w:t xml:space="preserve">Area:</w:t>
      </w:r>
      <w:r>
        <w:t xml:space="preserve"> Application</w:t>
      </w:r>
    </w:p>
    <w:p>
      <w:r>
        <w:t xml:space="preserve">Responses lack Content-Security-Policy, Strict-Transport-Security and X-Content-Type-Options headers.</w:t>
      </w:r>
    </w:p>
    <w:p>
      <w:r>
        <w:rPr>
          <w:b/>
          <w:bCs/>
        </w:rPr>
        <w:t xml:space="preserve">Recommendation:</w:t>
      </w:r>
      <w:r>
        <w:t xml:space="preserve"> Add the headers at the load balancer or CDN and start with a report-only Content-Security-Policy.</w:t>
      </w:r>
    </w:p>
    <w:p>
      <w:pPr>
        <w:pStyle w:val="Heading2"/>
      </w:pPr>
      <w:r>
        <w:t xml:space="preserve">F-06: Audit log retention is 30 days</w:t>
      </w:r>
    </w:p>
    <w:p>
      <w:r>
        <w:rPr>
          <w:b/>
          <w:bCs/>
        </w:rPr>
        <w:t xml:space="preserve">Severity:</w:t>
      </w:r>
      <w:r>
        <w:t xml:space="preserve"> Low · </w:t>
      </w:r>
      <w:r>
        <w:rPr>
          <w:b/>
          <w:bCs/>
        </w:rPr>
        <w:t xml:space="preserve">Area:</w:t>
      </w:r>
      <w:r>
        <w:t xml:space="preserve"> Logging</w:t>
      </w:r>
    </w:p>
    <w:p>
      <w:r>
        <w:t xml:space="preserve">Audit logs are kept for 30 days, shorter than the 1-year retention in the client's own policy.</w:t>
      </w:r>
    </w:p>
    <w:p>
      <w:r>
        <w:rPr>
          <w:b/>
          <w:bCs/>
        </w:rPr>
        <w:t xml:space="preserve">Recommendation:</w:t>
      </w:r>
      <w:r>
        <w:t xml:space="preserve"> Move audit logs to a dedicated archive bucket with a 1-year lifecycle rule.</w:t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1417" w:header="709" w:footer="709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t xml:space="preserve">Confidential · Prepared for Example Logistics Ltd.</w:t>
    </w:r>
    <w: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</w:pPr>
    <w:r>
      <w:t xml:space="preserve">Harbor &amp; Pine Advisory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00000"/>
        <w:sz w:val="22"/>
        <w:szCs w:val="22"/>
      </w:rPr>
    </w:rPrDefault>
    <w:pPrDefault>
      <w:pPr>
        <w:spacing w:after="120" w:line="276"/>
        <w:jc w:val="both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 w:line="240"/>
      <w:jc w:val="left"/>
    </w:pPr>
    <w:rPr>
      <w:rFonts w:ascii="Inter" w:cs="Inter" w:eastAsia="Inter" w:hAnsi="Inter"/>
      <w:b/>
      <w:bCs/>
      <w:color w:val="1F4E79"/>
      <w:sz w:val="60"/>
      <w:szCs w:val="60"/>
    </w:rPr>
  </w:style>
  <w:style w:type="paragraph" w:styleId="CoverRule">
    <w:name w:val="Cover Rule"/>
    <w:basedOn w:val="Normal"/>
    <w:next w:val="Normal"/>
    <w:pPr>
      <w:pBdr>
        <w:bottom w:val="single" w:color="1F4E79" w:sz="24" w:space="1"/>
      </w:pBdr>
      <w:spacing w:after="480" w:before="0" w:line="240"/>
      <w:jc w:val="left"/>
    </w:pPr>
    <w:rPr>
      <w:sz w:val="4"/>
      <w:szCs w:val="4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4E79" w:sz="8" w:space="4"/>
      </w:pBdr>
      <w:spacing w:after="160" w:before="360" w:line="240"/>
      <w:jc w:val="left"/>
      <w:outlineLvl w:val="0"/>
    </w:pPr>
    <w:rPr>
      <w:rFonts w:ascii="Inter" w:cs="Inter" w:eastAsia="Inter" w:hAnsi="Inter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 w:line="240"/>
      <w:jc w:val="left"/>
      <w:outlineLvl w:val="1"/>
    </w:pPr>
    <w:rPr>
      <w:rFonts w:ascii="Inter" w:cs="Inter" w:eastAsia="Inter" w:hAnsi="Inter"/>
      <w:b/>
      <w:bCs/>
      <w:color w:val="1F4E79"/>
      <w:sz w:val="26"/>
      <w:szCs w:val="26"/>
    </w:rPr>
  </w:style>
  <w:style w:type="paragraph" w:styleId="TableText">
    <w:name w:val="Table Text"/>
    <w:basedOn w:val="Normal"/>
    <w:qFormat w:val="false"/>
    <w:pPr>
      <w:spacing w:after="40" w:before="40" w:line="240"/>
      <w:jc w:val="left"/>
    </w:pPr>
    <w:rPr>
      <w:sz w:val="20"/>
      <w:szCs w:val="20"/>
    </w:rPr>
  </w:style>
  <w:style w:type="paragraph" w:styleId="Header">
    <w:name w:val="header"/>
    <w:basedOn w:val="Normal"/>
    <w:pPr>
      <w:spacing w:after="0" w:line="240"/>
      <w:jc w:val="right"/>
    </w:pPr>
    <w:rPr>
      <w:color w:val="595959"/>
      <w:sz w:val="18"/>
      <w:szCs w:val="18"/>
    </w:rPr>
  </w:style>
  <w:style w:type="paragraph" w:styleId="Footer">
    <w:name w:val="footer"/>
    <w:basedOn w:val="Normal"/>
    <w:pPr>
      <w:tabs>
        <w:tab w:val="right" w:pos="9072"/>
      </w:tabs>
      <w:spacing w:after="0" w:line="240"/>
      <w:jc w:val="left"/>
    </w:pPr>
    <w:rPr>
      <w:color w:val="595959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Security Assessment</dc:title>
  <dc:creator>Harbor &amp; Pine Advisory</dc:creator>
  <cp:lastModifiedBy>Un-named</cp:lastModifiedBy>
  <cp:revision>1</cp:revision>
  <dcterms:created xsi:type="dcterms:W3CDTF">2026-10-10T17:57:50.538Z</dcterms:created>
  <dcterms:modified xsi:type="dcterms:W3CDTF">2026-10-10T17:57:50.538Z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