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Carnet de Bord [Partie 7]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color w:val="38761d"/>
          <w:sz w:val="36"/>
          <w:szCs w:val="36"/>
          <w:u w:val="single"/>
        </w:rPr>
      </w:pPr>
      <w:r w:rsidDel="00000000" w:rsidR="00000000" w:rsidRPr="00000000">
        <w:rPr>
          <w:i w:val="1"/>
          <w:color w:val="38761d"/>
          <w:sz w:val="36"/>
          <w:szCs w:val="36"/>
          <w:u w:val="single"/>
          <w:rtl w:val="0"/>
        </w:rPr>
        <w:t xml:space="preserve">Thème : Comment modéliser la propagation d’une épidémie?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Groupe 207</w:t>
      </w:r>
      <w:r w:rsidDel="00000000" w:rsidR="00000000" w:rsidRPr="00000000">
        <w:rPr>
          <w:i w:val="1"/>
          <w:sz w:val="28"/>
          <w:szCs w:val="28"/>
          <w:rtl w:val="0"/>
        </w:rPr>
        <w:t xml:space="preserve"> | MAHDJOUBI Bilal | BORGES Ludovic | BERTRAND Baptiste | H’MIDA Eymen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20/10/2020</w:t>
      </w:r>
    </w:p>
    <w:p w:rsidR="00000000" w:rsidDel="00000000" w:rsidP="00000000" w:rsidRDefault="00000000" w:rsidRPr="00000000" w14:paraId="00000008">
      <w:pPr>
        <w:jc w:val="center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Résultats des tests du modèle SEIR 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utilisant les données du site Worldometers, on a pu comparer no chiffres à ceux de la réalité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Voir carnet de bord 5</w:t>
        </w:r>
      </w:hyperlink>
      <w:r w:rsidDel="00000000" w:rsidR="00000000" w:rsidRPr="00000000">
        <w:rPr>
          <w:sz w:val="24"/>
          <w:szCs w:val="24"/>
          <w:rtl w:val="0"/>
        </w:rPr>
        <w:t xml:space="preserve">) pour le 13 octobre. On trouve que nos chiffres surestiment le nombre d’infectés, on va donc en conséquence adapter nos données, notamment en réduisant le temps infectieux de 14 à 10 jours. ainsi, on espère avoir des données qui correspondent plus à celles du COVID-19.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Plus de batteries de test 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Afin de finir ce projet, nous allons faire des batteries de test pour tous les modèles sur 7 et 14 jours. Ainsi on pourra comparer ces données et répondre à notre problématique.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Interface du programme 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Nous continuons à programmer l’interface de notre programme de simulation d’une épidémie. Ajout de messages d’erreurs;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dCN3GD-sOkePgzaLNj3NpUucIyQYZa1Hz2bSiufjG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