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>при мінімізації функції Розенброка  в залежності від:</w:t>
      </w:r>
    </w:p>
    <w:p w14:paraId="655938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6F8CCE3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p w14:paraId="1BA265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435DA4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0"/>
    </w:p>
    <w:p w14:paraId="0D6D748B" w14:textId="77777777" w:rsidR="00FD4031" w:rsidRDefault="00FD4031" w:rsidP="00FD4031">
      <w:pPr>
        <w:spacing w:after="160" w:line="259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3B1CB57D" w14:textId="77777777" w:rsidR="00FD4031" w:rsidRDefault="00FD4031" w:rsidP="00FD4031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76B50B4" w14:textId="77777777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840435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1"/>
    </w:p>
    <w:p w14:paraId="53B68130" w14:textId="77777777" w:rsidR="005A198F" w:rsidRDefault="005A198F"/>
    <w:sectPr w:rsidR="005A198F" w:rsidSect="00ED77FE">
      <w:headerReference w:type="default" r:id="rId7"/>
      <w:headerReference w:type="first" r:id="rId8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D06A" w14:textId="77777777" w:rsidR="000C38EE" w:rsidRDefault="000C38EE">
      <w:r>
        <w:separator/>
      </w:r>
    </w:p>
  </w:endnote>
  <w:endnote w:type="continuationSeparator" w:id="0">
    <w:p w14:paraId="4449C0C9" w14:textId="77777777" w:rsidR="000C38EE" w:rsidRDefault="000C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6255" w14:textId="77777777" w:rsidR="000C38EE" w:rsidRDefault="000C38EE">
      <w:r>
        <w:separator/>
      </w:r>
    </w:p>
  </w:footnote>
  <w:footnote w:type="continuationSeparator" w:id="0">
    <w:p w14:paraId="4AAF13BD" w14:textId="77777777" w:rsidR="000C38EE" w:rsidRDefault="000C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rgUAuVcHYiwAAAA="/>
  </w:docVars>
  <w:rsids>
    <w:rsidRoot w:val="0086237A"/>
    <w:rsid w:val="000C38EE"/>
    <w:rsid w:val="001F2795"/>
    <w:rsid w:val="00435DA4"/>
    <w:rsid w:val="005A198F"/>
    <w:rsid w:val="0086237A"/>
    <w:rsid w:val="00941253"/>
    <w:rsid w:val="009A59A3"/>
    <w:rsid w:val="00D52202"/>
    <w:rsid w:val="00DD34B1"/>
    <w:rsid w:val="00E82133"/>
    <w:rsid w:val="00FB6CBE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1773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6</cp:revision>
  <dcterms:created xsi:type="dcterms:W3CDTF">2023-05-01T15:14:00Z</dcterms:created>
  <dcterms:modified xsi:type="dcterms:W3CDTF">2023-05-08T19:47:00Z</dcterms:modified>
</cp:coreProperties>
</file>