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39.png" ContentType="image/png"/>
  <Override PartName="/word/media/rId26.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igures"/>
      <w:bookmarkEnd w:id="21"/>
      <w:r>
        <w:t xml:space="preserve">FIGURES</w:t>
      </w:r>
    </w:p>
    <w:p/>
    <w:p>
      <w:pPr>
        <w:pStyle w:val="Heading2"/>
      </w:pPr>
      <w:bookmarkStart w:id="22" w:name="figure-1.-our-study-areas-the-managed-forests-of-saskatchewan-and-the-prince-albert-forest-management-area."/>
      <w:bookmarkEnd w:id="22"/>
      <w:r>
        <w:t xml:space="preserve">Figure 1. Our study areas: the managed forests of Saskatchewan and the Prince Albert Forest Management Area.</w:t>
      </w:r>
    </w:p>
    <w:p/>
    <w:p/>
    <w:p>
      <w:pPr>
        <w:pStyle w:val="Heading2"/>
      </w:pPr>
      <w:bookmarkStart w:id="23" w:name="figure-2.-analyses-inputs-and-flow."/>
      <w:bookmarkEnd w:id="23"/>
      <w:r>
        <w:t xml:space="preserve">Figure 2. Analyses inputs and flow.</w:t>
      </w:r>
    </w:p>
    <w:p>
      <w:r>
        <w:drawing>
          <wp:inline>
            <wp:extent cx="5440680" cy="7040880"/>
            <wp:effectExtent b="0" l="0" r="0" t="0"/>
            <wp:docPr descr="" id="1" name="Picture"/>
            <a:graphic>
              <a:graphicData uri="http://schemas.openxmlformats.org/drawingml/2006/picture">
                <pic:pic>
                  <pic:nvPicPr>
                    <pic:cNvPr descr="figures/fig2.jpeg" id="0" name="Picture"/>
                    <pic:cNvPicPr>
                      <a:picLocks noChangeArrowheads="1" noChangeAspect="1"/>
                    </pic:cNvPicPr>
                  </pic:nvPicPr>
                  <pic:blipFill>
                    <a:blip r:embed="rId24"/>
                    <a:stretch>
                      <a:fillRect/>
                    </a:stretch>
                  </pic:blipFill>
                  <pic:spPr bwMode="auto">
                    <a:xfrm>
                      <a:off x="0" y="0"/>
                      <a:ext cx="5440680" cy="7040880"/>
                    </a:xfrm>
                    <a:prstGeom prst="rect">
                      <a:avLst/>
                    </a:prstGeom>
                    <a:noFill/>
                    <a:ln w="9525">
                      <a:noFill/>
                      <a:headEnd/>
                      <a:tailEnd/>
                    </a:ln>
                  </pic:spPr>
                </pic:pic>
              </a:graphicData>
            </a:graphic>
          </wp:inline>
        </w:drawing>
      </w:r>
    </w:p>
    <w:p/>
    <w:p>
      <w:pPr>
        <w:pStyle w:val="Heading2"/>
      </w:pPr>
      <w:bookmarkStart w:id="25" w:name="figure-3.-tree-level-measurements-over-plot-age-by-species-for-plots-used-for-biomass-prediction."/>
      <w:bookmarkEnd w:id="25"/>
      <w:r>
        <w:t xml:space="preserve">Figure 3. Tree-level measurements over plot age, by species for plots used for biomass prediction.</w:t>
      </w:r>
    </w:p>
    <w:p>
      <w:r>
        <w:drawing>
          <wp:inline>
            <wp:extent cx="5440680" cy="4332123"/>
            <wp:effectExtent b="0" l="0" r="0" t="0"/>
            <wp:docPr descr="" id="1" name="Picture"/>
            <a:graphic>
              <a:graphicData uri="http://schemas.openxmlformats.org/drawingml/2006/picture">
                <pic:pic>
                  <pic:nvPicPr>
                    <pic:cNvPr descr="figures/SK418_TreeMeasAgeSps.JPG" id="0" name="Picture"/>
                    <pic:cNvPicPr>
                      <a:picLocks noChangeArrowheads="1" noChangeAspect="1"/>
                    </pic:cNvPicPr>
                  </pic:nvPicPr>
                  <pic:blipFill>
                    <a:blip r:embed="rId26"/>
                    <a:stretch>
                      <a:fillRect/>
                    </a:stretch>
                  </pic:blipFill>
                  <pic:spPr bwMode="auto">
                    <a:xfrm>
                      <a:off x="0" y="0"/>
                      <a:ext cx="5440680" cy="4332123"/>
                    </a:xfrm>
                    <a:prstGeom prst="rect">
                      <a:avLst/>
                    </a:prstGeom>
                    <a:noFill/>
                    <a:ln w="9525">
                      <a:noFill/>
                      <a:headEnd/>
                      <a:tailEnd/>
                    </a:ln>
                  </pic:spPr>
                </pic:pic>
              </a:graphicData>
            </a:graphic>
          </wp:inline>
        </w:drawing>
      </w:r>
    </w:p>
    <w:p/>
    <w:p>
      <w:pPr>
        <w:pStyle w:val="Heading2"/>
      </w:pPr>
      <w:bookmarkStart w:id="27" w:name="figure-4.-number-of-plots-measured-in-each-measurement-year."/>
      <w:bookmarkEnd w:id="27"/>
      <w:r>
        <w:t xml:space="preserve">Figure 4. Number of plots measured in each measurement year.</w:t>
      </w:r>
    </w:p>
    <w:p>
      <w:r>
        <w:drawing>
          <wp:inline>
            <wp:extent cx="4610100" cy="3695700"/>
            <wp:effectExtent b="0" l="0" r="0" t="0"/>
            <wp:docPr descr="" id="1" name="Picture"/>
            <a:graphic>
              <a:graphicData uri="http://schemas.openxmlformats.org/drawingml/2006/picture">
                <pic:pic>
                  <pic:nvPicPr>
                    <pic:cNvPr descr="FIGURES_files/figure-docx/unnamed-chunk-2-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
      <w:pPr>
        <w:pStyle w:val="Heading2"/>
      </w:pPr>
      <w:bookmarkStart w:id="29" w:name="figure-5.-average-yearly-biomass-across-all-pixels-of-the-combined-data-estimates-for-each-year-from-1984-2012."/>
      <w:bookmarkEnd w:id="29"/>
      <w:r>
        <w:t xml:space="preserve">Figure 5. Average yearly biomass across all pixels of the combined-data estimates for each year from 1984-2012.</w:t>
      </w:r>
    </w:p>
    <w:p>
      <w:r>
        <w:drawing>
          <wp:inline>
            <wp:extent cx="4610100" cy="3695700"/>
            <wp:effectExtent b="0" l="0" r="0" t="0"/>
            <wp:docPr descr="" id="1" name="Picture"/>
            <a:graphic>
              <a:graphicData uri="http://schemas.openxmlformats.org/drawingml/2006/picture">
                <pic:pic>
                  <pic:nvPicPr>
                    <pic:cNvPr descr="FIGURES_files/figure-docx/unnamed-chunk-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
      <w:pPr>
        <w:pStyle w:val="Heading2"/>
      </w:pPr>
      <w:bookmarkStart w:id="31" w:name="figure-6.-model-residuals-for-mixed-effect-model-fit-to-field-plot-data."/>
      <w:bookmarkEnd w:id="31"/>
      <w:r>
        <w:t xml:space="preserve">Figure 6. Model residuals for mixed effect model fit to field plot data.</w:t>
      </w:r>
    </w:p>
    <w:p>
      <w:r>
        <w:drawing>
          <wp:inline>
            <wp:extent cx="4610100" cy="3695700"/>
            <wp:effectExtent b="0" l="0" r="0" t="0"/>
            <wp:docPr descr="" id="1" name="Picture"/>
            <a:graphic>
              <a:graphicData uri="http://schemas.openxmlformats.org/drawingml/2006/picture">
                <pic:pic>
                  <pic:nvPicPr>
                    <pic:cNvPr descr="FIGURES_files/figure-docx/unnamed-chunk-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
      <w:pPr>
        <w:pStyle w:val="Heading2"/>
      </w:pPr>
      <w:bookmarkStart w:id="33" w:name="figure-7.-model-residuals-for-mixed-effect-model-fit-to-the-combined-field-and-remote-sensing-data."/>
      <w:bookmarkEnd w:id="33"/>
      <w:r>
        <w:t xml:space="preserve">Figure 7. Model residuals for mixed effect model fit to the combined field and remote sensing data.</w:t>
      </w:r>
    </w:p>
    <w:p>
      <w:r>
        <w:drawing>
          <wp:inline>
            <wp:extent cx="4610100" cy="3695700"/>
            <wp:effectExtent b="0" l="0" r="0" t="0"/>
            <wp:docPr descr="" id="1" name="Picture"/>
            <a:graphic>
              <a:graphicData uri="http://schemas.openxmlformats.org/drawingml/2006/picture">
                <pic:pic>
                  <pic:nvPicPr>
                    <pic:cNvPr descr="FIGURES_files/figure-docx/unnamed-chunk-5-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
      <w:pPr>
        <w:pStyle w:val="Heading2"/>
      </w:pPr>
      <w:bookmarkStart w:id="35" w:name="figure-8.-confidence-interval-around-parameter-estimates-of-a-type-ii-combined-exponential-and-power-function-with-random-effect-on-plot-fit-for-predicting-change-in-biomass-in-the-field-plots-as-a-function-of-age."/>
      <w:bookmarkEnd w:id="35"/>
      <w:r>
        <w:t xml:space="preserve">Figure 8. Confidence interval around parameter estimates of a TYPE II combined exponential and power function with random effect on plot, fit for predicting change in biomass in the field plots as a function of age.</w:t>
      </w:r>
    </w:p>
    <w:p>
      <w:r>
        <w:drawing>
          <wp:inline>
            <wp:extent cx="4610100" cy="3695700"/>
            <wp:effectExtent b="0" l="0" r="0" t="0"/>
            <wp:docPr descr="" id="1" name="Picture"/>
            <a:graphic>
              <a:graphicData uri="http://schemas.openxmlformats.org/drawingml/2006/picture">
                <pic:pic>
                  <pic:nvPicPr>
                    <pic:cNvPr descr="FIGURES_files/figure-docx/unnamed-chunk-6-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
      <w:pPr>
        <w:pStyle w:val="Heading2"/>
      </w:pPr>
      <w:bookmarkStart w:id="37" w:name="figure-9.-parameter-comparison-between-parameters-fit-with-the-same-methods-on-the-same-model-form-but-with-two-different-data-sets-one-with-only-field-plots-information-and-one-with-combined-field-and-remote-sensing-data.-the-first-panel-is-for-the-intercept-and-the-second-for-the-slopes."/>
      <w:bookmarkEnd w:id="37"/>
      <w:r>
        <w:t xml:space="preserve">Figure 9. Parameter comparison between parameters fit with the same methods on the same model form but with two different data sets, one with only field plots information and one with combined field and remote sensing data. The first panel is for the intercept, and the second for the slopes.</w:t>
      </w:r>
    </w:p>
    <w:p>
      <w:r>
        <w:drawing>
          <wp:inline>
            <wp:extent cx="4610100" cy="3695700"/>
            <wp:effectExtent b="0" l="0" r="0" t="0"/>
            <wp:docPr descr="" id="1" name="Picture"/>
            <a:graphic>
              <a:graphicData uri="http://schemas.openxmlformats.org/drawingml/2006/picture">
                <pic:pic>
                  <pic:nvPicPr>
                    <pic:cNvPr descr="FIGURES_files/figure-docx/unnamed-chunk-7-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FIGURES_files/figure-docx/unnamed-chunk-7-2.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bfbf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6" Target="media/rId26.jpg"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