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112" w:right="0" w:firstLine="0"/>
        <w:jc w:val="left"/>
        <w:rPr>
          <w:i/>
          <w:sz w:val="22"/>
        </w:rPr>
      </w:pPr>
      <w:r>
        <w:rPr/>
        <w:drawing>
          <wp:anchor distT="0" distB="0" distL="0" distR="0" allowOverlap="1" layoutInCell="1" locked="0" behindDoc="0" simplePos="0" relativeHeight="0">
            <wp:simplePos x="0" y="0"/>
            <wp:positionH relativeFrom="page">
              <wp:posOffset>5968365</wp:posOffset>
            </wp:positionH>
            <wp:positionV relativeFrom="paragraph">
              <wp:posOffset>238605</wp:posOffset>
            </wp:positionV>
            <wp:extent cx="1143000" cy="6858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43000" cy="685800"/>
                    </a:xfrm>
                    <a:prstGeom prst="rect">
                      <a:avLst/>
                    </a:prstGeom>
                  </pic:spPr>
                </pic:pic>
              </a:graphicData>
            </a:graphic>
          </wp:anchor>
        </w:drawing>
      </w:r>
      <w:r>
        <w:rPr>
          <w:i/>
          <w:sz w:val="22"/>
        </w:rPr>
        <w:t>Cite</w:t>
      </w:r>
      <w:r>
        <w:rPr>
          <w:i/>
          <w:spacing w:val="-41"/>
          <w:sz w:val="22"/>
        </w:rPr>
        <w:t> </w:t>
      </w:r>
      <w:r>
        <w:rPr>
          <w:i/>
          <w:sz w:val="22"/>
        </w:rPr>
        <w:t>as:</w:t>
      </w:r>
      <w:r>
        <w:rPr>
          <w:i/>
          <w:spacing w:val="-40"/>
          <w:sz w:val="22"/>
        </w:rPr>
        <w:t> </w:t>
      </w:r>
      <w:r>
        <w:rPr>
          <w:i/>
          <w:sz w:val="22"/>
        </w:rPr>
        <w:t>Veerle</w:t>
      </w:r>
      <w:r>
        <w:rPr>
          <w:i/>
          <w:spacing w:val="-41"/>
          <w:sz w:val="22"/>
        </w:rPr>
        <w:t> </w:t>
      </w:r>
      <w:r>
        <w:rPr>
          <w:i/>
          <w:sz w:val="22"/>
        </w:rPr>
        <w:t>Van</w:t>
      </w:r>
      <w:r>
        <w:rPr>
          <w:i/>
          <w:spacing w:val="-41"/>
          <w:sz w:val="22"/>
        </w:rPr>
        <w:t> </w:t>
      </w:r>
      <w:r>
        <w:rPr>
          <w:i/>
          <w:sz w:val="22"/>
        </w:rPr>
        <w:t>den</w:t>
      </w:r>
      <w:r>
        <w:rPr>
          <w:i/>
          <w:spacing w:val="-42"/>
          <w:sz w:val="22"/>
        </w:rPr>
        <w:t> </w:t>
      </w:r>
      <w:r>
        <w:rPr>
          <w:i/>
          <w:sz w:val="22"/>
        </w:rPr>
        <w:t>Eynden</w:t>
      </w:r>
      <w:r>
        <w:rPr>
          <w:i/>
          <w:spacing w:val="-40"/>
          <w:sz w:val="22"/>
        </w:rPr>
        <w:t> </w:t>
      </w:r>
      <w:r>
        <w:rPr>
          <w:i/>
          <w:sz w:val="22"/>
        </w:rPr>
        <w:t>(2018)</w:t>
      </w:r>
      <w:r>
        <w:rPr>
          <w:i/>
          <w:spacing w:val="-41"/>
          <w:sz w:val="22"/>
        </w:rPr>
        <w:t> </w:t>
      </w:r>
      <w:r>
        <w:rPr>
          <w:i/>
          <w:sz w:val="22"/>
        </w:rPr>
        <w:t>Exercise:</w:t>
      </w:r>
      <w:r>
        <w:rPr>
          <w:i/>
          <w:spacing w:val="-41"/>
          <w:sz w:val="22"/>
        </w:rPr>
        <w:t> </w:t>
      </w:r>
      <w:r>
        <w:rPr>
          <w:i/>
          <w:sz w:val="22"/>
        </w:rPr>
        <w:t>De-identification</w:t>
      </w:r>
      <w:r>
        <w:rPr>
          <w:i/>
          <w:spacing w:val="-41"/>
          <w:sz w:val="22"/>
        </w:rPr>
        <w:t> </w:t>
      </w:r>
      <w:r>
        <w:rPr>
          <w:i/>
          <w:sz w:val="22"/>
        </w:rPr>
        <w:t>on</w:t>
      </w:r>
      <w:r>
        <w:rPr>
          <w:i/>
          <w:spacing w:val="-41"/>
          <w:sz w:val="22"/>
        </w:rPr>
        <w:t> </w:t>
      </w:r>
      <w:r>
        <w:rPr>
          <w:i/>
          <w:sz w:val="22"/>
        </w:rPr>
        <w:t>quantitative</w:t>
      </w:r>
      <w:r>
        <w:rPr>
          <w:i/>
          <w:spacing w:val="-42"/>
          <w:sz w:val="22"/>
        </w:rPr>
        <w:t> </w:t>
      </w:r>
      <w:r>
        <w:rPr>
          <w:i/>
          <w:sz w:val="22"/>
        </w:rPr>
        <w:t>data.</w:t>
      </w:r>
      <w:r>
        <w:rPr>
          <w:i/>
          <w:spacing w:val="-41"/>
          <w:sz w:val="22"/>
        </w:rPr>
        <w:t> </w:t>
      </w:r>
      <w:r>
        <w:rPr>
          <w:i/>
          <w:sz w:val="22"/>
        </w:rPr>
        <w:t>UK</w:t>
      </w:r>
      <w:r>
        <w:rPr>
          <w:i/>
          <w:spacing w:val="-40"/>
          <w:sz w:val="22"/>
        </w:rPr>
        <w:t> </w:t>
      </w:r>
      <w:r>
        <w:rPr>
          <w:i/>
          <w:sz w:val="22"/>
        </w:rPr>
        <w:t>Data</w:t>
      </w:r>
      <w:r>
        <w:rPr>
          <w:i/>
          <w:spacing w:val="-41"/>
          <w:sz w:val="22"/>
        </w:rPr>
        <w:t> </w:t>
      </w:r>
      <w:r>
        <w:rPr>
          <w:i/>
          <w:sz w:val="22"/>
        </w:rPr>
        <w:t>Service,</w:t>
      </w:r>
      <w:r>
        <w:rPr>
          <w:i/>
          <w:spacing w:val="-42"/>
          <w:sz w:val="22"/>
        </w:rPr>
        <w:t> </w:t>
      </w:r>
      <w:r>
        <w:rPr>
          <w:i/>
          <w:sz w:val="22"/>
        </w:rPr>
        <w:t>UK</w:t>
      </w:r>
    </w:p>
    <w:p>
      <w:pPr>
        <w:pStyle w:val="Title"/>
      </w:pPr>
      <w:r>
        <w:rPr/>
        <w:t>Exercise: De-identification of quantitative data</w:t>
      </w:r>
    </w:p>
    <w:p>
      <w:pPr>
        <w:pStyle w:val="BodyText"/>
        <w:spacing w:before="5"/>
        <w:rPr>
          <w:b/>
          <w:sz w:val="43"/>
        </w:rPr>
      </w:pPr>
    </w:p>
    <w:p>
      <w:pPr>
        <w:pStyle w:val="BodyText"/>
        <w:ind w:left="112" w:right="693"/>
      </w:pPr>
      <w:r>
        <w:rPr/>
        <w:t>In order to make microdata collected as part of the Northern Ghana Millennium Villages project evaluation publicly available via the UK Data Service, to encourage research and ensure openness and transparency, all variables in the household survey were assessed for disclosure risk, with recommendations for action.</w:t>
      </w:r>
    </w:p>
    <w:p>
      <w:pPr>
        <w:pStyle w:val="BodyText"/>
        <w:spacing w:before="119"/>
        <w:ind w:left="112" w:right="707"/>
      </w:pPr>
      <w:r>
        <w:rPr/>
        <w:t>The table below shows some assessed variables (variables commonly assessed for disclosure risk such as age, community, but also variables for which local knowledge is essential to indicate risk) with identified disclosure risk. Which action would you take to reduce the disclosure risk?</w:t>
      </w:r>
    </w:p>
    <w:p>
      <w:pPr>
        <w:pStyle w:val="BodyText"/>
        <w:rPr>
          <w:sz w:val="24"/>
        </w:rPr>
      </w:pPr>
    </w:p>
    <w:p>
      <w:pPr>
        <w:pStyle w:val="BodyText"/>
        <w:spacing w:before="10"/>
        <w:rPr>
          <w:sz w:val="18"/>
        </w:rPr>
      </w:pPr>
    </w:p>
    <w:p>
      <w:pPr>
        <w:spacing w:line="276" w:lineRule="auto" w:before="0"/>
        <w:ind w:left="112" w:right="924" w:firstLine="0"/>
        <w:jc w:val="left"/>
        <w:rPr>
          <w:i/>
          <w:sz w:val="20"/>
        </w:rPr>
      </w:pPr>
      <w:r>
        <w:rPr>
          <w:i/>
          <w:color w:val="333333"/>
          <w:sz w:val="20"/>
        </w:rPr>
        <w:t>Source: University of Sussex. Institute of Development Studies, Columbia University (New York). Earth Institute. (2017). Millennium Village Impact Evaluation in Northern Ghana, 2012-2015: Special Licence Access. [data collection]. 3rd Edition. UK Data Service. SN: 7734, </w:t>
      </w:r>
      <w:hyperlink r:id="rId6">
        <w:r>
          <w:rPr>
            <w:i/>
            <w:color w:val="6F1F82"/>
            <w:sz w:val="20"/>
            <w:u w:val="single" w:color="6F1F82"/>
          </w:rPr>
          <w:t>http://doi.org/10.5255/UKDA-SN-7734-3</w:t>
        </w:r>
      </w:hyperlink>
    </w:p>
    <w:p>
      <w:pPr>
        <w:pStyle w:val="BodyText"/>
        <w:spacing w:before="7"/>
        <w:rPr>
          <w:i/>
          <w:sz w:val="10"/>
        </w:r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4"/>
        <w:gridCol w:w="3401"/>
        <w:gridCol w:w="3401"/>
      </w:tblGrid>
      <w:tr>
        <w:trPr>
          <w:trHeight w:val="584" w:hRule="atLeast"/>
        </w:trPr>
        <w:tc>
          <w:tcPr>
            <w:tcW w:w="3404" w:type="dxa"/>
          </w:tcPr>
          <w:p>
            <w:pPr>
              <w:pStyle w:val="TableParagraph"/>
              <w:spacing w:before="97"/>
              <w:ind w:left="808"/>
              <w:rPr>
                <w:b/>
                <w:sz w:val="20"/>
              </w:rPr>
            </w:pPr>
            <w:r>
              <w:rPr>
                <w:b/>
                <w:sz w:val="20"/>
              </w:rPr>
              <w:t>Variables</w:t>
            </w:r>
          </w:p>
        </w:tc>
        <w:tc>
          <w:tcPr>
            <w:tcW w:w="3401" w:type="dxa"/>
          </w:tcPr>
          <w:p>
            <w:pPr>
              <w:pStyle w:val="TableParagraph"/>
              <w:spacing w:before="97"/>
              <w:ind w:left="78" w:right="407"/>
              <w:jc w:val="center"/>
              <w:rPr>
                <w:b/>
                <w:sz w:val="20"/>
              </w:rPr>
            </w:pPr>
            <w:r>
              <w:rPr>
                <w:b/>
                <w:sz w:val="20"/>
              </w:rPr>
              <w:t>Disclosure risk</w:t>
            </w:r>
          </w:p>
        </w:tc>
        <w:tc>
          <w:tcPr>
            <w:tcW w:w="3401" w:type="dxa"/>
          </w:tcPr>
          <w:p>
            <w:pPr>
              <w:pStyle w:val="TableParagraph"/>
              <w:spacing w:before="97"/>
              <w:ind w:left="808"/>
              <w:rPr>
                <w:b/>
                <w:sz w:val="20"/>
              </w:rPr>
            </w:pPr>
            <w:r>
              <w:rPr>
                <w:b/>
                <w:sz w:val="20"/>
              </w:rPr>
              <w:t>Action</w:t>
            </w:r>
          </w:p>
        </w:tc>
      </w:tr>
      <w:tr>
        <w:trPr>
          <w:trHeight w:val="1624" w:hRule="atLeast"/>
        </w:trPr>
        <w:tc>
          <w:tcPr>
            <w:tcW w:w="3404" w:type="dxa"/>
          </w:tcPr>
          <w:p>
            <w:pPr>
              <w:pStyle w:val="TableParagraph"/>
              <w:rPr>
                <w:sz w:val="20"/>
              </w:rPr>
            </w:pPr>
            <w:r>
              <w:rPr>
                <w:sz w:val="20"/>
              </w:rPr>
              <w:t>Community</w:t>
            </w:r>
          </w:p>
        </w:tc>
        <w:tc>
          <w:tcPr>
            <w:tcW w:w="3401" w:type="dxa"/>
          </w:tcPr>
          <w:p>
            <w:pPr>
              <w:pStyle w:val="TableParagraph"/>
              <w:spacing w:line="276" w:lineRule="auto"/>
              <w:ind w:right="103"/>
              <w:rPr>
                <w:sz w:val="20"/>
              </w:rPr>
            </w:pPr>
            <w:r>
              <w:rPr>
                <w:sz w:val="20"/>
              </w:rPr>
              <w:t>Low frequency counts for all named communities, respondents who gave answers very easily identifiable (especially in combination with other variables).</w:t>
            </w:r>
          </w:p>
        </w:tc>
        <w:tc>
          <w:tcPr>
            <w:tcW w:w="3401" w:type="dxa"/>
          </w:tcPr>
          <w:p>
            <w:pPr>
              <w:pStyle w:val="TableParagraph"/>
              <w:spacing w:before="0"/>
              <w:ind w:left="0"/>
              <w:rPr>
                <w:rFonts w:ascii="Times New Roman"/>
                <w:sz w:val="20"/>
              </w:rPr>
            </w:pPr>
          </w:p>
        </w:tc>
      </w:tr>
      <w:tr>
        <w:trPr>
          <w:trHeight w:val="827" w:hRule="atLeast"/>
        </w:trPr>
        <w:tc>
          <w:tcPr>
            <w:tcW w:w="3404" w:type="dxa"/>
          </w:tcPr>
          <w:p>
            <w:pPr>
              <w:pStyle w:val="TableParagraph"/>
              <w:spacing w:before="78"/>
              <w:rPr>
                <w:sz w:val="20"/>
              </w:rPr>
            </w:pPr>
            <w:r>
              <w:rPr>
                <w:sz w:val="20"/>
              </w:rPr>
              <w:t>Age</w:t>
            </w:r>
          </w:p>
        </w:tc>
        <w:tc>
          <w:tcPr>
            <w:tcW w:w="3401" w:type="dxa"/>
          </w:tcPr>
          <w:p>
            <w:pPr>
              <w:pStyle w:val="TableParagraph"/>
              <w:spacing w:line="276" w:lineRule="auto" w:before="78"/>
              <w:ind w:right="103"/>
              <w:rPr>
                <w:sz w:val="20"/>
              </w:rPr>
            </w:pPr>
            <w:r>
              <w:rPr>
                <w:sz w:val="20"/>
              </w:rPr>
              <w:t>Low counts of older respondents over 75 years old</w:t>
            </w:r>
          </w:p>
        </w:tc>
        <w:tc>
          <w:tcPr>
            <w:tcW w:w="3401" w:type="dxa"/>
          </w:tcPr>
          <w:p>
            <w:pPr>
              <w:pStyle w:val="TableParagraph"/>
              <w:spacing w:before="78"/>
              <w:rPr>
                <w:sz w:val="20"/>
              </w:rPr>
            </w:pPr>
            <w:r>
              <w:rPr>
                <w:w w:val="99"/>
                <w:sz w:val="20"/>
              </w:rPr>
              <w:t>'</w:t>
            </w:r>
          </w:p>
        </w:tc>
      </w:tr>
      <w:tr>
        <w:trPr>
          <w:trHeight w:val="829" w:hRule="atLeast"/>
        </w:trPr>
        <w:tc>
          <w:tcPr>
            <w:tcW w:w="3404" w:type="dxa"/>
          </w:tcPr>
          <w:p>
            <w:pPr>
              <w:pStyle w:val="TableParagraph"/>
              <w:spacing w:line="276" w:lineRule="auto"/>
              <w:ind w:right="551"/>
              <w:rPr>
                <w:sz w:val="20"/>
              </w:rPr>
            </w:pPr>
            <w:r>
              <w:rPr>
                <w:sz w:val="20"/>
              </w:rPr>
              <w:t>Main occupation during last 12 months</w:t>
            </w:r>
          </w:p>
        </w:tc>
        <w:tc>
          <w:tcPr>
            <w:tcW w:w="3401" w:type="dxa"/>
          </w:tcPr>
          <w:p>
            <w:pPr>
              <w:pStyle w:val="TableParagraph"/>
              <w:spacing w:line="276" w:lineRule="auto"/>
              <w:ind w:right="871"/>
              <w:rPr>
                <w:sz w:val="20"/>
              </w:rPr>
            </w:pPr>
            <w:r>
              <w:rPr>
                <w:sz w:val="20"/>
              </w:rPr>
              <w:t>Low counts of very specific occupations.</w:t>
            </w:r>
          </w:p>
        </w:tc>
        <w:tc>
          <w:tcPr>
            <w:tcW w:w="3401" w:type="dxa"/>
          </w:tcPr>
          <w:p>
            <w:pPr>
              <w:pStyle w:val="TableParagraph"/>
              <w:spacing w:before="0"/>
              <w:ind w:left="0"/>
              <w:rPr>
                <w:rFonts w:ascii="Times New Roman"/>
                <w:sz w:val="20"/>
              </w:rPr>
            </w:pPr>
          </w:p>
        </w:tc>
      </w:tr>
      <w:tr>
        <w:trPr>
          <w:trHeight w:val="565" w:hRule="atLeast"/>
        </w:trPr>
        <w:tc>
          <w:tcPr>
            <w:tcW w:w="3404" w:type="dxa"/>
          </w:tcPr>
          <w:p>
            <w:pPr>
              <w:pStyle w:val="TableParagraph"/>
              <w:rPr>
                <w:sz w:val="20"/>
              </w:rPr>
            </w:pPr>
            <w:r>
              <w:rPr>
                <w:sz w:val="20"/>
              </w:rPr>
              <w:t>Ethnicity of the Household Head</w:t>
            </w:r>
          </w:p>
        </w:tc>
        <w:tc>
          <w:tcPr>
            <w:tcW w:w="3401" w:type="dxa"/>
          </w:tcPr>
          <w:p>
            <w:pPr>
              <w:pStyle w:val="TableParagraph"/>
              <w:ind w:left="78" w:right="304"/>
              <w:jc w:val="center"/>
              <w:rPr>
                <w:sz w:val="20"/>
              </w:rPr>
            </w:pPr>
            <w:r>
              <w:rPr>
                <w:sz w:val="20"/>
              </w:rPr>
              <w:t>Low counts of specific ethnicities.</w:t>
            </w:r>
          </w:p>
        </w:tc>
        <w:tc>
          <w:tcPr>
            <w:tcW w:w="3401" w:type="dxa"/>
          </w:tcPr>
          <w:p>
            <w:pPr>
              <w:pStyle w:val="TableParagraph"/>
              <w:spacing w:before="0"/>
              <w:ind w:left="0"/>
              <w:rPr>
                <w:rFonts w:ascii="Times New Roman"/>
                <w:sz w:val="20"/>
              </w:rPr>
            </w:pPr>
          </w:p>
        </w:tc>
      </w:tr>
      <w:tr>
        <w:trPr>
          <w:trHeight w:val="1621" w:hRule="atLeast"/>
        </w:trPr>
        <w:tc>
          <w:tcPr>
            <w:tcW w:w="3404" w:type="dxa"/>
          </w:tcPr>
          <w:p>
            <w:pPr>
              <w:pStyle w:val="TableParagraph"/>
              <w:spacing w:line="276" w:lineRule="auto" w:before="78"/>
              <w:ind w:right="396"/>
              <w:rPr>
                <w:sz w:val="20"/>
              </w:rPr>
            </w:pPr>
            <w:r>
              <w:rPr>
                <w:sz w:val="20"/>
              </w:rPr>
              <w:t>Household's primary type or energy/fuel used for cooking: Firewood, Electricity-based, Charcoal, Electricity-solar panel, Gas/LPG</w:t>
            </w:r>
          </w:p>
        </w:tc>
        <w:tc>
          <w:tcPr>
            <w:tcW w:w="3401" w:type="dxa"/>
          </w:tcPr>
          <w:p>
            <w:pPr>
              <w:pStyle w:val="TableParagraph"/>
              <w:spacing w:line="276" w:lineRule="auto" w:before="78"/>
              <w:ind w:right="62"/>
              <w:rPr>
                <w:sz w:val="20"/>
              </w:rPr>
            </w:pPr>
            <w:r>
              <w:rPr>
                <w:sz w:val="20"/>
              </w:rPr>
              <w:t>Very low counts for 'Gas/LPG' and 'Electricity-solar panel' responses may lead to household identification (especially if combined with other datasets)</w:t>
            </w:r>
          </w:p>
        </w:tc>
        <w:tc>
          <w:tcPr>
            <w:tcW w:w="3401" w:type="dxa"/>
          </w:tcPr>
          <w:p>
            <w:pPr>
              <w:pStyle w:val="TableParagraph"/>
              <w:spacing w:before="0"/>
              <w:ind w:left="0"/>
              <w:rPr>
                <w:rFonts w:ascii="Times New Roman"/>
                <w:sz w:val="20"/>
              </w:rPr>
            </w:pPr>
          </w:p>
        </w:tc>
      </w:tr>
      <w:tr>
        <w:trPr>
          <w:trHeight w:val="1886" w:hRule="atLeast"/>
        </w:trPr>
        <w:tc>
          <w:tcPr>
            <w:tcW w:w="3404" w:type="dxa"/>
          </w:tcPr>
          <w:p>
            <w:pPr>
              <w:pStyle w:val="TableParagraph"/>
              <w:spacing w:line="276" w:lineRule="auto"/>
              <w:ind w:right="84"/>
              <w:rPr>
                <w:sz w:val="20"/>
              </w:rPr>
            </w:pPr>
            <w:r>
              <w:rPr>
                <w:sz w:val="20"/>
              </w:rPr>
              <w:t>Main material of the wall of the house, e.g. Cane/palm/trunks, Dirt/mud, Wood/bamboo with mud, Stone with mud, Uncovered adobe , Cardboard , Cement blocks, Stone with lime/cement, Bricks, ...</w:t>
            </w:r>
          </w:p>
        </w:tc>
        <w:tc>
          <w:tcPr>
            <w:tcW w:w="3401" w:type="dxa"/>
          </w:tcPr>
          <w:p>
            <w:pPr>
              <w:pStyle w:val="TableParagraph"/>
              <w:spacing w:line="276" w:lineRule="auto"/>
              <w:ind w:right="759"/>
              <w:rPr>
                <w:sz w:val="20"/>
              </w:rPr>
            </w:pPr>
            <w:r>
              <w:rPr>
                <w:sz w:val="20"/>
              </w:rPr>
              <w:t>A number of low-frequency responses; exterior features (households/buildings easily identifiable).</w:t>
            </w:r>
          </w:p>
        </w:tc>
        <w:tc>
          <w:tcPr>
            <w:tcW w:w="3401" w:type="dxa"/>
          </w:tcPr>
          <w:p>
            <w:pPr>
              <w:pStyle w:val="TableParagraph"/>
              <w:spacing w:before="0"/>
              <w:ind w:left="0"/>
              <w:rPr>
                <w:rFonts w:ascii="Times New Roman"/>
                <w:sz w:val="20"/>
              </w:rPr>
            </w:pPr>
          </w:p>
        </w:tc>
      </w:tr>
      <w:tr>
        <w:trPr>
          <w:trHeight w:val="829" w:hRule="atLeast"/>
        </w:trPr>
        <w:tc>
          <w:tcPr>
            <w:tcW w:w="3404" w:type="dxa"/>
          </w:tcPr>
          <w:p>
            <w:pPr>
              <w:pStyle w:val="TableParagraph"/>
              <w:rPr>
                <w:sz w:val="20"/>
              </w:rPr>
            </w:pPr>
            <w:r>
              <w:rPr>
                <w:sz w:val="20"/>
              </w:rPr>
              <w:t>Crops grown on plots</w:t>
            </w:r>
          </w:p>
        </w:tc>
        <w:tc>
          <w:tcPr>
            <w:tcW w:w="3401" w:type="dxa"/>
          </w:tcPr>
          <w:p>
            <w:pPr>
              <w:pStyle w:val="TableParagraph"/>
              <w:spacing w:line="276" w:lineRule="auto"/>
              <w:ind w:right="148"/>
              <w:rPr>
                <w:sz w:val="20"/>
              </w:rPr>
            </w:pPr>
            <w:r>
              <w:rPr>
                <w:sz w:val="20"/>
              </w:rPr>
              <w:t>A number of low-frequency specific responses for each variable.</w:t>
            </w:r>
          </w:p>
        </w:tc>
        <w:tc>
          <w:tcPr>
            <w:tcW w:w="3401" w:type="dxa"/>
          </w:tcPr>
          <w:p>
            <w:pPr>
              <w:pStyle w:val="TableParagraph"/>
              <w:spacing w:before="0"/>
              <w:ind w:left="0"/>
              <w:rPr>
                <w:rFonts w:ascii="Times New Roman"/>
                <w:sz w:val="20"/>
              </w:rPr>
            </w:pPr>
          </w:p>
        </w:tc>
      </w:tr>
    </w:tbl>
    <w:p>
      <w:pPr>
        <w:pStyle w:val="BodyText"/>
        <w:rPr>
          <w:i/>
        </w:rPr>
      </w:pPr>
    </w:p>
    <w:p>
      <w:pPr>
        <w:pStyle w:val="BodyText"/>
        <w:rPr>
          <w:i/>
        </w:rPr>
      </w:pPr>
    </w:p>
    <w:p>
      <w:pPr>
        <w:spacing w:before="133"/>
        <w:ind w:left="114" w:right="0" w:firstLine="0"/>
        <w:jc w:val="left"/>
        <w:rPr>
          <w:sz w:val="22"/>
        </w:rPr>
      </w:pPr>
      <w:r>
        <w:rPr/>
        <w:drawing>
          <wp:inline distT="0" distB="0" distL="0" distR="0">
            <wp:extent cx="654050" cy="23461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54050" cy="234619"/>
                    </a:xfrm>
                    <a:prstGeom prst="rect">
                      <a:avLst/>
                    </a:prstGeom>
                  </pic:spPr>
                </pic:pic>
              </a:graphicData>
            </a:graphic>
          </wp:inline>
        </w:drawing>
      </w:r>
      <w:r>
        <w:rPr/>
      </w:r>
      <w:r>
        <w:rPr>
          <w:rFonts w:ascii="Times New Roman"/>
          <w:spacing w:val="11"/>
          <w:sz w:val="20"/>
        </w:rPr>
        <w:t> </w:t>
      </w:r>
      <w:r>
        <w:rPr>
          <w:sz w:val="18"/>
        </w:rPr>
        <w:t>This</w:t>
      </w:r>
      <w:r>
        <w:rPr>
          <w:spacing w:val="-17"/>
          <w:sz w:val="18"/>
        </w:rPr>
        <w:t> </w:t>
      </w:r>
      <w:r>
        <w:rPr>
          <w:sz w:val="18"/>
        </w:rPr>
        <w:t>work</w:t>
      </w:r>
      <w:r>
        <w:rPr>
          <w:spacing w:val="-16"/>
          <w:sz w:val="18"/>
        </w:rPr>
        <w:t> </w:t>
      </w:r>
      <w:r>
        <w:rPr>
          <w:sz w:val="18"/>
        </w:rPr>
        <w:t>is</w:t>
      </w:r>
      <w:r>
        <w:rPr>
          <w:spacing w:val="-16"/>
          <w:sz w:val="18"/>
        </w:rPr>
        <w:t> </w:t>
      </w:r>
      <w:r>
        <w:rPr>
          <w:sz w:val="18"/>
        </w:rPr>
        <w:t>licensed</w:t>
      </w:r>
      <w:r>
        <w:rPr>
          <w:spacing w:val="-17"/>
          <w:sz w:val="18"/>
        </w:rPr>
        <w:t> </w:t>
      </w:r>
      <w:r>
        <w:rPr>
          <w:sz w:val="18"/>
        </w:rPr>
        <w:t>under</w:t>
      </w:r>
      <w:r>
        <w:rPr>
          <w:spacing w:val="-15"/>
          <w:sz w:val="18"/>
        </w:rPr>
        <w:t> </w:t>
      </w:r>
      <w:r>
        <w:rPr>
          <w:sz w:val="18"/>
        </w:rPr>
        <w:t>a</w:t>
      </w:r>
      <w:r>
        <w:rPr>
          <w:spacing w:val="-14"/>
          <w:sz w:val="18"/>
        </w:rPr>
        <w:t> </w:t>
      </w:r>
      <w:hyperlink r:id="rId8">
        <w:r>
          <w:rPr>
            <w:color w:val="0000FF"/>
            <w:sz w:val="18"/>
            <w:u w:val="single" w:color="0000FF"/>
          </w:rPr>
          <w:t>Creative</w:t>
        </w:r>
        <w:r>
          <w:rPr>
            <w:color w:val="0000FF"/>
            <w:spacing w:val="-16"/>
            <w:sz w:val="18"/>
            <w:u w:val="single" w:color="0000FF"/>
          </w:rPr>
          <w:t> </w:t>
        </w:r>
        <w:r>
          <w:rPr>
            <w:color w:val="0000FF"/>
            <w:sz w:val="18"/>
            <w:u w:val="single" w:color="0000FF"/>
          </w:rPr>
          <w:t>Commons</w:t>
        </w:r>
        <w:r>
          <w:rPr>
            <w:color w:val="0000FF"/>
            <w:spacing w:val="-16"/>
            <w:sz w:val="18"/>
            <w:u w:val="single" w:color="0000FF"/>
          </w:rPr>
          <w:t> </w:t>
        </w:r>
        <w:r>
          <w:rPr>
            <w:color w:val="0000FF"/>
            <w:sz w:val="18"/>
            <w:u w:val="single" w:color="0000FF"/>
          </w:rPr>
          <w:t>Attribution</w:t>
        </w:r>
        <w:r>
          <w:rPr>
            <w:color w:val="0000FF"/>
            <w:spacing w:val="-17"/>
            <w:sz w:val="18"/>
            <w:u w:val="single" w:color="0000FF"/>
          </w:rPr>
          <w:t> </w:t>
        </w:r>
        <w:r>
          <w:rPr>
            <w:color w:val="0000FF"/>
            <w:sz w:val="18"/>
            <w:u w:val="single" w:color="0000FF"/>
          </w:rPr>
          <w:t>4.0</w:t>
        </w:r>
        <w:r>
          <w:rPr>
            <w:color w:val="0000FF"/>
            <w:spacing w:val="-16"/>
            <w:sz w:val="18"/>
            <w:u w:val="single" w:color="0000FF"/>
          </w:rPr>
          <w:t> </w:t>
        </w:r>
        <w:r>
          <w:rPr>
            <w:color w:val="0000FF"/>
            <w:sz w:val="18"/>
            <w:u w:val="single" w:color="0000FF"/>
          </w:rPr>
          <w:t>International</w:t>
        </w:r>
        <w:r>
          <w:rPr>
            <w:color w:val="0000FF"/>
            <w:spacing w:val="-15"/>
            <w:sz w:val="18"/>
            <w:u w:val="single" w:color="0000FF"/>
          </w:rPr>
          <w:t> </w:t>
        </w:r>
        <w:r>
          <w:rPr>
            <w:color w:val="0000FF"/>
            <w:sz w:val="18"/>
            <w:u w:val="single" w:color="0000FF"/>
          </w:rPr>
          <w:t>License</w:t>
        </w:r>
        <w:r>
          <w:rPr>
            <w:sz w:val="22"/>
          </w:rPr>
          <w:t>.</w:t>
        </w:r>
      </w:hyperlink>
    </w:p>
    <w:sectPr>
      <w:type w:val="continuous"/>
      <w:pgSz w:w="11910" w:h="16840"/>
      <w:pgMar w:top="460" w:bottom="280" w:left="10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US" w:bidi="ar-SA"/>
    </w:rPr>
  </w:style>
  <w:style w:styleId="BodyText" w:type="paragraph">
    <w:name w:val="Body Text"/>
    <w:basedOn w:val="Normal"/>
    <w:uiPriority w:val="1"/>
    <w:qFormat/>
    <w:pPr/>
    <w:rPr>
      <w:rFonts w:ascii="Arial" w:hAnsi="Arial" w:eastAsia="Arial" w:cs="Arial"/>
      <w:sz w:val="22"/>
      <w:szCs w:val="22"/>
      <w:lang w:val="en-gb" w:eastAsia="en-US" w:bidi="ar-SA"/>
    </w:rPr>
  </w:style>
  <w:style w:styleId="Title" w:type="paragraph">
    <w:name w:val="Title"/>
    <w:basedOn w:val="Normal"/>
    <w:uiPriority w:val="1"/>
    <w:qFormat/>
    <w:pPr>
      <w:spacing w:before="121"/>
      <w:ind w:left="112"/>
    </w:pPr>
    <w:rPr>
      <w:rFonts w:ascii="Arial" w:hAnsi="Arial" w:eastAsia="Arial" w:cs="Arial"/>
      <w:b/>
      <w:bCs/>
      <w:sz w:val="36"/>
      <w:szCs w:val="36"/>
      <w:lang w:val="en-gb" w:eastAsia="en-US" w:bidi="ar-SA"/>
    </w:rPr>
  </w:style>
  <w:style w:styleId="ListParagraph" w:type="paragraph">
    <w:name w:val="List Paragraph"/>
    <w:basedOn w:val="Normal"/>
    <w:uiPriority w:val="1"/>
    <w:qFormat/>
    <w:pPr/>
    <w:rPr>
      <w:lang w:val="en-gb" w:eastAsia="en-US" w:bidi="ar-SA"/>
    </w:rPr>
  </w:style>
  <w:style w:styleId="TableParagraph" w:type="paragraph">
    <w:name w:val="Table Paragraph"/>
    <w:basedOn w:val="Normal"/>
    <w:uiPriority w:val="1"/>
    <w:qFormat/>
    <w:pPr>
      <w:spacing w:before="81"/>
      <w:ind w:left="100"/>
    </w:pPr>
    <w:rPr>
      <w:rFonts w:ascii="Arial" w:hAnsi="Arial" w:eastAsia="Arial" w:cs="Arial"/>
      <w:lang w:val="en-gb"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i.org/10.5255/UKDA-SN-7734-3" TargetMode="External"/><Relationship Id="rId7" Type="http://schemas.openxmlformats.org/officeDocument/2006/relationships/image" Target="media/image2.png"/><Relationship Id="rId8"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Veerle Van den Eynden</dc:creator>
  <dcterms:created xsi:type="dcterms:W3CDTF">2020-10-12T19:08:30Z</dcterms:created>
  <dcterms:modified xsi:type="dcterms:W3CDTF">2020-10-12T19:08:30Z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2016</vt:lpwstr>
  </property>
  <property fmtid="{D5CDD505-2E9C-101B-9397-08002B2CF9AE}" pid="4" name="LastSaved">
    <vt:filetime>2020-10-12T00:00:00Z</vt:filetime>
  </property>
</Properties>
</file>