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THE QUIET LEDGER</w:t>
      </w:r>
    </w:p>
    <w:p>
      <w:pPr>
        <w:spacing w:after="200"/>
        <w:jc w:val="center"/>
      </w:pPr>
      <w:r>
        <w:rPr>
          <w:color w:val="404040"/>
          <w:sz w:val="30"/>
          <w:szCs w:val="30"/>
        </w:rPr>
        <w:t xml:space="preserve">Design and Creation Report of a Multi-Table SQL Investigation Puzzle</w:t>
      </w:r>
    </w:p>
    <w:p>
      <w:pPr>
        <w:pBdr>
          <w:bottom w:val="single" w:color="1F3864" w:sz="8" w:space="8"/>
        </w:pBdr>
        <w:spacing w:after="400"/>
        <w:jc w:val="center"/>
      </w:pPr>
      <w:r>
        <w:rPr>
          <w:color w:val="595959"/>
          <w:sz w:val="24"/>
          <w:szCs w:val="24"/>
        </w:rPr>
        <w:t xml:space="preserve">Database Management Systems (DBMS) Project</w:t>
      </w:r>
    </w:p>
    <w:p>
      <w:pPr>
        <w:spacing w:after="120" w:line="276"/>
        <w:jc w:val="center"/>
      </w:pPr>
      <w:r>
        <w:rPr>
          <w:b/>
          <w:bCs/>
        </w:rPr>
        <w:t xml:space="preserve">Database engine: </w:t>
      </w:r>
      <w:r>
        <w:t xml:space="preserve">PostgreSQL</w:t>
      </w:r>
    </w:p>
    <w:p>
      <w:pPr>
        <w:spacing w:after="120" w:line="276"/>
        <w:jc w:val="center"/>
      </w:pPr>
      <w:r>
        <w:rPr>
          <w:b/>
          <w:bCs/>
        </w:rPr>
        <w:t xml:space="preserve">Schema: </w:t>
      </w:r>
      <w:r>
        <w:t xml:space="preserve">10 tables, 250 rows each (2,500 rows)</w:t>
      </w:r>
    </w:p>
    <w:p>
      <w:pPr>
        <w:spacing w:after="120" w:line="276"/>
        <w:jc w:val="center"/>
      </w:pPr>
      <w:r>
        <w:rPr>
          <w:b/>
          <w:bCs/>
        </w:rPr>
        <w:t xml:space="preserve">Final answer: </w:t>
      </w:r>
      <w:r>
        <w:t xml:space="preserve">2031</w:t>
      </w:r>
    </w:p>
    <w:p>
      <w:pPr>
        <w:spacing w:after="120" w:line="276"/>
        <w:jc w:val="center"/>
      </w:pPr>
      <w:r>
        <w:rPr>
          <w:b/>
          <w:bCs/>
        </w:rPr>
        <w:t xml:space="preserve">Deliverables: </w:t>
      </w:r>
      <w:r>
        <w:t xml:space="preserve">setup.sql, the_quiet_ledger.md (narrative and question), solution_7_queries.sql, verify.py, answer.txt</w:t>
      </w:r>
    </w:p>
    <w:p>
      <w:r>
        <w:br w:type="page"/>
      </w:r>
    </w:p>
    <w:p>
      <w:pP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line="276"/>
      </w:pPr>
      <w:r>
        <w:t xml:space="preserve">The Quiet Ledger is a detective-style SQL puzzle built on a relational database of a fictional evidence-custody system. The solver receives a short story, a set of precise definitions and ten tables. Nothing in the brief names the date, the room, the exhibit or the suspects. The solver has to discover the incident from the data, follow a chain of dependent definitions, and finish with one integer that can be checked against a known answer.</w:t>
      </w:r>
    </w:p>
    <w:p>
      <w:pPr>
        <w:spacing w:after="120" w:line="276"/>
      </w:pPr>
      <w:r>
        <w:t xml:space="preserve">The aim of this project was to build something that exercises real DBMS skills rather than simple lookups: multi-table joins, window functions, correlated subqueries, set operations, aggregation with HAVING, time-interval logic and cross-validation between tables that disagree with each other.</w:t>
      </w:r>
    </w:p>
    <w:p>
      <w:pPr>
        <w:pStyle w:val="Heading2"/>
      </w:pPr>
      <w:r>
        <w:t xml:space="preserve">1.1 Objectives</w:t>
      </w:r>
    </w:p>
    <w:p>
      <w:pPr>
        <w:pStyle w:val="ListParagraph"/>
        <w:numPr>
          <w:ilvl w:val="0"/>
          <w:numId w:val="2"/>
        </w:numPr>
        <w:spacing w:after="60"/>
      </w:pPr>
      <w:r>
        <w:t xml:space="preserve">Design a normalised-looking schema of ten related tables with primary and foreign keys.</w:t>
      </w:r>
    </w:p>
    <w:p>
      <w:pPr>
        <w:pStyle w:val="ListParagraph"/>
        <w:numPr>
          <w:ilvl w:val="0"/>
          <w:numId w:val="2"/>
        </w:numPr>
        <w:spacing w:after="60"/>
      </w:pPr>
      <w:r>
        <w:t xml:space="preserve">Generate deterministic seed data so that every solver gets an identical database.</w:t>
      </w:r>
    </w:p>
    <w:p>
      <w:pPr>
        <w:pStyle w:val="ListParagraph"/>
        <w:numPr>
          <w:ilvl w:val="0"/>
          <w:numId w:val="2"/>
        </w:numPr>
        <w:spacing w:after="60"/>
      </w:pPr>
      <w:r>
        <w:t xml:space="preserve">Hide one true incident among many look-alike records (decoys) so the puzzle cannot be solved by guessing.</w:t>
      </w:r>
    </w:p>
    <w:p>
      <w:pPr>
        <w:pStyle w:val="ListParagraph"/>
        <w:numPr>
          <w:ilvl w:val="0"/>
          <w:numId w:val="2"/>
        </w:numPr>
        <w:spacing w:after="60"/>
      </w:pPr>
      <w:r>
        <w:t xml:space="preserve">Define every rule formally enough that exactly one answer exists.</w:t>
      </w:r>
    </w:p>
    <w:p>
      <w:pPr>
        <w:pStyle w:val="ListParagraph"/>
        <w:numPr>
          <w:ilvl w:val="0"/>
          <w:numId w:val="2"/>
        </w:numPr>
        <w:spacing w:after="60"/>
      </w:pPr>
      <w:r>
        <w:t xml:space="preserve">Provide a reference solution and verify that it reproduces the expected answer.</w:t>
      </w:r>
    </w:p>
    <w:p>
      <w:pPr>
        <w:pStyle w:val="ListParagraph"/>
        <w:numPr>
          <w:ilvl w:val="0"/>
          <w:numId w:val="2"/>
        </w:numPr>
        <w:spacing w:after="60"/>
      </w:pPr>
      <w:r>
        <w:t xml:space="preserve">Store a photograph for every person in a BYTEA column of the people table, loaded from inline hexadecimal data so that setup.sql stays the only script.</w:t>
      </w:r>
    </w:p>
    <w:p>
      <w:pPr>
        <w:pStyle w:val="ListParagraph"/>
        <w:numPr>
          <w:ilvl w:val="0"/>
          <w:numId w:val="2"/>
        </w:numPr>
        <w:spacing w:after="60"/>
      </w:pPr>
      <w:r>
        <w:t xml:space="preserve">Present the narrative and the question as one file whose statement is deliberately dense, while keeping exactly one correct answer.</w:t>
      </w:r>
    </w:p>
    <w:p>
      <w:pPr>
        <w:pStyle w:val="Heading1"/>
      </w:pPr>
      <w:r>
        <w:t xml:space="preserve">2. Puzzle Concept and Story</w:t>
      </w:r>
    </w:p>
    <w:p>
      <w:pPr>
        <w:spacing w:after="120" w:line="276"/>
      </w:pPr>
      <w:r>
        <w:t xml:space="preserve">Somewhere in the last twelve months a sealed exhibit left the custody system unnoticed. The audit board only knows that it was moved by hand, at night, from the room where its case began, into a storage room that the register never learned about. The solver must:</w:t>
      </w:r>
    </w:p>
    <w:p>
      <w:pPr>
        <w:pStyle w:val="ListParagraph"/>
        <w:numPr>
          <w:ilvl w:val="0"/>
          <w:numId w:val="2"/>
        </w:numPr>
        <w:spacing w:after="60"/>
      </w:pPr>
      <w:r>
        <w:t xml:space="preserve">Identify the one transfer that satisfies every clause of the incident definition.</w:t>
      </w:r>
    </w:p>
    <w:p>
      <w:pPr>
        <w:pStyle w:val="ListParagraph"/>
        <w:numPr>
          <w:ilvl w:val="0"/>
          <w:numId w:val="2"/>
        </w:numPr>
        <w:spacing w:after="60"/>
      </w:pPr>
      <w:r>
        <w:t xml:space="preserve">Derive the time window (three hours up to the incident timestamp) and the shadow rooms (restricted rooms in the destination building).</w:t>
      </w:r>
    </w:p>
    <w:p>
      <w:pPr>
        <w:pStyle w:val="ListParagraph"/>
        <w:numPr>
          <w:ilvl w:val="0"/>
          <w:numId w:val="2"/>
        </w:numPr>
        <w:spacing w:after="60"/>
      </w:pPr>
      <w:r>
        <w:t xml:space="preserve">Find the first-tier suspects from badge entries and sightings.</w:t>
      </w:r>
    </w:p>
    <w:p>
      <w:pPr>
        <w:pStyle w:val="ListParagraph"/>
        <w:numPr>
          <w:ilvl w:val="0"/>
          <w:numId w:val="2"/>
        </w:numPr>
        <w:spacing w:after="60"/>
      </w:pPr>
      <w:r>
        <w:t xml:space="preserve">Find the second-tier suspects from valid phone calls.</w:t>
      </w:r>
    </w:p>
    <w:p>
      <w:pPr>
        <w:pStyle w:val="ListParagraph"/>
        <w:numPr>
          <w:ilvl w:val="0"/>
          <w:numId w:val="2"/>
        </w:numPr>
        <w:spacing w:after="60"/>
      </w:pPr>
      <w:r>
        <w:t xml:space="preserve">Combine the ring, the coordination calls and the exhibit weight into a single number.</w:t>
      </w:r>
    </w:p>
    <w:p>
      <w:pPr>
        <w:spacing w:after="120" w:before="120"/>
      </w:pPr>
      <w:r>
        <w:rPr>
          <w:b/>
          <w:bCs/>
        </w:rPr>
        <w:t xml:space="preserve">Final formula: </w:t>
      </w:r>
      <w:r>
        <w:t xml:space="preserve">answer = S x R + W, where S is the total seconds of coordination calls, R is the number of people in the ring and W is the exhibit weight in grams multiplied by 10 and rounded.</w:t>
      </w:r>
    </w:p>
    <w:p>
      <w:pPr>
        <w:spacing w:after="120" w:line="276"/>
      </w:pPr>
      <w:r>
        <w:rPr>
          <w:b/>
          <w:bCs/>
        </w:rPr>
        <w:t xml:space="preserve">Presentation of the brief: </w:t>
      </w:r>
      <w:r>
        <w:t xml:space="preserve">the narrative and the question are delivered together in one file, the_quiet_ledger.md (background first, then the brief). The statement in the brief is intentionally dense and roundabout, with invented term names and clauses listed out of dependency order, but every threshold, edge and tie-break in it is stated exactly (section 7.1).</w:t>
      </w:r>
    </w:p>
    <w:p>
      <w:pPr>
        <w:pStyle w:val="Heading1"/>
      </w:pPr>
      <w:r>
        <w:t xml:space="preserve">3. Database Design</w:t>
      </w:r>
    </w:p>
    <w:p>
      <w:pPr>
        <w:spacing w:after="120" w:line="276"/>
      </w:pPr>
      <w:r>
        <w:t xml:space="preserve">The schema has ten tables. Each table holds 250 rows, generated deterministically in a single setup script that drops and recreates everything so it can be re-run safely.</w:t>
      </w:r>
    </w:p>
    <w:p>
      <w:pPr>
        <w:pStyle w:val="Heading2"/>
      </w:pPr>
      <w:r>
        <w:t xml:space="preserve">3.1 Tables and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Table</w:t>
            </w:r>
          </w:p>
        </w:tc>
        <w:tc>
          <w:tcPr>
            <w:tcW w:type="dxa" w:w="3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Purpose</w:t>
            </w:r>
          </w:p>
        </w:tc>
        <w:tc>
          <w:tcPr>
            <w:tcW w:type="dxa" w:w="34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Key columns</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people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Staff, clearance levels and status</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person_id (PK), clearance_level, clearance_expiry, active, photo (BYTEA)</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locations</w:t>
            </w:r>
          </w:p>
        </w:tc>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Rooms, buildings and restrictions</w:t>
            </w:r>
          </w:p>
        </w:tc>
        <w:tc>
          <w:tcPr>
            <w:tcW w:type="dxa" w:w="3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location_id (PK), building, restricted, badge_level_required</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devices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Phone handsets and their life cycle</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device_id (PK), owner_id (FK), issued_on, retired_on</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cases</w:t>
            </w:r>
          </w:p>
        </w:tc>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Criminal cases and where they began</w:t>
            </w:r>
          </w:p>
        </w:tc>
        <w:tc>
          <w:tcPr>
            <w:tcW w:type="dxa" w:w="3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case_id (PK), case_type, status, closed_on, origin_location_id (FK)</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case_people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People linked to cases</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record_id (PK), case_id (FK), person_id (FK), relation</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evidence</w:t>
            </w:r>
          </w:p>
        </w:tc>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Exhibits held in custody</w:t>
            </w:r>
          </w:p>
        </w:tc>
        <w:tc>
          <w:tcPr>
            <w:tcW w:type="dxa" w:w="3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evidence_id (PK), case_id (FK), current_location_id (FK), sealed, status, weight_grams</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evidence_transfers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Chain of custody, one row per move</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transfer_id (PK), evidence_id (FK), from/to_location_id (FK), transfer_time, seal_state</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access_logs</w:t>
            </w:r>
          </w:p>
        </w:tc>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Badge swipe records</w:t>
            </w:r>
          </w:p>
        </w:tc>
        <w:tc>
          <w:tcPr>
            <w:tcW w:type="dxa" w:w="3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access_id (PK), person_id (FK), location_id (FK), action, result, escort_id, anomaly_flag</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calls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Phone call records</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call_id (PK), caller_id, receiver_id, device_id (FK), call_time, duration_sec, answered</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person_location</w:t>
            </w:r>
          </w:p>
        </w:tc>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Sensor and camera sightings</w:t>
            </w:r>
          </w:p>
        </w:tc>
        <w:tc>
          <w:tcPr>
            <w:tcW w:type="dxa" w:w="3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event_id (PK), person_id (FK), location_id (FK), observed_at, confidence</w:t>
            </w:r>
          </w:p>
        </w:tc>
      </w:tr>
    </w:tbl>
    <w:p>
      <w:pPr>
        <w:spacing w:after="80"/>
      </w:pPr>
    </w:p>
    <w:p>
      <w:pPr>
        <w:pStyle w:val="Heading2"/>
      </w:pPr>
      <w:r>
        <w:t xml:space="preserve">3.2 Relationships</w:t>
      </w:r>
    </w:p>
    <w:p>
      <w:pPr>
        <w:pStyle w:val="ListParagraph"/>
        <w:numPr>
          <w:ilvl w:val="0"/>
          <w:numId w:val="2"/>
        </w:numPr>
        <w:spacing w:after="60"/>
      </w:pPr>
      <w:r>
        <w:t xml:space="preserve">cases.origin_location_id references locations, giving the room where a case began.</w:t>
      </w:r>
    </w:p>
    <w:p>
      <w:pPr>
        <w:pStyle w:val="ListParagraph"/>
        <w:numPr>
          <w:ilvl w:val="0"/>
          <w:numId w:val="2"/>
        </w:numPr>
        <w:spacing w:after="60"/>
      </w:pPr>
      <w:r>
        <w:t xml:space="preserve">evidence.case_id references cases, so each exhibit belongs to one case.</w:t>
      </w:r>
    </w:p>
    <w:p>
      <w:pPr>
        <w:pStyle w:val="ListParagraph"/>
        <w:numPr>
          <w:ilvl w:val="0"/>
          <w:numId w:val="2"/>
        </w:numPr>
        <w:spacing w:after="60"/>
      </w:pPr>
      <w:r>
        <w:t xml:space="preserve">evidence_transfers links evidence to its from and to locations, forming the custody chain.</w:t>
      </w:r>
    </w:p>
    <w:p>
      <w:pPr>
        <w:pStyle w:val="ListParagraph"/>
        <w:numPr>
          <w:ilvl w:val="0"/>
          <w:numId w:val="2"/>
        </w:numPr>
        <w:spacing w:after="60"/>
      </w:pPr>
      <w:r>
        <w:t xml:space="preserve">access_logs, calls and person_location all reference people and (where relevant) locations or devices.</w:t>
      </w:r>
    </w:p>
    <w:p>
      <w:pPr>
        <w:pStyle w:val="ListParagraph"/>
        <w:numPr>
          <w:ilvl w:val="0"/>
          <w:numId w:val="2"/>
        </w:numPr>
        <w:spacing w:after="60"/>
      </w:pPr>
      <w:r>
        <w:t xml:space="preserve">devices.owner_id references people. Calls reference a device, which lets the solver check whether the handset belongs to the caller and was live on the day.</w:t>
      </w:r>
    </w:p>
    <w:p>
      <w:pPr>
        <w:spacing w:after="120" w:line="276"/>
      </w:pPr>
      <w:r>
        <w:t xml:space="preserve">Every table also carries several extra descriptive columns (codes, terminals, batches, hashes). These are deliberate noise: they make the tables look realistic and force solvers to decide which columns actually matter. In the people table the unused office_code column was removed, so the table now has the eleven original attribute columns (person_id, full_name, role, division, clearance_level, joined_on, active, badge_code, shift_code, employment_type, clearance_expiry) plus the new photo column.</w:t>
      </w:r>
    </w:p>
    <w:p>
      <w:pPr>
        <w:pStyle w:val="Heading1"/>
      </w:pPr>
      <w:r>
        <w:t xml:space="preserve">4. People Table and Key Persons</w:t>
      </w:r>
    </w:p>
    <w:p>
      <w:pPr>
        <w:spacing w:after="120" w:line="276"/>
      </w:pPr>
      <w:r>
        <w:t xml:space="preserve">The people table holds 250 staff members across divisions such as Custody, Legal, Oversight, Investigations, Records, Logistics, Intelligence, Forensics, Security and External. Clearance levels range from 1 to 5, and they are central to the puzzle because a suspect entry requires clearance below the room requirement.</w:t>
      </w:r>
    </w:p>
    <w:p>
      <w:pPr>
        <w:spacing w:after="120" w:line="276"/>
      </w:pPr>
      <w:r>
        <w:t xml:space="preserve">The table below lists the people who matter in the solution. The Photo column shows the picture stored for each person in the photo column (BYTEA) of the people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1200"/>
        <w:gridCol w:w="1100"/>
        <w:gridCol w:w="2626"/>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ID</w:t>
            </w:r>
          </w:p>
        </w:tc>
        <w:tc>
          <w:tcPr>
            <w:tcW w:type="dxa" w:w="19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Full name</w:t>
            </w:r>
          </w:p>
        </w:tc>
        <w:tc>
          <w:tcPr>
            <w:tcW w:type="dxa" w:w="15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Role</w:t>
            </w:r>
          </w:p>
        </w:tc>
        <w:tc>
          <w:tcPr>
            <w:tcW w:type="dxa" w:w="12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Clearance</w:t>
            </w:r>
          </w:p>
        </w:tc>
        <w:tc>
          <w:tcPr>
            <w:tcW w:type="dxa" w:w="11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Photo</w:t>
            </w:r>
          </w:p>
        </w:tc>
        <w:tc>
          <w:tcPr>
            <w:tcW w:type="dxa" w:w="26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Part in the puzzle</w:t>
            </w:r>
          </w:p>
        </w:tc>
      </w:tr>
      <w:tr>
        <w:trPr>
          <w:trHeight w:val="1300" w:hRule="atLeas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91</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Kabir Malhotra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Custody Officer</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4</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drawing>
                <wp:inline distT="0" distB="0" distL="0" distR="0">
                  <wp:extent cx="560000" cy="686000"/>
                  <wp:docPr id="9100" name="Photo 91" descr="Photo of Kabir Malhotra (person_id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person_91.jpg"/>
                          <pic:cNvPicPr/>
                        </pic:nvPicPr>
                        <pic:blipFill>
                          <a:blip r:embed="rIdPhoto91"/>
                          <a:stretch>
                            <a:fillRect/>
                          </a:stretch>
                        </pic:blipFill>
                        <pic:spPr>
                          <a:xfrm>
                            <a:off x="0" y="0"/>
                            <a:ext cx="560000" cy="686000"/>
                          </a:xfrm>
                          <a:prstGeom prst="rect">
                            <a:avLst/>
                          </a:prstGeom>
                        </pic:spPr>
                      </pic:pic>
                    </a:graphicData>
                  </a:graphic>
                </wp:inline>
              </w:drawing>
            </w:r>
          </w:p>
        </w:tc>
        <w:tc>
          <w:tcPr>
            <w:tcW w:type="dxa" w:w="2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Actor named on the incident transfer (not presumed guilty)</w:t>
            </w:r>
          </w:p>
        </w:tc>
      </w:tr>
      <w:tr>
        <w:trPr>
          <w:trHeight w:val="1300" w:hRule="atLeast"/>
        </w:trPr>
        <w:tc>
          <w:tcPr>
            <w:tcW w:type="dxa" w:w="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120</w:t>
            </w:r>
          </w:p>
        </w:tc>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Ojas Narayanan</w:t>
            </w:r>
          </w:p>
        </w:tc>
        <w:tc>
          <w:tcPr>
            <w:tcW w:type="dxa" w:w="15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Informant</w:t>
            </w:r>
          </w:p>
        </w:tc>
        <w:tc>
          <w:tcPr>
            <w:tcW w:type="dxa" w:w="12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w:t>
            </w:r>
          </w:p>
        </w:tc>
        <w:tc>
          <w:tcPr>
            <w:tcW w:type="dxa" w:w="11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center"/>
            </w:pPr>
            <w:r>
              <w:drawing>
                <wp:inline distT="0" distB="0" distL="0" distR="0">
                  <wp:extent cx="560000" cy="686000"/>
                  <wp:docPr id="9101" name="Photo 120" descr="Photo of Ojas Narayanan (person_id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person_120.jpg"/>
                          <pic:cNvPicPr/>
                        </pic:nvPicPr>
                        <pic:blipFill>
                          <a:blip r:embed="rIdPhoto120"/>
                          <a:stretch>
                            <a:fillRect/>
                          </a:stretch>
                        </pic:blipFill>
                        <pic:spPr>
                          <a:xfrm>
                            <a:off x="0" y="0"/>
                            <a:ext cx="560000" cy="686000"/>
                          </a:xfrm>
                          <a:prstGeom prst="rect">
                            <a:avLst/>
                          </a:prstGeom>
                        </pic:spPr>
                      </pic:pic>
                    </a:graphicData>
                  </a:graphic>
                </wp:inline>
              </w:drawing>
            </w:r>
          </w:p>
        </w:tc>
        <w:tc>
          <w:tcPr>
            <w:tcW w:type="dxa" w:w="2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First tier</w:t>
            </w:r>
          </w:p>
        </w:tc>
      </w:tr>
      <w:tr>
        <w:trPr>
          <w:trHeight w:val="1300" w:hRule="atLeas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146</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Qasim Verma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Logistics Officer</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2</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drawing>
                <wp:inline distT="0" distB="0" distL="0" distR="0">
                  <wp:extent cx="560000" cy="686000"/>
                  <wp:docPr id="9102" name="Photo 146" descr="Photo of Qasim Verma (person_id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person_146.jpg"/>
                          <pic:cNvPicPr/>
                        </pic:nvPicPr>
                        <pic:blipFill>
                          <a:blip r:embed="rIdPhoto146"/>
                          <a:stretch>
                            <a:fillRect/>
                          </a:stretch>
                        </pic:blipFill>
                        <pic:spPr>
                          <a:xfrm>
                            <a:off x="0" y="0"/>
                            <a:ext cx="560000" cy="686000"/>
                          </a:xfrm>
                          <a:prstGeom prst="rect">
                            <a:avLst/>
                          </a:prstGeom>
                        </pic:spPr>
                      </pic:pic>
                    </a:graphicData>
                  </a:graphic>
                </wp:inline>
              </w:drawing>
            </w:r>
          </w:p>
        </w:tc>
        <w:tc>
          <w:tcPr>
            <w:tcW w:type="dxa" w:w="2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First tier</w:t>
            </w:r>
          </w:p>
        </w:tc>
      </w:tr>
      <w:tr>
        <w:trPr>
          <w:trHeight w:val="1300" w:hRule="atLeast"/>
        </w:trPr>
        <w:tc>
          <w:tcPr>
            <w:tcW w:type="dxa" w:w="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158</w:t>
            </w:r>
          </w:p>
        </w:tc>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Diya Kapoor</w:t>
            </w:r>
          </w:p>
        </w:tc>
        <w:tc>
          <w:tcPr>
            <w:tcW w:type="dxa" w:w="15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Technician</w:t>
            </w:r>
          </w:p>
        </w:tc>
        <w:tc>
          <w:tcPr>
            <w:tcW w:type="dxa" w:w="12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3</w:t>
            </w:r>
          </w:p>
        </w:tc>
        <w:tc>
          <w:tcPr>
            <w:tcW w:type="dxa" w:w="11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center"/>
            </w:pPr>
            <w:r>
              <w:drawing>
                <wp:inline distT="0" distB="0" distL="0" distR="0">
                  <wp:extent cx="560000" cy="686000"/>
                  <wp:docPr id="9103" name="Photo 158" descr="Photo of Diya Kapoor (person_id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person_158.jpg"/>
                          <pic:cNvPicPr/>
                        </pic:nvPicPr>
                        <pic:blipFill>
                          <a:blip r:embed="rIdPhoto158"/>
                          <a:stretch>
                            <a:fillRect/>
                          </a:stretch>
                        </pic:blipFill>
                        <pic:spPr>
                          <a:xfrm>
                            <a:off x="0" y="0"/>
                            <a:ext cx="560000" cy="686000"/>
                          </a:xfrm>
                          <a:prstGeom prst="rect">
                            <a:avLst/>
                          </a:prstGeom>
                        </pic:spPr>
                      </pic:pic>
                    </a:graphicData>
                  </a:graphic>
                </wp:inline>
              </w:drawing>
            </w:r>
          </w:p>
        </w:tc>
        <w:tc>
          <w:tcPr>
            <w:tcW w:type="dxa" w:w="2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First tier (also owner of the retired handset)</w:t>
            </w:r>
          </w:p>
        </w:tc>
      </w:tr>
      <w:tr>
        <w:trPr>
          <w:trHeight w:val="1300" w:hRule="atLeas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37</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Gayatri Deshmukh</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Analyst</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drawing>
                <wp:inline distT="0" distB="0" distL="0" distR="0">
                  <wp:extent cx="560000" cy="686000"/>
                  <wp:docPr id="9104" name="Photo 37" descr="Photo of Gayatri Deshmukh (person_id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person_37.jpg"/>
                          <pic:cNvPicPr/>
                        </pic:nvPicPr>
                        <pic:blipFill>
                          <a:blip r:embed="rIdPhoto37"/>
                          <a:stretch>
                            <a:fillRect/>
                          </a:stretch>
                        </pic:blipFill>
                        <pic:spPr>
                          <a:xfrm>
                            <a:off x="0" y="0"/>
                            <a:ext cx="560000" cy="686000"/>
                          </a:xfrm>
                          <a:prstGeom prst="rect">
                            <a:avLst/>
                          </a:prstGeom>
                        </pic:spPr>
                      </pic:pic>
                    </a:graphicData>
                  </a:graphic>
                </wp:inline>
              </w:drawing>
            </w:r>
          </w:p>
        </w:tc>
        <w:tc>
          <w:tcPr>
            <w:tcW w:type="dxa" w:w="2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Second tier (calls with all three first-tier people)</w:t>
            </w:r>
          </w:p>
        </w:tc>
      </w:tr>
      <w:tr>
        <w:trPr>
          <w:trHeight w:val="1300" w:hRule="atLeast"/>
        </w:trPr>
        <w:tc>
          <w:tcPr>
            <w:tcW w:type="dxa" w:w="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85</w:t>
            </w:r>
          </w:p>
        </w:tc>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Eira Rao</w:t>
            </w:r>
          </w:p>
        </w:tc>
        <w:tc>
          <w:tcPr>
            <w:tcW w:type="dxa" w:w="15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Clerk</w:t>
            </w:r>
          </w:p>
        </w:tc>
        <w:tc>
          <w:tcPr>
            <w:tcW w:type="dxa" w:w="12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2</w:t>
            </w:r>
          </w:p>
        </w:tc>
        <w:tc>
          <w:tcPr>
            <w:tcW w:type="dxa" w:w="11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center"/>
            </w:pPr>
            <w:r>
              <w:drawing>
                <wp:inline distT="0" distB="0" distL="0" distR="0">
                  <wp:extent cx="560000" cy="686000"/>
                  <wp:docPr id="9105" name="Photo 85" descr="Photo of Eira Rao (person_id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person_85.jpg"/>
                          <pic:cNvPicPr/>
                        </pic:nvPicPr>
                        <pic:blipFill>
                          <a:blip r:embed="rIdPhoto85"/>
                          <a:stretch>
                            <a:fillRect/>
                          </a:stretch>
                        </pic:blipFill>
                        <pic:spPr>
                          <a:xfrm>
                            <a:off x="0" y="0"/>
                            <a:ext cx="560000" cy="686000"/>
                          </a:xfrm>
                          <a:prstGeom prst="rect">
                            <a:avLst/>
                          </a:prstGeom>
                        </pic:spPr>
                      </pic:pic>
                    </a:graphicData>
                  </a:graphic>
                </wp:inline>
              </w:drawing>
            </w:r>
          </w:p>
        </w:tc>
        <w:tc>
          <w:tcPr>
            <w:tcW w:type="dxa" w:w="2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Decoy: passes entry test, last seen outside shadow rooms</w:t>
            </w:r>
          </w:p>
        </w:tc>
      </w:tr>
      <w:tr>
        <w:trPr>
          <w:trHeight w:val="1300" w:hRule="atLeas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148</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Saira Menon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Technician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drawing>
                <wp:inline distT="0" distB="0" distL="0" distR="0">
                  <wp:extent cx="560000" cy="686000"/>
                  <wp:docPr id="9106" name="Photo 148" descr="Photo of Saira Menon (person_id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 name="person_148.jpg"/>
                          <pic:cNvPicPr/>
                        </pic:nvPicPr>
                        <pic:blipFill>
                          <a:blip r:embed="rIdPhoto148"/>
                          <a:stretch>
                            <a:fillRect/>
                          </a:stretch>
                        </pic:blipFill>
                        <pic:spPr>
                          <a:xfrm>
                            <a:off x="0" y="0"/>
                            <a:ext cx="560000" cy="686000"/>
                          </a:xfrm>
                          <a:prstGeom prst="rect">
                            <a:avLst/>
                          </a:prstGeom>
                        </pic:spPr>
                      </pic:pic>
                    </a:graphicData>
                  </a:graphic>
                </wp:inline>
              </w:drawing>
            </w:r>
          </w:p>
        </w:tc>
        <w:tc>
          <w:tcPr>
            <w:tcW w:type="dxa" w:w="2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Decoy: passes entry test, last seen outside shadow rooms</w:t>
            </w:r>
          </w:p>
        </w:tc>
      </w:tr>
    </w:tbl>
    <w:p>
      <w:pPr>
        <w:spacing w:before="120"/>
      </w:pPr>
      <w:r>
        <w:t xml:space="preserve">Note: setup.sql defines people.photo as BYTEA NOT NULL and loads a photograph for all 250 people as inline hexadecimal data (a '\x...' literal at the end of each INSERT row). person_id N takes image N, so person_id 1 to 250 take 000001.jpg to 000250.jpg in order. The images come from the img_align_celeba set supplied in img.zip; each is a 178 x 218 JPEG of 4,253 to 12,245 bytes (1,771,495 bytes in total). The pictures above are the images stored for those seven person_id values. The pairing of a face with a name is purely positional and only for illustration: no rule in the puzzle uses the photo column.</w:t>
      </w:r>
    </w:p>
    <w:p>
      <w:pPr>
        <w:pStyle w:val="Heading1"/>
      </w:pPr>
      <w:r>
        <w:t xml:space="preserve">5. Data Generation Approach</w:t>
      </w:r>
    </w:p>
    <w:p>
      <w:pPr>
        <w:pStyle w:val="ListParagraph"/>
        <w:numPr>
          <w:ilvl w:val="0"/>
          <w:numId w:val="2"/>
        </w:numPr>
        <w:spacing w:after="60"/>
      </w:pPr>
      <w:r>
        <w:t xml:space="preserve">The seed script is fully deterministic: no random functions, so results are the same on every run.</w:t>
      </w:r>
    </w:p>
    <w:p>
      <w:pPr>
        <w:pStyle w:val="ListParagraph"/>
        <w:numPr>
          <w:ilvl w:val="0"/>
          <w:numId w:val="2"/>
        </w:numPr>
        <w:spacing w:after="60"/>
      </w:pPr>
      <w:r>
        <w:t xml:space="preserve">Each table is filled with 250 rows, a mix of background records and planted records that carry the story.</w:t>
      </w:r>
    </w:p>
    <w:p>
      <w:pPr>
        <w:pStyle w:val="ListParagraph"/>
        <w:numPr>
          <w:ilvl w:val="0"/>
          <w:numId w:val="2"/>
        </w:numPr>
        <w:spacing w:after="60"/>
      </w:pPr>
      <w:r>
        <w:t xml:space="preserve">Background records are cycled from lists (names, roles, divisions, clearance levels) so distributions look plausible.</w:t>
      </w:r>
    </w:p>
    <w:p>
      <w:pPr>
        <w:pStyle w:val="ListParagraph"/>
        <w:numPr>
          <w:ilvl w:val="0"/>
          <w:numId w:val="2"/>
        </w:numPr>
        <w:spacing w:after="60"/>
      </w:pPr>
      <w:r>
        <w:t xml:space="preserve">Planted records cluster around the night of 13 and 14 August 2026 so that windows, edges and near-misses have something to catch.</w:t>
      </w:r>
    </w:p>
    <w:p>
      <w:pPr>
        <w:pStyle w:val="ListParagraph"/>
        <w:numPr>
          <w:ilvl w:val="0"/>
          <w:numId w:val="2"/>
        </w:numPr>
        <w:spacing w:after="60"/>
      </w:pPr>
      <w:r>
        <w:t xml:space="preserve">Two late twists that create contradictions on purpose (section 6) are built directly into setup.sql, so a single script produces the final database.</w:t>
      </w:r>
    </w:p>
    <w:p>
      <w:pPr>
        <w:pStyle w:val="ListParagraph"/>
        <w:numPr>
          <w:ilvl w:val="0"/>
          <w:numId w:val="2"/>
        </w:numPr>
        <w:spacing w:after="60"/>
      </w:pPr>
      <w:r>
        <w:t xml:space="preserve">The photographs are the only binary data. They are embedded as hexadecimal bytea literals, which makes setup.sql about 3.8 MB but leaves every rule and the answer unchanged.</w:t>
      </w:r>
    </w:p>
    <w:p>
      <w:pPr>
        <w:spacing w:before="120"/>
      </w:pPr>
      <w:r>
        <w:rPr>
          <w:b/>
          <w:bCs/>
        </w:rPr>
        <w:t xml:space="preserve">Difficulty by design: </w:t>
      </w:r>
      <w:r>
        <w:t xml:space="preserve">the same 02:14 timestamp appears on 13 different transfers (one per night from 5 to 16 August, plus a second one on 14 August), and 13 exhibits are marked Missing, all sealed. Only one transfer passes every clause.</w:t>
      </w:r>
    </w:p>
    <w:p>
      <w:pPr>
        <w:pStyle w:val="Heading1"/>
      </w:pPr>
      <w:r>
        <w:t xml:space="preserve">6. Built-in Twists</w:t>
      </w:r>
    </w:p>
    <w:p>
      <w:pPr>
        <w:spacing w:after="120" w:line="276"/>
      </w:pPr>
      <w:r>
        <w:t xml:space="preserve">The seed rows of setup.sql contain two deliberate twists that reward careful cross-checking, so a single script produces the final database and nothing else needs to be run. Without the first twist the answer would collapse to 587 (only the weight term). The equivalent UPDATE statements below are shown only to illustrate each twist; they do not need to be run.</w:t>
      </w:r>
    </w:p>
    <w:p>
      <w:pPr>
        <w:pStyle w:val="Heading2"/>
      </w:pPr>
      <w:r>
        <w:t xml:space="preserve">6.1 Moving the incident transfer</w:t>
      </w:r>
    </w:p>
    <w:p>
      <w:pPr>
        <w:shd w:fill="F2F2F2" w:val="clear"/>
        <w:spacing w:after="0"/>
      </w:pPr>
      <w:r>
        <w:rPr>
          <w:rFonts w:ascii="Consolas" w:cs="Consolas" w:eastAsia="Consolas" w:hAnsi="Consolas"/>
          <w:sz w:val="18"/>
          <w:szCs w:val="18"/>
        </w:rPr>
        <w:t xml:space="preserve">UPDATE evidence_transfers</w:t>
      </w:r>
    </w:p>
    <w:p>
      <w:pPr>
        <w:shd w:fill="F2F2F2" w:val="clear"/>
        <w:spacing w:after="0"/>
      </w:pPr>
      <w:r>
        <w:rPr>
          <w:rFonts w:ascii="Consolas" w:cs="Consolas" w:eastAsia="Consolas" w:hAnsi="Consolas"/>
          <w:sz w:val="18"/>
          <w:szCs w:val="18"/>
        </w:rPr>
        <w:t xml:space="preserve">SET    transfer_time = '2026-08-14 02:14:00'</w:t>
      </w:r>
    </w:p>
    <w:p>
      <w:pPr>
        <w:shd w:fill="F2F2F2" w:val="clear"/>
        <w:spacing w:after="0"/>
      </w:pPr>
      <w:r>
        <w:rPr>
          <w:rFonts w:ascii="Consolas" w:cs="Consolas" w:eastAsia="Consolas" w:hAnsi="Consolas"/>
          <w:sz w:val="18"/>
          <w:szCs w:val="18"/>
        </w:rPr>
        <w:t xml:space="preserve">WHERE  transfer_id = 214;</w:t>
      </w:r>
    </w:p>
    <w:p>
      <w:pPr>
        <w:spacing w:after="80"/>
      </w:pPr>
    </w:p>
    <w:p>
      <w:pPr>
        <w:spacing w:after="120" w:line="276"/>
      </w:pPr>
      <w:r>
        <w:t xml:space="preserve">Transfer 214 would naturally be stamped 17 August, while all access, call and sighting records sit on the night of 13/14 August, so setup.sql stamps it 2026-08-14 02:14:00 directly. Transfer 194 (an unrelated exhibit) shares the exact same timestamp, so a solver who filters only by time gets two candidates and must use the other clauses to tell them apart.</w:t>
      </w:r>
    </w:p>
    <w:p>
      <w:pPr>
        <w:pStyle w:val="Heading2"/>
      </w:pPr>
      <w:r>
        <w:t xml:space="preserve">6.2 Contradictory call record</w:t>
      </w:r>
    </w:p>
    <w:p>
      <w:pPr>
        <w:shd w:fill="F2F2F2" w:val="clear"/>
        <w:spacing w:after="0"/>
      </w:pPr>
      <w:r>
        <w:rPr>
          <w:rFonts w:ascii="Consolas" w:cs="Consolas" w:eastAsia="Consolas" w:hAnsi="Consolas"/>
          <w:sz w:val="18"/>
          <w:szCs w:val="18"/>
        </w:rPr>
        <w:t xml:space="preserve">UPDATE calls SET device_id = 1020 WHERE call_id = 191;</w:t>
      </w:r>
    </w:p>
    <w:p>
      <w:pPr>
        <w:spacing w:after="80"/>
      </w:pPr>
    </w:p>
    <w:p>
      <w:pPr>
        <w:spacing w:after="120" w:line="276"/>
      </w:pPr>
      <w:r>
        <w:t xml:space="preserve">Call 191 (caller 158, 210 seconds, 01:15) is recorded against device 1020, which was retired on 30 June 2026 (its owner's live handset is 1158). The call therefore contradicts the device register and must be excluded as invalid. If it were wrongly accepted, person 30 would join the ring through calls with the first tier and the answer would change.</w:t>
      </w:r>
    </w:p>
    <w:p>
      <w:pPr>
        <w:pStyle w:val="Heading1"/>
      </w:pPr>
      <w:r>
        <w:t xml:space="preserve">7. Rules of the Puzzle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Concept</w:t>
            </w:r>
          </w:p>
        </w:tc>
        <w:tc>
          <w:tcPr>
            <w:tcW w:type="dxa" w:w="71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Definition (summary)</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Incident</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The final move of a sealed, Missing exhibit; transfer recorded sealed; case is a Theft already Closed before the day of the move; exhibit left the case origin room; at least two earlier moves; registered current room differs from the destination.</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Window</w:t>
            </w:r>
          </w:p>
        </w:tc>
        <w:tc>
          <w:tcPr>
            <w:tcW w:type="dxa" w:w="71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From three hours before the incident timestamp up to and including it.</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Shadow rooms</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All restricted rooms in the same building as the incident destination.</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Suspect entry</w:t>
            </w:r>
          </w:p>
        </w:tc>
        <w:tc>
          <w:tcPr>
            <w:tcW w:type="dxa" w:w="71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Granted, unescorted ENTRY into a shadow room in the window, anomaly flag Y, by a person whose clearance is below the room badge level.</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First tier</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More than half of the person's granted unescorted shadow entries are suspect, and the latest sighting (confidence 0.70 or more) at or before the incident is inside a shadow room.</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Valid call</w:t>
            </w:r>
          </w:p>
        </w:tc>
        <w:tc>
          <w:tcPr>
            <w:tcW w:type="dxa" w:w="71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Answered voice call of 30 seconds or more, inside the window, from a handset owned by the caller and live on that day.</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Second tier</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Not first tier, and in valid calls with at least three distinct first-tier people.</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Ring</w:t>
            </w:r>
          </w:p>
        </w:tc>
        <w:tc>
          <w:tcPr>
            <w:tcW w:type="dxa" w:w="71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First tier plus second tier.</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Coordination call</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Valid call with both ends in the ring, where the caller was in a shadow room (granted entry or sighting of 0.70 or more) in the 60 minutes up to the call start.</w:t>
            </w:r>
          </w:p>
        </w:tc>
      </w:tr>
    </w:tbl>
    <w:p>
      <w:pPr>
        <w:spacing w:after="80"/>
      </w:pPr>
    </w:p>
    <w:p>
      <w:pPr>
        <w:pStyle w:val="Heading2"/>
      </w:pPr>
      <w:r>
        <w:t xml:space="preserve">7.1 Wording of the brief and uniqueness of the answer</w:t>
      </w:r>
    </w:p>
    <w:p>
      <w:pPr>
        <w:spacing w:after="120" w:line="276"/>
      </w:pPr>
      <w:r>
        <w:t xml:space="preserve">In the_quiet_ledger.md the incident is defined as the one row "about which none of six statements is false", the rules are numbered in an order that is not their order of dependence, and the groups of people are called Firstlings, Secondlings and the Ring. This makes the statement hard to read but not ambiguous: every column name, inclusive or exclusive edge, tie-break and counting rule is written out. To confirm that only one answer survives, each rule that could be read in two ways was flipped one at a time in an independent script (verify.py). The table shows what a solver would get by silently choosing the other reading.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3626"/>
        <w:gridCol w:w="1700"/>
      </w:tblGrid>
      <w:tr>
        <w:trPr>
          <w:tblHeader/>
        </w:trPr>
        <w:tc>
          <w:tcPr>
            <w:tcW w:type="dxa" w:w="3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Alternative reading</w:t>
            </w:r>
          </w:p>
        </w:tc>
        <w:tc>
          <w:tcPr>
            <w:tcW w:type="dxa" w:w="36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Effect on the data</w:t>
            </w:r>
          </w:p>
        </w:tc>
        <w:tc>
          <w:tcPr>
            <w:tcW w:type="dxa" w:w="1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Result</w:t>
            </w:r>
          </w:p>
        </w:tc>
      </w:tr>
      <w:t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Correct reading (as written in the brief)</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 = 361, R = 4, W = 587</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2031</w:t>
            </w:r>
          </w:p>
        </w:tc>
      </w:tr>
      <w:tr>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Destination room left out of the shadow rooms</w:t>
            </w:r>
          </w:p>
        </w:tc>
        <w:tc>
          <w:tcPr>
            <w:tcW w:type="dxa" w:w="3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Only person 6 remains first tier; no coordination calls</w:t>
            </w:r>
          </w:p>
        </w:tc>
        <w:tc>
          <w:tcPr>
            <w:tcW w:type="dxa" w:w="1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587</w:t>
            </w:r>
          </w:p>
        </w:tc>
      </w:tr>
      <w:t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"Half or more" instead of "more than half"</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Persons 6 and 197 join the ring (R = 6)</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2753</w:t>
            </w:r>
          </w:p>
        </w:tc>
      </w:tr>
      <w:tr>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Handset owner and retirement date not checked</w:t>
            </w:r>
          </w:p>
        </w:tc>
        <w:tc>
          <w:tcPr>
            <w:tcW w:type="dxa" w:w="3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Call 191 becomes valid; person 30 joins the ring (S = 571, R = 5)</w:t>
            </w:r>
          </w:p>
        </w:tc>
        <w:tc>
          <w:tcPr>
            <w:tcW w:type="dxa" w:w="1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3442</w:t>
            </w:r>
          </w:p>
        </w:tc>
      </w:tr>
      <w:t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No minimum call length</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Call 112 (12 s) makes person 16 second tier (S = 449, R = 5)</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2832</w:t>
            </w:r>
          </w:p>
        </w:tc>
      </w:tr>
      <w:tr>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An "earlier move" must change rooms (ignores move 203, room 17 to 17)</w:t>
            </w:r>
          </w:p>
        </w:tc>
        <w:tc>
          <w:tcPr>
            <w:tcW w:type="dxa" w:w="3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Exhibit 187 has only one earlier move; no transfer qualifies</w:t>
            </w:r>
          </w:p>
        </w:tc>
        <w:tc>
          <w:tcPr>
            <w:tcW w:type="dxa" w:w="1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no incident</w:t>
            </w:r>
          </w:p>
        </w:tc>
      </w:tr>
    </w:tbl>
    <w:p>
      <w:pPr>
        <w:spacing w:before="120" w:after="120" w:line="276"/>
      </w:pPr>
      <w:r>
        <w:t xml:space="preserve">Other edge readings (window start excluded, 60-minute look-back edge included, unanswered calls accepted, a 31-second minimum) all still give 2031, because no record sits exactly on those edges in this data. The brief nevertheless states each of them, so the answer does not depend on the solver guessing correctly. The five readings in the table are the ones the brief had to spell out: the shadow-room membership of the destination, "more than half", device validity, the 30-second minimum and the meaning of an earlier move.</w:t>
      </w:r>
    </w:p>
    <w:p>
      <w:pPr>
        <w:pStyle w:val="Heading1"/>
      </w:pPr>
      <w:r>
        <w:t xml:space="preserve">8. Traps and Decoys</w:t>
      </w:r>
    </w:p>
    <w:p>
      <w:pPr>
        <w:spacing w:after="120" w:line="276"/>
      </w:pPr>
      <w:r>
        <w:t xml:space="preserve">Every rule in the brief exists to block a specific shortcut. The table lists the main traps and how the data enforces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Trap</w:t>
            </w:r>
          </w:p>
        </w:tc>
        <w:tc>
          <w:tcPr>
            <w:tcW w:type="dxa" w:w="63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How the puzzle handles it</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Same clock stamp</w:t>
            </w:r>
          </w:p>
        </w:tc>
        <w:tc>
          <w:tcPr>
            <w:tcW w:type="dxa" w:w="6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13 transfers share 02:14. Transfer 194 (exhibit 23, day-of-move 14 Aug) fails because its case closed on 19 Aug, after the move.</w:t>
            </w:r>
          </w:p>
        </w:tc>
      </w:tr>
      <w:tr>
        <w:tc>
          <w:tcPr>
            <w:tcW w:type="dxa" w:w="2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Other missing exhibits</w:t>
            </w:r>
          </w:p>
        </w:tc>
        <w:tc>
          <w:tcPr>
            <w:tcW w:type="dxa" w:w="63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13 exhibits are Missing and sealed; only exhibit 187 also meets the origin-room and move-count clauses (three others fail the Closed-before-the-move test as well).</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Actor is not the suspect</w:t>
            </w:r>
          </w:p>
        </w:tc>
        <w:tc>
          <w:tcPr>
            <w:tcW w:type="dxa" w:w="6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The actor on transfer 214 (person 91) is not automatically in the ring.</w:t>
            </w:r>
          </w:p>
        </w:tc>
      </w:tr>
      <w:tr>
        <w:tc>
          <w:tcPr>
            <w:tcW w:type="dxa" w:w="2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Window edges</w:t>
            </w:r>
          </w:p>
        </w:tc>
        <w:tc>
          <w:tcPr>
            <w:tcW w:type="dxa" w:w="63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Activity close to the window bounds (for example the calls at 02:11, just inside the end) must be judged against the exact bounds; the 60-minute look-back is open on the left and closed on the right.</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Denied and escorted entries</w:t>
            </w:r>
          </w:p>
        </w:tc>
        <w:tc>
          <w:tcPr>
            <w:tcW w:type="dxa" w:w="6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Only granted, unescorted ENTRY rows count; ATTEMPT rows and escorted entries are noise.</w:t>
            </w:r>
          </w:p>
        </w:tc>
      </w:tr>
      <w:tr>
        <w:tc>
          <w:tcPr>
            <w:tcW w:type="dxa" w:w="2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Under-cleared test</w:t>
            </w:r>
          </w:p>
        </w:tc>
        <w:tc>
          <w:tcPr>
            <w:tcW w:type="dxa" w:w="63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Clearance is compared with the room badge level, not with a fixed number.</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Majority rule</w:t>
            </w:r>
          </w:p>
        </w:tc>
        <w:tc>
          <w:tcPr>
            <w:tcW w:type="dxa" w:w="6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Persons 85 and 148 pass the more-than-half test but fail the last-sighting test (last seen in rooms 90 and 120).</w:t>
            </w:r>
          </w:p>
        </w:tc>
      </w:tr>
      <w:tr>
        <w:tc>
          <w:tcPr>
            <w:tcW w:type="dxa" w:w="2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Low-confidence sightings</w:t>
            </w:r>
          </w:p>
        </w:tc>
        <w:tc>
          <w:tcPr>
            <w:tcW w:type="dxa" w:w="63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Sightings below 0.70 must be ignored when finding the last position.</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Retired handset</w:t>
            </w:r>
          </w:p>
        </w:tc>
        <w:tc>
          <w:tcPr>
            <w:tcW w:type="dxa" w:w="6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Call 191 uses a device retired on 2026-06-30 and is not valid.</w:t>
            </w:r>
          </w:p>
        </w:tc>
      </w:tr>
      <w:tr>
        <w:tc>
          <w:tcPr>
            <w:tcW w:type="dxa" w:w="2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Short, unanswered or non-voice calls</w:t>
            </w:r>
          </w:p>
        </w:tc>
        <w:tc>
          <w:tcPr>
            <w:tcW w:type="dxa" w:w="63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Excluded from valid calls by duration, answered and type checks.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Double counting</w:t>
            </w:r>
          </w:p>
        </w:tc>
        <w:tc>
          <w:tcPr>
            <w:tcW w:type="dxa" w:w="6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Second tier needs distinct first-tier partners, so a person calling one partner many times does not qualify.</w:t>
            </w:r>
          </w:p>
        </w:tc>
      </w:tr>
    </w:tbl>
    <w:p>
      <w:pPr>
        <w:spacing w:after="80"/>
      </w:pPr>
    </w:p>
    <w:p>
      <w:pPr>
        <w:pStyle w:val="Heading1"/>
      </w:pPr>
      <w:r>
        <w:t xml:space="preserve">9. Solution Walkthrough</w:t>
      </w:r>
    </w:p>
    <w:p>
      <w:pPr>
        <w:spacing w:after="120" w:line="276"/>
      </w:pPr>
      <w:r>
        <w:t xml:space="preserve">The reference solution (solution_7_queries.sql) is a chain of seven queries, each building a temporary view for the next, with nothing hard-coded. They are described here in four phases.</w:t>
      </w:r>
    </w:p>
    <w:p>
      <w:pPr>
        <w:pStyle w:val="Heading2"/>
      </w:pPr>
      <w:r>
        <w:t xml:space="preserve">Phase A: Find the incident</w:t>
      </w:r>
    </w:p>
    <w:p>
      <w:pPr>
        <w:spacing w:after="120" w:line="276"/>
      </w:pPr>
      <w:r>
        <w:t xml:space="preserve">A window function (ROW_NUMBER over each exhibit, newest first) marks the final move, and a second ROW_NUMBER (oldest first) counts earlier moves. Joining evidence and cases and applying all clauses leaves one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Item</w:t>
            </w:r>
          </w:p>
        </w:tc>
        <w:tc>
          <w:tcPr>
            <w:tcW w:type="dxa" w:w="64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Result</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Incident transfer</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214, exhibit 187 (Encrypted USB, EVD-187-937), actor 91</w:t>
            </w:r>
          </w:p>
        </w:tc>
      </w:tr>
      <w:tr>
        <w:tc>
          <w:tcPr>
            <w:tcW w:type="dxa" w:w="26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Timestamp</w:t>
            </w:r>
          </w:p>
        </w:tc>
        <w:tc>
          <w:tcPr>
            <w:tcW w:type="dxa" w:w="6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2026-08-14 02:14:00</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Route</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Room 17 (Secure Archive East) to room 88 (Locker Hall Four)</w:t>
            </w:r>
          </w:p>
        </w:tc>
      </w:tr>
      <w:tr>
        <w:tc>
          <w:tcPr>
            <w:tcW w:type="dxa" w:w="26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Case</w:t>
            </w:r>
          </w:p>
        </w:tc>
        <w:tc>
          <w:tcPr>
            <w:tcW w:type="dxa" w:w="6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CR-2026-0193, Theft, closed 2026-06-29, origin room 17</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Custody history</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Move 192 (18 Jun), move 203 (22 Jul), incident move 214</w:t>
            </w:r>
          </w:p>
        </w:tc>
      </w:tr>
      <w:tr>
        <w:tc>
          <w:tcPr>
            <w:tcW w:type="dxa" w:w="26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Register room</w:t>
            </w:r>
          </w:p>
        </w:tc>
        <w:tc>
          <w:tcPr>
            <w:tcW w:type="dxa" w:w="6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17, which differs from destination 88</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Exhibit weight</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58.7 g, so W = 587</w:t>
            </w:r>
          </w:p>
        </w:tc>
      </w:tr>
    </w:tbl>
    <w:p>
      <w:pPr>
        <w:spacing w:after="80"/>
      </w:pPr>
    </w:p>
    <w:p>
      <w:pPr>
        <w:pStyle w:val="Heading2"/>
      </w:pPr>
      <w:r>
        <w:t xml:space="preserve">Phase B: Window and shadow rooms</w:t>
      </w:r>
    </w:p>
    <w:p>
      <w:pPr>
        <w:spacing w:after="120" w:line="276"/>
      </w:pPr>
      <w:r>
        <w:t xml:space="preserve">The window runs from 2026-08-13 23:14:00 to 2026-08-14 02:14:00. Both restricted rooms in the Evidence Wing (room 17, Secure Archive East and room 88, Locker Hall Four, each requiring badge level 4) are shadow rooms.</w:t>
      </w:r>
    </w:p>
    <w:p>
      <w:pPr>
        <w:spacing w:after="120" w:line="276"/>
      </w:pPr>
      <w:r>
        <w:t xml:space="preserve">Five people pass the suspect-entry majority test: 85, 120, 146, 148 and 158. The last-sighting check removes 85 (seen in room 90) and 148 (seen in room 120).</w:t>
      </w:r>
    </w:p>
    <w:p>
      <w:pPr>
        <w:spacing w:after="120" w:line="276"/>
      </w:pPr>
      <w:r>
        <w:rPr>
          <w:b/>
          <w:bCs/>
        </w:rPr>
        <w:t xml:space="preserve">First tier: </w:t>
      </w:r>
      <w:r>
        <w:t xml:space="preserve">120, 146, 158.  R so far = 3.</w:t>
      </w:r>
    </w:p>
    <w:p>
      <w:pPr>
        <w:pStyle w:val="Heading2"/>
      </w:pPr>
      <w:r>
        <w:t xml:space="preserve">Phase C: Valid calls and second tier</w:t>
      </w:r>
    </w:p>
    <w:p>
      <w:pPr>
        <w:spacing w:after="120" w:line="276"/>
      </w:pPr>
      <w:r>
        <w:t xml:space="preserve">Each call is joined to its device and checked for owner, issue date and retirement date. Contacts are unpivoted with UNION ALL so a person is counted as caller or receiver. Person 37 is in valid calls with all three first-tier people (calls 159, 89 and 2), so they are second tier.</w:t>
      </w:r>
    </w:p>
    <w:p>
      <w:pPr>
        <w:spacing w:after="120" w:line="276"/>
      </w:pPr>
      <w:r>
        <w:rPr>
          <w:b/>
          <w:bCs/>
        </w:rPr>
        <w:t xml:space="preserve">Second tier: </w:t>
      </w:r>
      <w:r>
        <w:t xml:space="preserve">37.   </w:t>
      </w:r>
      <w:r>
        <w:rPr>
          <w:b/>
          <w:bCs/>
        </w:rPr>
        <w:t xml:space="preserve">Ring: </w:t>
      </w:r>
      <w:r>
        <w:t xml:space="preserve">120, 146, 158, 37, so R = 4.</w:t>
      </w:r>
    </w:p>
    <w:p>
      <w:pPr>
        <w:pStyle w:val="Heading2"/>
      </w:pPr>
      <w:r>
        <w:t xml:space="preserve">Phase D: Coordination calls</w:t>
      </w:r>
    </w:p>
    <w:p>
      <w:pPr>
        <w:spacing w:after="120" w:line="276"/>
      </w:pPr>
      <w:r>
        <w:t xml:space="preserve">Among valid calls with both ends in the ring, the caller must have been in a shadow room in the preceding 60 minutes. Four calls qualify.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1900"/>
        <w:gridCol w:w="2226"/>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Call ID</w:t>
            </w:r>
          </w:p>
        </w:tc>
        <w:tc>
          <w:tcPr>
            <w:tcW w:type="dxa" w:w="1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Caller</w:t>
            </w:r>
          </w:p>
        </w:tc>
        <w:tc>
          <w:tcPr>
            <w:tcW w:type="dxa" w:w="1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Receiver</w:t>
            </w:r>
          </w:p>
        </w:tc>
        <w:tc>
          <w:tcPr>
            <w:tcW w:type="dxa" w:w="19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Call time</w:t>
            </w:r>
          </w:p>
        </w:tc>
        <w:tc>
          <w:tcPr>
            <w:tcW w:type="dxa" w:w="22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Duration (sec)</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2</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120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37</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01:40</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i w:val="false"/>
                <w:iCs w:val="false"/>
                <w:sz w:val="20"/>
                <w:szCs w:val="20"/>
              </w:rPr>
              <w:t xml:space="preserve">61</w:t>
            </w:r>
          </w:p>
        </w:tc>
      </w:tr>
      <w:tr>
        <w:tc>
          <w:tcPr>
            <w:tcW w:type="dxa" w:w="15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159</w:t>
            </w:r>
          </w:p>
        </w:tc>
        <w:tc>
          <w:tcPr>
            <w:tcW w:type="dxa" w:w="1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146</w:t>
            </w:r>
          </w:p>
        </w:tc>
        <w:tc>
          <w:tcPr>
            <w:tcW w:type="dxa" w:w="1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37</w:t>
            </w:r>
          </w:p>
        </w:tc>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00:20</w:t>
            </w:r>
          </w:p>
        </w:tc>
        <w:tc>
          <w:tcPr>
            <w:tcW w:type="dxa" w:w="22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center"/>
            </w:pPr>
            <w:r>
              <w:rPr>
                <w:b w:val="false"/>
                <w:bCs w:val="false"/>
                <w:i w:val="false"/>
                <w:iCs w:val="false"/>
                <w:sz w:val="20"/>
                <w:szCs w:val="20"/>
              </w:rPr>
              <w:t xml:space="preserve">95</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199</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146</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158</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00:58</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i w:val="false"/>
                <w:iCs w:val="false"/>
                <w:sz w:val="20"/>
                <w:szCs w:val="20"/>
              </w:rPr>
              <w:t xml:space="preserve">140</w:t>
            </w:r>
          </w:p>
        </w:tc>
      </w:tr>
      <w:tr>
        <w:tc>
          <w:tcPr>
            <w:tcW w:type="dxa" w:w="15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228</w:t>
            </w:r>
          </w:p>
        </w:tc>
        <w:tc>
          <w:tcPr>
            <w:tcW w:type="dxa" w:w="1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120</w:t>
            </w:r>
          </w:p>
        </w:tc>
        <w:tc>
          <w:tcPr>
            <w:tcW w:type="dxa" w:w="1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146</w:t>
            </w:r>
          </w:p>
        </w:tc>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01:44</w:t>
            </w:r>
          </w:p>
        </w:tc>
        <w:tc>
          <w:tcPr>
            <w:tcW w:type="dxa" w:w="22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center"/>
            </w:pPr>
            <w:r>
              <w:rPr>
                <w:b w:val="false"/>
                <w:bCs w:val="false"/>
                <w:i w:val="false"/>
                <w:iCs w:val="false"/>
                <w:sz w:val="20"/>
                <w:szCs w:val="20"/>
              </w:rPr>
              <w:t xml:space="preserve">65</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Total</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i w:val="false"/>
                <w:iCs w:val="false"/>
                <w:sz w:val="20"/>
                <w:szCs w:val="20"/>
              </w:rPr>
              <w:t xml:space="preserve">S = 361</w:t>
            </w:r>
          </w:p>
        </w:tc>
      </w:tr>
    </w:tbl>
    <w:p>
      <w:pPr>
        <w:spacing w:after="80"/>
      </w:pPr>
    </w:p>
    <w:p>
      <w:pPr>
        <w:pStyle w:val="Heading2"/>
      </w:pPr>
      <w:r>
        <w:t xml:space="preserve">Final computation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Component</w:t>
            </w:r>
          </w:p>
        </w:tc>
        <w:tc>
          <w:tcPr>
            <w:tcW w:type="dxa" w:w="45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Value</w:t>
            </w:r>
          </w:p>
        </w:tc>
      </w:tr>
      <w:tr>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 (total coordination seconds)</w:t>
            </w:r>
          </w:p>
        </w:tc>
        <w:tc>
          <w:tcPr>
            <w:tcW w:type="dxa" w:w="45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61 + 95 + 140 + 65 = 361</w:t>
            </w:r>
          </w:p>
        </w:tc>
      </w:tr>
      <w:tr>
        <w:tc>
          <w:tcPr>
            <w:tcW w:type="dxa" w:w="45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R (ring size)</w:t>
            </w:r>
          </w:p>
        </w:tc>
        <w:tc>
          <w:tcPr>
            <w:tcW w:type="dxa" w:w="45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4</w:t>
            </w:r>
          </w:p>
        </w:tc>
      </w:tr>
      <w:tr>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W (58.7 g x 10, rounded)</w:t>
            </w:r>
          </w:p>
        </w:tc>
        <w:tc>
          <w:tcPr>
            <w:tcW w:type="dxa" w:w="45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587</w:t>
            </w:r>
          </w:p>
        </w:tc>
      </w:tr>
      <w:tr>
        <w:tc>
          <w:tcPr>
            <w:tcW w:type="dxa" w:w="45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answer = S x R + W</w:t>
            </w:r>
          </w:p>
        </w:tc>
        <w:tc>
          <w:tcPr>
            <w:tcW w:type="dxa" w:w="45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361 x 4 + 587 = 1444 + 587 = 2031</w:t>
            </w:r>
          </w:p>
        </w:tc>
      </w:tr>
    </w:tbl>
    <w:p>
      <w:pPr>
        <w:spacing w:after="80"/>
      </w:pPr>
    </w:p>
    <w:p>
      <w:pPr>
        <w:shd w:fill="E8F1E4" w:val="clear"/>
        <w:spacing w:after="120" w:line="276"/>
      </w:pPr>
      <w:r>
        <w:rPr>
          <w:b/>
          <w:bCs/>
        </w:rPr>
        <w:t xml:space="preserve">Expected answer: 2031. </w:t>
      </w:r>
      <w:r>
        <w:t xml:space="preserve">This matches answer.txt.</w:t>
      </w:r>
    </w:p>
    <w:p>
      <w:pPr>
        <w:pStyle w:val="Heading1"/>
      </w:pPr>
      <w:r>
        <w:t xml:space="preserve">10. SQL Techniques Used</w:t>
      </w:r>
    </w:p>
    <w:p>
      <w:pPr>
        <w:pStyle w:val="ListParagraph"/>
        <w:numPr>
          <w:ilvl w:val="0"/>
          <w:numId w:val="2"/>
        </w:numPr>
        <w:spacing w:after="60"/>
      </w:pPr>
      <w:r>
        <w:t xml:space="preserve">Window functions: ROW_NUMBER with PARTITION BY and ORDER BY for the final move and last sighting.</w:t>
      </w:r>
    </w:p>
    <w:p>
      <w:pPr>
        <w:pStyle w:val="ListParagraph"/>
        <w:numPr>
          <w:ilvl w:val="0"/>
          <w:numId w:val="2"/>
        </w:numPr>
        <w:spacing w:after="60"/>
      </w:pPr>
      <w:r>
        <w:t xml:space="preserve">Correlated subqueries: EXISTS checks for the coordination calls; window functions also count earlier transfers.</w:t>
      </w:r>
    </w:p>
    <w:p>
      <w:pPr>
        <w:pStyle w:val="ListParagraph"/>
        <w:numPr>
          <w:ilvl w:val="0"/>
          <w:numId w:val="2"/>
        </w:numPr>
        <w:spacing w:after="60"/>
      </w:pPr>
      <w:r>
        <w:t xml:space="preserve">Common table expressions (WITH) to build the solution in readable stages.</w:t>
      </w:r>
    </w:p>
    <w:p>
      <w:pPr>
        <w:pStyle w:val="ListParagraph"/>
        <w:numPr>
          <w:ilvl w:val="0"/>
          <w:numId w:val="2"/>
        </w:numPr>
        <w:spacing w:after="60"/>
      </w:pPr>
      <w:r>
        <w:t xml:space="preserve">Conditional aggregation: SUM(CASE WHEN ...) with HAVING for the majority rule.</w:t>
      </w:r>
    </w:p>
    <w:p>
      <w:pPr>
        <w:pStyle w:val="ListParagraph"/>
        <w:numPr>
          <w:ilvl w:val="0"/>
          <w:numId w:val="2"/>
        </w:numPr>
        <w:spacing w:after="60"/>
      </w:pPr>
      <w:r>
        <w:t xml:space="preserve">Set operations: UNION and UNION ALL for the ring and for unpivoting call participants.</w:t>
      </w:r>
    </w:p>
    <w:p>
      <w:pPr>
        <w:pStyle w:val="ListParagraph"/>
        <w:numPr>
          <w:ilvl w:val="0"/>
          <w:numId w:val="2"/>
        </w:numPr>
        <w:spacing w:after="60"/>
      </w:pPr>
      <w:r>
        <w:t xml:space="preserve">Interval arithmetic on timestamps, with careful inclusive versus exclusive edges.</w:t>
      </w:r>
    </w:p>
    <w:p>
      <w:pPr>
        <w:pStyle w:val="ListParagraph"/>
        <w:numPr>
          <w:ilvl w:val="0"/>
          <w:numId w:val="2"/>
        </w:numPr>
        <w:spacing w:after="60"/>
      </w:pPr>
      <w:r>
        <w:t xml:space="preserve">Multi-table joins to cross-check records against the device register, room levels and case data.</w:t>
      </w:r>
    </w:p>
    <w:p>
      <w:pPr>
        <w:pStyle w:val="Heading1"/>
      </w:pPr>
      <w:r>
        <w:t xml:space="preserve">11. Verification</w:t>
      </w:r>
    </w:p>
    <w:p>
      <w:pPr>
        <w:spacing w:after="120" w:line="276"/>
      </w:pPr>
      <w:r>
        <w:t xml:space="preserve">The final setup.sql (photo column added, office_code removed) was loaded into a fresh PostgreSQL 16 database with no errors. Row counts were 250 in every table, exactly one transfer satisfied all incident clauses (214), and the seven-query reference solution returned 2031, equal to answer.txt.</w:t>
      </w:r>
    </w:p>
    <w:p>
      <w:pPr>
        <w:spacing w:after="120" w:line="276"/>
      </w:pPr>
      <w:r>
        <w:t xml:space="preserve">Photo integrity was checked inside the database after loading:</w:t>
      </w:r>
    </w:p>
    <w:p>
      <w:pPr>
        <w:pStyle w:val="ListParagraph"/>
        <w:numPr>
          <w:ilvl w:val="0"/>
          <w:numId w:val="2"/>
        </w:numPr>
        <w:spacing w:after="60"/>
      </w:pPr>
      <w:r>
        <w:t xml:space="preserve">All 250 people.photo values are present, and each one starts with the JPEG marker FFD8FF and ends with FFD9.</w:t>
      </w:r>
    </w:p>
    <w:p>
      <w:pPr>
        <w:pStyle w:val="ListParagraph"/>
        <w:numPr>
          <w:ilvl w:val="0"/>
          <w:numId w:val="2"/>
        </w:numPr>
        <w:spacing w:after="60"/>
      </w:pPr>
      <w:r>
        <w:t xml:space="preserve">The stored sizes add up to 1,771,495 bytes, the same as the 250 source files in img.zip.</w:t>
      </w:r>
    </w:p>
    <w:p>
      <w:pPr>
        <w:pStyle w:val="ListParagraph"/>
        <w:numPr>
          <w:ilvl w:val="0"/>
          <w:numId w:val="2"/>
        </w:numPr>
        <w:spacing w:after="60"/>
      </w:pPr>
      <w:r>
        <w:t xml:space="preserve">The MD5 of every stored photo equals the MD5 of image N for person_id N (250 of 250 match), and the seven pictures shown in section 4 are byte-identical to the stored ones.</w:t>
      </w:r>
    </w:p>
    <w:p>
      <w:pPr>
        <w:spacing w:after="120" w:line="276"/>
      </w:pPr>
      <w:r>
        <w:t xml:space="preserve">The rules were also re-implemented independently, from the brief rather than from the SQL, in Python on SQLite (verify.py). It found the same incident (214), first tier (120, 146, 158), second tier (37), four coordination calls (2, 159, 199, 228) and final integer 2031. The same script produced the alternative results in section 7.1. The solution query itself uses PostgreSQL INTERVAL syntax; the independent check used Python date-time arithmetic.</w:t>
      </w:r>
    </w:p>
    <w:p>
      <w:pPr>
        <w:pStyle w:val="Heading1"/>
      </w:pPr>
      <w:r>
        <w:t xml:space="preserve">12. Challenges and Lessons</w:t>
      </w:r>
    </w:p>
    <w:p>
      <w:pPr>
        <w:pStyle w:val="ListParagraph"/>
        <w:numPr>
          <w:ilvl w:val="0"/>
          <w:numId w:val="2"/>
        </w:numPr>
        <w:spacing w:after="60"/>
      </w:pPr>
      <w:r>
        <w:t xml:space="preserve">Making every definition unambiguous took several iterations, especially edge cases such as BETWEEN versus strict inequality and same-stamp ordering.</w:t>
      </w:r>
    </w:p>
    <w:p>
      <w:pPr>
        <w:pStyle w:val="ListParagraph"/>
        <w:numPr>
          <w:ilvl w:val="0"/>
          <w:numId w:val="2"/>
        </w:numPr>
        <w:spacing w:after="60"/>
      </w:pPr>
      <w:r>
        <w:t xml:space="preserve">Decoys had to be close enough to be tempting but must each fail on a single, checkable rule.</w:t>
      </w:r>
    </w:p>
    <w:p>
      <w:pPr>
        <w:pStyle w:val="ListParagraph"/>
        <w:numPr>
          <w:ilvl w:val="0"/>
          <w:numId w:val="2"/>
        </w:numPr>
        <w:spacing w:after="60"/>
      </w:pPr>
      <w:r>
        <w:t xml:space="preserve">Cross-table contradictions (the retired handset) show that a record existing in a table does not make it trustworthy.</w:t>
      </w:r>
    </w:p>
    <w:p>
      <w:pPr>
        <w:pStyle w:val="ListParagraph"/>
        <w:numPr>
          <w:ilvl w:val="0"/>
          <w:numId w:val="2"/>
        </w:numPr>
        <w:spacing w:after="60"/>
      </w:pPr>
      <w:r>
        <w:t xml:space="preserve">Late twists (a re-dated transfer, a contradictory device) add realism and difficulty, but they should live inside the seed script itself so the puzzle cannot be loaded in a broken state.</w:t>
      </w:r>
    </w:p>
    <w:p>
      <w:pPr>
        <w:pStyle w:val="ListParagraph"/>
        <w:numPr>
          <w:ilvl w:val="0"/>
          <w:numId w:val="2"/>
        </w:numPr>
        <w:spacing w:after="60"/>
      </w:pPr>
      <w:r>
        <w:t xml:space="preserve">A deliberately dense statement is only fair if every edge is written down. Flipping one reading at a time (section 7.1) showed which five phrases had to be spelled out.</w:t>
      </w:r>
    </w:p>
    <w:p>
      <w:pPr>
        <w:pStyle w:val="ListParagraph"/>
        <w:numPr>
          <w:ilvl w:val="0"/>
          <w:numId w:val="2"/>
        </w:numPr>
        <w:spacing w:after="60"/>
      </w:pPr>
      <w:r>
        <w:t xml:space="preserve">Binary photos are safe to add to a noise column, but they should be verified by checksum after loading, and they enlarge setup.sql to about 3.8 MB.</w:t>
      </w:r>
    </w:p>
    <w:p>
      <w:pPr>
        <w:pStyle w:val="Heading1"/>
      </w:pPr>
      <w:r>
        <w:t xml:space="preserve">13. Conclusion</w:t>
      </w:r>
    </w:p>
    <w:p>
      <w:pPr>
        <w:spacing w:after="120" w:line="276"/>
      </w:pPr>
      <w:r>
        <w:t xml:space="preserve">The Quiet Ledger demonstrates how a set of related tables, a strict rule set and carefully planted decoys can produce a puzzle with a single verifiable answer. It tests investigative thinking as much as SQL syntax: the solver must discover the incident, respect exact time boundaries, validate evidence against other tables, and combine the results. The final answer, 2031, is fully derived from the database records.</w:t>
      </w:r>
    </w:p>
    <w:p>
      <w:pPr>
        <w:pStyle w:val="Heading1"/>
      </w:pPr>
      <w:r>
        <w:t xml:space="preserve">Appendix: 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File</w:t>
            </w:r>
          </w:p>
        </w:tc>
        <w:tc>
          <w:tcPr>
            <w:tcW w:type="dxa" w:w="66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setup.sql</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Drops and creates the ten tables and loads 250 rows into each, including the two built-in twists and the 250 inline BYTEA photos in people.photo (office_code removed from people). The only script to run.</w:t>
            </w:r>
          </w:p>
        </w:tc>
      </w:tr>
      <w:tr>
        <w:tc>
          <w:tcPr>
            <w:tcW w:type="dxa" w:w="24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the_quiet_ledger.md</w:t>
            </w:r>
          </w:p>
        </w:tc>
        <w:tc>
          <w:tcPr>
            <w:tcW w:type="dxa" w:w="6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Narrative and question in one file: background story, audit board definitions and the task statement. Replaces the separate narrative.md and question.md.</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verify.py</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Independent Python/SQLite implementation of the rules; reproduces 2031 and the alternative readings in section 7.1.</w:t>
            </w:r>
          </w:p>
        </w:tc>
      </w:tr>
      <w:tr>
        <w:tc>
          <w:tcPr>
            <w:tcW w:type="dxa" w:w="24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solution_7_queries.sql</w:t>
            </w:r>
          </w:p>
        </w:tc>
        <w:tc>
          <w:tcPr>
            <w:tcW w:type="dxa" w:w="6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Seven chained queries (temporary views) ending in the final answer query.</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answer.txt</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Expected answer: 2031.</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The Quiet Ledger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hoto91" Type="http://schemas.openxmlformats.org/officeDocument/2006/relationships/image" Target="media/person_91.jpg"/><Relationship Id="rIdPhoto120" Type="http://schemas.openxmlformats.org/officeDocument/2006/relationships/image" Target="media/person_120.jpg"/><Relationship Id="rIdPhoto146" Type="http://schemas.openxmlformats.org/officeDocument/2006/relationships/image" Target="media/person_146.jpg"/><Relationship Id="rIdPhoto158" Type="http://schemas.openxmlformats.org/officeDocument/2006/relationships/image" Target="media/person_158.jpg"/><Relationship Id="rIdPhoto37" Type="http://schemas.openxmlformats.org/officeDocument/2006/relationships/image" Target="media/person_37.jpg"/><Relationship Id="rIdPhoto85" Type="http://schemas.openxmlformats.org/officeDocument/2006/relationships/image" Target="media/person_85.jpg"/><Relationship Id="rIdPhoto148" Type="http://schemas.openxmlformats.org/officeDocument/2006/relationships/image" Target="media/person_148.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2026-09-28T14:02:31.796Z</dcterms:created>
  <dcterms:modified xsi:type="dcterms:W3CDTF">2026-09-28T14:02:31.808Z</dcterms:modified>
</cp:coreProperties>
</file>

<file path=docProps/custom.xml><?xml version="1.0" encoding="utf-8"?>
<Properties xmlns="http://schemas.openxmlformats.org/officeDocument/2006/custom-properties" xmlns:vt="http://schemas.openxmlformats.org/officeDocument/2006/docPropsVTypes"/>
</file>