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hAnsi="Calibri" w:cs="Calibri"/>
          <w:b/>
          <w:bCs/>
          <w:sz w:val="24"/>
          <w:szCs w:val="24"/>
        </w:rPr>
        <w:t xml:space="preserve">Project Design Phase</w:t>
      </w:r>
    </w:p>
    <w:p>
      <w:pPr>
        <w:jc w:val="center"/>
      </w:pPr>
      <w:r>
        <w:rPr>
          <w:rFonts w:ascii="Calibri" w:hAnsi="Calibri" w:cs="Calibri"/>
          <w:b/>
          <w:bCs/>
          <w:sz w:val="24"/>
          <w:szCs w:val="24"/>
        </w:rPr>
        <w:t xml:space="preserve">Problem – Solution Fit Template</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6233"/>
      </w:tblGrid>
      <w:tr>
        <w:tc>
          <w:tcPr>
            <w:tcW w:type="dxa" w:w="3117"/>
            <w:tcMar>
              <w:top w:type="dxa" w:w="80"/>
              <w:left w:type="dxa" w:w="100"/>
              <w:bottom w:type="dxa" w:w="80"/>
              <w:right w:type="dxa" w:w="100"/>
            </w:tcMar>
            <w:vAlign w:val="center"/>
          </w:tcPr>
          <w:p>
            <w:r>
              <w:rPr>
                <w:rFonts w:ascii="Calibri" w:hAnsi="Calibri" w:cs="Calibri"/>
                <w:b/>
                <w:bCs/>
                <w:sz w:val="22"/>
                <w:szCs w:val="22"/>
              </w:rPr>
              <w:t xml:space="preserve">Date</w:t>
            </w:r>
          </w:p>
        </w:tc>
        <w:tc>
          <w:tcPr>
            <w:tcW w:type="dxa" w:w="6233"/>
            <w:tcMar>
              <w:top w:type="dxa" w:w="80"/>
              <w:left w:type="dxa" w:w="100"/>
              <w:bottom w:type="dxa" w:w="80"/>
              <w:right w:type="dxa" w:w="100"/>
            </w:tcMar>
            <w:vAlign w:val="center"/>
          </w:tcPr>
          <w:p>
            <w:r>
              <w:rPr>
                <w:rFonts w:ascii="Calibri" w:hAnsi="Calibri" w:cs="Calibri"/>
                <w:b w:val="false"/>
                <w:bCs w:val="false"/>
                <w:sz w:val="22"/>
                <w:szCs w:val="22"/>
              </w:rPr>
              <w:t xml:space="preserve">15 February 2026</w:t>
            </w:r>
          </w:p>
        </w:tc>
      </w:tr>
      <w:tr>
        <w:tc>
          <w:tcPr>
            <w:tcW w:type="dxa" w:w="3117"/>
            <w:tcMar>
              <w:top w:type="dxa" w:w="80"/>
              <w:left w:type="dxa" w:w="100"/>
              <w:bottom w:type="dxa" w:w="80"/>
              <w:right w:type="dxa" w:w="100"/>
            </w:tcMar>
            <w:vAlign w:val="center"/>
          </w:tcPr>
          <w:p>
            <w:r>
              <w:rPr>
                <w:rFonts w:ascii="Calibri" w:hAnsi="Calibri" w:cs="Calibri"/>
                <w:b/>
                <w:bCs/>
                <w:sz w:val="22"/>
                <w:szCs w:val="22"/>
              </w:rPr>
              <w:t xml:space="preserve">Team ID</w:t>
            </w:r>
          </w:p>
        </w:tc>
        <w:tc>
          <w:tcPr>
            <w:tcW w:type="dxa" w:w="6233"/>
            <w:tcMar>
              <w:top w:type="dxa" w:w="80"/>
              <w:left w:type="dxa" w:w="100"/>
              <w:bottom w:type="dxa" w:w="80"/>
              <w:right w:type="dxa" w:w="100"/>
            </w:tcMar>
            <w:vAlign w:val="center"/>
          </w:tcPr>
          <w:p>
            <w:r>
              <w:rPr>
                <w:rFonts w:ascii="Calibri" w:hAnsi="Calibri" w:cs="Calibri"/>
                <w:b w:val="false"/>
                <w:bCs w:val="false"/>
                <w:sz w:val="22"/>
                <w:szCs w:val="22"/>
              </w:rPr>
              <w:t xml:space="preserve"/>
            </w:r>
          </w:p>
        </w:tc>
      </w:tr>
      <w:tr>
        <w:tc>
          <w:tcPr>
            <w:tcW w:type="dxa" w:w="3117"/>
            <w:tcMar>
              <w:top w:type="dxa" w:w="80"/>
              <w:left w:type="dxa" w:w="100"/>
              <w:bottom w:type="dxa" w:w="80"/>
              <w:right w:type="dxa" w:w="100"/>
            </w:tcMar>
            <w:vAlign w:val="center"/>
          </w:tcPr>
          <w:p>
            <w:r>
              <w:rPr>
                <w:rFonts w:ascii="Calibri" w:hAnsi="Calibri" w:cs="Calibri"/>
                <w:b/>
                <w:bCs/>
                <w:sz w:val="22"/>
                <w:szCs w:val="22"/>
              </w:rPr>
              <w:t xml:space="preserve">Project Name</w:t>
            </w:r>
          </w:p>
        </w:tc>
        <w:tc>
          <w:tcPr>
            <w:tcW w:type="dxa" w:w="6233"/>
            <w:tcMar>
              <w:top w:type="dxa" w:w="80"/>
              <w:left w:type="dxa" w:w="100"/>
              <w:bottom w:type="dxa" w:w="80"/>
              <w:right w:type="dxa" w:w="100"/>
            </w:tcMar>
            <w:vAlign w:val="center"/>
          </w:tcPr>
          <w:p>
            <w:r>
              <w:rPr>
                <w:rFonts w:ascii="Calibri" w:hAnsi="Calibri" w:cs="Calibri"/>
                <w:b w:val="false"/>
                <w:bCs w:val="false"/>
                <w:sz w:val="22"/>
                <w:szCs w:val="22"/>
              </w:rPr>
              <w:t xml:space="preserve">Customer Registry</w:t>
            </w:r>
          </w:p>
        </w:tc>
      </w:tr>
      <w:tr>
        <w:tc>
          <w:tcPr>
            <w:tcW w:type="dxa" w:w="3117"/>
            <w:tcMar>
              <w:top w:type="dxa" w:w="80"/>
              <w:left w:type="dxa" w:w="100"/>
              <w:bottom w:type="dxa" w:w="80"/>
              <w:right w:type="dxa" w:w="100"/>
            </w:tcMar>
            <w:vAlign w:val="center"/>
          </w:tcPr>
          <w:p>
            <w:r>
              <w:rPr>
                <w:rFonts w:ascii="Calibri" w:hAnsi="Calibri" w:cs="Calibri"/>
                <w:b/>
                <w:bCs/>
                <w:sz w:val="22"/>
                <w:szCs w:val="22"/>
              </w:rPr>
              <w:t xml:space="preserve">Maximum Marks</w:t>
            </w:r>
          </w:p>
        </w:tc>
        <w:tc>
          <w:tcPr>
            <w:tcW w:type="dxa" w:w="6233"/>
            <w:tcMar>
              <w:top w:type="dxa" w:w="80"/>
              <w:left w:type="dxa" w:w="100"/>
              <w:bottom w:type="dxa" w:w="80"/>
              <w:right w:type="dxa" w:w="100"/>
            </w:tcMar>
            <w:vAlign w:val="center"/>
          </w:tcPr>
          <w:p>
            <w:r>
              <w:rPr>
                <w:rFonts w:ascii="Calibri" w:hAnsi="Calibri" w:cs="Calibri"/>
                <w:b w:val="false"/>
                <w:bCs w:val="false"/>
                <w:sz w:val="22"/>
                <w:szCs w:val="22"/>
              </w:rPr>
              <w:t xml:space="preserve">2 Marks</w:t>
            </w:r>
          </w:p>
        </w:tc>
      </w:tr>
    </w:tbl>
    <w:p/>
    <w:p>
      <w:r>
        <w:rPr>
          <w:rFonts w:ascii="Calibri" w:hAnsi="Calibri" w:cs="Calibri"/>
          <w:b/>
          <w:bCs/>
          <w:i w:val="false"/>
          <w:iCs w:val="false"/>
          <w:sz w:val="22"/>
          <w:szCs w:val="22"/>
        </w:rPr>
        <w:t xml:space="preserve">Problem – Solution Fit Template:</w:t>
      </w:r>
    </w:p>
    <w:p>
      <w:r>
        <w:rPr>
          <w:rFonts w:ascii="Calibri" w:hAnsi="Calibri" w:cs="Calibri"/>
          <w:b w:val="false"/>
          <w:bCs w:val="false"/>
          <w:i w:val="false"/>
          <w:iCs w:val="false"/>
          <w:sz w:val="22"/>
          <w:szCs w:val="22"/>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
      <w:r>
        <w:rPr>
          <w:rFonts w:ascii="Calibri" w:hAnsi="Calibri" w:cs="Calibri"/>
          <w:b/>
          <w:bCs/>
          <w:sz w:val="22"/>
          <w:szCs w:val="22"/>
        </w:rPr>
        <w:t xml:space="preserve">Purpose:</w:t>
      </w:r>
    </w:p>
    <w:p>
      <w:pPr>
        <w:pStyle w:val="ListParagraph"/>
        <w:numPr>
          <w:ilvl w:val="0"/>
          <w:numId w:val="1"/>
        </w:numPr>
      </w:pPr>
      <w:r>
        <w:rPr>
          <w:rFonts w:ascii="Calibri" w:hAnsi="Calibri" w:cs="Calibri"/>
          <w:sz w:val="22"/>
          <w:szCs w:val="22"/>
        </w:rPr>
        <w:t xml:space="preserve">Solve complex problems in a way that fits the state of your customers.</w:t>
      </w:r>
    </w:p>
    <w:p>
      <w:pPr>
        <w:pStyle w:val="ListParagraph"/>
        <w:numPr>
          <w:ilvl w:val="0"/>
          <w:numId w:val="1"/>
        </w:numPr>
      </w:pPr>
      <w:r>
        <w:rPr>
          <w:rFonts w:ascii="Calibri" w:hAnsi="Calibri" w:cs="Calibri"/>
          <w:sz w:val="22"/>
          <w:szCs w:val="22"/>
        </w:rPr>
        <w:t xml:space="preserve">Succeed faster and increase your solution adoption by tapping into existing mediums and channels of behavior.</w:t>
      </w:r>
    </w:p>
    <w:p>
      <w:pPr>
        <w:pStyle w:val="ListParagraph"/>
        <w:numPr>
          <w:ilvl w:val="0"/>
          <w:numId w:val="1"/>
        </w:numPr>
      </w:pPr>
      <w:r>
        <w:rPr>
          <w:rFonts w:ascii="Calibri" w:hAnsi="Calibri" w:cs="Calibri"/>
          <w:sz w:val="22"/>
          <w:szCs w:val="22"/>
        </w:rPr>
        <w:t xml:space="preserve">Sharpen your communication and marketing strategy with the right triggers and messaging.</w:t>
      </w:r>
    </w:p>
    <w:p>
      <w:pPr>
        <w:pStyle w:val="ListParagraph"/>
        <w:numPr>
          <w:ilvl w:val="0"/>
          <w:numId w:val="1"/>
        </w:numPr>
      </w:pPr>
      <w:r>
        <w:rPr>
          <w:rFonts w:ascii="Calibri" w:hAnsi="Calibri" w:cs="Calibri"/>
          <w:sz w:val="22"/>
          <w:szCs w:val="22"/>
        </w:rPr>
        <w:t xml:space="preserve">Increase touch-points with your company by finding the right problem-behavior fit and building trust by solving frequent annoyances, or urgent or costly problems.</w:t>
      </w:r>
    </w:p>
    <w:p>
      <w:pPr>
        <w:pStyle w:val="ListParagraph"/>
        <w:numPr>
          <w:ilvl w:val="0"/>
          <w:numId w:val="1"/>
        </w:numPr>
      </w:pPr>
      <w:r>
        <w:rPr>
          <w:rFonts w:ascii="Calibri" w:hAnsi="Calibri" w:cs="Calibri"/>
          <w:sz w:val="22"/>
          <w:szCs w:val="22"/>
        </w:rPr>
        <w:t xml:space="preserve">Understand the existing situation in order to improve it for your target group.</w:t>
      </w:r>
    </w:p>
    <w:p/>
    <w:p>
      <w:r>
        <w:rPr>
          <w:rFonts w:ascii="Calibri" w:hAnsi="Calibri" w:cs="Calibri"/>
          <w:b/>
          <w:bCs/>
          <w:sz w:val="22"/>
          <w:szCs w:val="22"/>
        </w:rPr>
        <w:t xml:space="preserve">Problem – Solution Fit: Customer Registry</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rPr>
          <w:tblHeader/>
        </w:trPr>
        <w:tc>
          <w:tcPr>
            <w:tcW w:type="dxa" w:w="280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Canvas Element</w:t>
            </w:r>
          </w:p>
        </w:tc>
        <w:tc>
          <w:tcPr>
            <w:tcW w:type="dxa" w:w="655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Details</w:t>
            </w:r>
          </w:p>
        </w:tc>
      </w:tr>
      <w:tr>
        <w:tc>
          <w:tcPr>
            <w:tcW w:type="dxa" w:w="2800"/>
            <w:tcMar>
              <w:top w:type="dxa" w:w="80"/>
              <w:left w:type="dxa" w:w="100"/>
              <w:bottom w:type="dxa" w:w="80"/>
              <w:right w:type="dxa" w:w="100"/>
            </w:tcMar>
            <w:vAlign w:val="center"/>
          </w:tcPr>
          <w:p>
            <w:r>
              <w:rPr>
                <w:rFonts w:ascii="Calibri" w:hAnsi="Calibri" w:cs="Calibri"/>
                <w:b w:val="false"/>
                <w:bCs w:val="false"/>
                <w:sz w:val="22"/>
                <w:szCs w:val="22"/>
              </w:rPr>
              <w:t xml:space="preserve">Customer Segment &amp; Jobs-to-be-Done</w:t>
            </w:r>
          </w:p>
        </w:tc>
        <w:tc>
          <w:tcPr>
            <w:tcW w:type="dxa" w:w="6550"/>
            <w:tcMar>
              <w:top w:type="dxa" w:w="80"/>
              <w:left w:type="dxa" w:w="100"/>
              <w:bottom w:type="dxa" w:w="80"/>
              <w:right w:type="dxa" w:w="100"/>
            </w:tcMar>
            <w:vAlign w:val="center"/>
          </w:tcPr>
          <w:p>
            <w:r>
              <w:rPr>
                <w:rFonts w:ascii="Calibri" w:hAnsi="Calibri" w:cs="Calibri"/>
                <w:b w:val="false"/>
                <w:bCs w:val="false"/>
                <w:sz w:val="22"/>
                <w:szCs w:val="22"/>
              </w:rPr>
              <w:t xml:space="preserve">Customers who need to report a product/service issue and get it resolved without repeated phone calls or emails; agents who need an organized queue of work; admins who need oversight of the whole process.</w:t>
            </w:r>
          </w:p>
        </w:tc>
      </w:tr>
      <w:tr>
        <w:tc>
          <w:tcPr>
            <w:tcW w:type="dxa" w:w="2800"/>
            <w:tcMar>
              <w:top w:type="dxa" w:w="80"/>
              <w:left w:type="dxa" w:w="100"/>
              <w:bottom w:type="dxa" w:w="80"/>
              <w:right w:type="dxa" w:w="100"/>
            </w:tcMar>
            <w:vAlign w:val="center"/>
          </w:tcPr>
          <w:p>
            <w:r>
              <w:rPr>
                <w:rFonts w:ascii="Calibri" w:hAnsi="Calibri" w:cs="Calibri"/>
                <w:b w:val="false"/>
                <w:bCs w:val="false"/>
                <w:sz w:val="22"/>
                <w:szCs w:val="22"/>
              </w:rPr>
              <w:t xml:space="preserve">Problem / Root Cause</w:t>
            </w:r>
          </w:p>
        </w:tc>
        <w:tc>
          <w:tcPr>
            <w:tcW w:type="dxa" w:w="6550"/>
            <w:tcMar>
              <w:top w:type="dxa" w:w="80"/>
              <w:left w:type="dxa" w:w="100"/>
              <w:bottom w:type="dxa" w:w="80"/>
              <w:right w:type="dxa" w:w="100"/>
            </w:tcMar>
            <w:vAlign w:val="center"/>
          </w:tcPr>
          <w:p>
            <w:r>
              <w:rPr>
                <w:rFonts w:ascii="Calibri" w:hAnsi="Calibri" w:cs="Calibri"/>
                <w:b w:val="false"/>
                <w:bCs w:val="false"/>
                <w:sz w:val="22"/>
                <w:szCs w:val="22"/>
              </w:rPr>
              <w:t xml:space="preserve">Complaints raised through calls, emails, or in-person visits get lost or delayed because there is no single system to log, assign, and track them, leaving customers uncertain about progress.</w:t>
            </w:r>
          </w:p>
        </w:tc>
      </w:tr>
      <w:tr>
        <w:tc>
          <w:tcPr>
            <w:tcW w:type="dxa" w:w="2800"/>
            <w:tcMar>
              <w:top w:type="dxa" w:w="80"/>
              <w:left w:type="dxa" w:w="100"/>
              <w:bottom w:type="dxa" w:w="80"/>
              <w:right w:type="dxa" w:w="100"/>
            </w:tcMar>
            <w:vAlign w:val="center"/>
          </w:tcPr>
          <w:p>
            <w:r>
              <w:rPr>
                <w:rFonts w:ascii="Calibri" w:hAnsi="Calibri" w:cs="Calibri"/>
                <w:b w:val="false"/>
                <w:bCs w:val="false"/>
                <w:sz w:val="22"/>
                <w:szCs w:val="22"/>
              </w:rPr>
              <w:t xml:space="preserve">Existing Alternatives</w:t>
            </w:r>
          </w:p>
        </w:tc>
        <w:tc>
          <w:tcPr>
            <w:tcW w:type="dxa" w:w="6550"/>
            <w:tcMar>
              <w:top w:type="dxa" w:w="80"/>
              <w:left w:type="dxa" w:w="100"/>
              <w:bottom w:type="dxa" w:w="80"/>
              <w:right w:type="dxa" w:w="100"/>
            </w:tcMar>
            <w:vAlign w:val="center"/>
          </w:tcPr>
          <w:p>
            <w:r>
              <w:rPr>
                <w:rFonts w:ascii="Calibri" w:hAnsi="Calibri" w:cs="Calibri"/>
                <w:b w:val="false"/>
                <w:bCs w:val="false"/>
                <w:sz w:val="22"/>
                <w:szCs w:val="22"/>
              </w:rPr>
              <w:t xml:space="preserve">Phone-based support desks, generic email inboxes, spreadsheets maintained manually by support staff, or third-party helpdesk tools that are not tailored to the organization's workflow.</w:t>
            </w:r>
          </w:p>
        </w:tc>
      </w:tr>
      <w:tr>
        <w:tc>
          <w:tcPr>
            <w:tcW w:type="dxa" w:w="2800"/>
            <w:tcMar>
              <w:top w:type="dxa" w:w="80"/>
              <w:left w:type="dxa" w:w="100"/>
              <w:bottom w:type="dxa" w:w="80"/>
              <w:right w:type="dxa" w:w="100"/>
            </w:tcMar>
            <w:vAlign w:val="center"/>
          </w:tcPr>
          <w:p>
            <w:r>
              <w:rPr>
                <w:rFonts w:ascii="Calibri" w:hAnsi="Calibri" w:cs="Calibri"/>
                <w:b w:val="false"/>
                <w:bCs w:val="false"/>
                <w:sz w:val="22"/>
                <w:szCs w:val="22"/>
              </w:rPr>
              <w:t xml:space="preserve">Emotional Response (Before)</w:t>
            </w:r>
          </w:p>
        </w:tc>
        <w:tc>
          <w:tcPr>
            <w:tcW w:type="dxa" w:w="6550"/>
            <w:tcMar>
              <w:top w:type="dxa" w:w="80"/>
              <w:left w:type="dxa" w:w="100"/>
              <w:bottom w:type="dxa" w:w="80"/>
              <w:right w:type="dxa" w:w="100"/>
            </w:tcMar>
            <w:vAlign w:val="center"/>
          </w:tcPr>
          <w:p>
            <w:r>
              <w:rPr>
                <w:rFonts w:ascii="Calibri" w:hAnsi="Calibri" w:cs="Calibri"/>
                <w:b w:val="false"/>
                <w:bCs w:val="false"/>
                <w:sz w:val="22"/>
                <w:szCs w:val="22"/>
              </w:rPr>
              <w:t xml:space="preserve">Customers feel ignored and anxious when they don't hear back; agents feel overwhelmed juggling multiple channels; admins feel blind to overall performance.</w:t>
            </w:r>
          </w:p>
        </w:tc>
      </w:tr>
      <w:tr>
        <w:tc>
          <w:tcPr>
            <w:tcW w:type="dxa" w:w="2800"/>
            <w:tcMar>
              <w:top w:type="dxa" w:w="80"/>
              <w:left w:type="dxa" w:w="100"/>
              <w:bottom w:type="dxa" w:w="80"/>
              <w:right w:type="dxa" w:w="100"/>
            </w:tcMar>
            <w:vAlign w:val="center"/>
          </w:tcPr>
          <w:p>
            <w:r>
              <w:rPr>
                <w:rFonts w:ascii="Calibri" w:hAnsi="Calibri" w:cs="Calibri"/>
                <w:b w:val="false"/>
                <w:bCs w:val="false"/>
                <w:sz w:val="22"/>
                <w:szCs w:val="22"/>
              </w:rPr>
              <w:t xml:space="preserve">Triggers to Act</w:t>
            </w:r>
          </w:p>
        </w:tc>
        <w:tc>
          <w:tcPr>
            <w:tcW w:type="dxa" w:w="6550"/>
            <w:tcMar>
              <w:top w:type="dxa" w:w="80"/>
              <w:left w:type="dxa" w:w="100"/>
              <w:bottom w:type="dxa" w:w="80"/>
              <w:right w:type="dxa" w:w="100"/>
            </w:tcMar>
            <w:vAlign w:val="center"/>
          </w:tcPr>
          <w:p>
            <w:r>
              <w:rPr>
                <w:rFonts w:ascii="Calibri" w:hAnsi="Calibri" w:cs="Calibri"/>
                <w:b w:val="false"/>
                <w:bCs w:val="false"/>
                <w:sz w:val="22"/>
                <w:szCs w:val="22"/>
              </w:rPr>
              <w:t xml:space="preserve">A product/service failure, delayed delivery, billing dispute, or repeated unresolved issue pushes the customer to file a formal complaint and expect a tracked resolution.</w:t>
            </w:r>
          </w:p>
        </w:tc>
      </w:tr>
      <w:tr>
        <w:tc>
          <w:tcPr>
            <w:tcW w:type="dxa" w:w="2800"/>
            <w:tcMar>
              <w:top w:type="dxa" w:w="80"/>
              <w:left w:type="dxa" w:w="100"/>
              <w:bottom w:type="dxa" w:w="80"/>
              <w:right w:type="dxa" w:w="100"/>
            </w:tcMar>
            <w:vAlign w:val="center"/>
          </w:tcPr>
          <w:p>
            <w:r>
              <w:rPr>
                <w:rFonts w:ascii="Calibri" w:hAnsi="Calibri" w:cs="Calibri"/>
                <w:b w:val="false"/>
                <w:bCs w:val="false"/>
                <w:sz w:val="22"/>
                <w:szCs w:val="22"/>
              </w:rPr>
              <w:t xml:space="preserve">Channels of Behavior (Online/Offline)</w:t>
            </w:r>
          </w:p>
        </w:tc>
        <w:tc>
          <w:tcPr>
            <w:tcW w:type="dxa" w:w="6550"/>
            <w:tcMar>
              <w:top w:type="dxa" w:w="80"/>
              <w:left w:type="dxa" w:w="100"/>
              <w:bottom w:type="dxa" w:w="80"/>
              <w:right w:type="dxa" w:w="100"/>
            </w:tcMar>
            <w:vAlign w:val="center"/>
          </w:tcPr>
          <w:p>
            <w:r>
              <w:rPr>
                <w:rFonts w:ascii="Calibri" w:hAnsi="Calibri" w:cs="Calibri"/>
                <w:b w:val="false"/>
                <w:bCs w:val="false"/>
                <w:sz w:val="22"/>
                <w:szCs w:val="22"/>
              </w:rPr>
              <w:t xml:space="preserve">Online: web/mobile complaint portal, email notifications, in-app chat. Offline: escalation calls when online resolution stalls.</w:t>
            </w:r>
          </w:p>
        </w:tc>
      </w:tr>
      <w:tr>
        <w:tc>
          <w:tcPr>
            <w:tcW w:type="dxa" w:w="2800"/>
            <w:tcMar>
              <w:top w:type="dxa" w:w="80"/>
              <w:left w:type="dxa" w:w="100"/>
              <w:bottom w:type="dxa" w:w="80"/>
              <w:right w:type="dxa" w:w="100"/>
            </w:tcMar>
            <w:vAlign w:val="center"/>
          </w:tcPr>
          <w:p>
            <w:r>
              <w:rPr>
                <w:rFonts w:ascii="Calibri" w:hAnsi="Calibri" w:cs="Calibri"/>
                <w:b w:val="false"/>
                <w:bCs w:val="false"/>
                <w:sz w:val="22"/>
                <w:szCs w:val="22"/>
              </w:rPr>
              <w:t xml:space="preserve">Customer Constraints (Time/Money/Effort)</w:t>
            </w:r>
          </w:p>
        </w:tc>
        <w:tc>
          <w:tcPr>
            <w:tcW w:type="dxa" w:w="6550"/>
            <w:tcMar>
              <w:top w:type="dxa" w:w="80"/>
              <w:left w:type="dxa" w:w="100"/>
              <w:bottom w:type="dxa" w:w="80"/>
              <w:right w:type="dxa" w:w="100"/>
            </w:tcMar>
            <w:vAlign w:val="center"/>
          </w:tcPr>
          <w:p>
            <w:r>
              <w:rPr>
                <w:rFonts w:ascii="Calibri" w:hAnsi="Calibri" w:cs="Calibri"/>
                <w:b w:val="false"/>
                <w:bCs w:val="false"/>
                <w:sz w:val="22"/>
                <w:szCs w:val="22"/>
              </w:rPr>
              <w:t xml:space="preserve">Customers are willing to spend 2–3 minutes filling a structured form if it guarantees visibility and faster resolution, but will abandon lengthy or unclear forms.</w:t>
            </w:r>
          </w:p>
        </w:tc>
      </w:tr>
      <w:tr>
        <w:tc>
          <w:tcPr>
            <w:tcW w:type="dxa" w:w="2800"/>
            <w:tcMar>
              <w:top w:type="dxa" w:w="80"/>
              <w:left w:type="dxa" w:w="100"/>
              <w:bottom w:type="dxa" w:w="80"/>
              <w:right w:type="dxa" w:w="100"/>
            </w:tcMar>
            <w:vAlign w:val="center"/>
          </w:tcPr>
          <w:p>
            <w:r>
              <w:rPr>
                <w:rFonts w:ascii="Calibri" w:hAnsi="Calibri" w:cs="Calibri"/>
                <w:b w:val="false"/>
                <w:bCs w:val="false"/>
                <w:sz w:val="22"/>
                <w:szCs w:val="22"/>
              </w:rPr>
              <w:t xml:space="preserve">Proposed Solution Fit</w:t>
            </w:r>
          </w:p>
        </w:tc>
        <w:tc>
          <w:tcPr>
            <w:tcW w:type="dxa" w:w="6550"/>
            <w:tcMar>
              <w:top w:type="dxa" w:w="80"/>
              <w:left w:type="dxa" w:w="100"/>
              <w:bottom w:type="dxa" w:w="80"/>
              <w:right w:type="dxa" w:w="100"/>
            </w:tcMar>
            <w:vAlign w:val="center"/>
          </w:tcPr>
          <w:p>
            <w:r>
              <w:rPr>
                <w:rFonts w:ascii="Calibri" w:hAnsi="Calibri" w:cs="Calibri"/>
                <w:b w:val="false"/>
                <w:bCs w:val="false"/>
                <w:sz w:val="22"/>
                <w:szCs w:val="22"/>
              </w:rPr>
              <w:t xml:space="preserve">A centralized MERN-based Customer Registry that lets customers raise, track, and chat about complaints in real time, while agents and admins manage assignment, status, and analytics from a single dashboard — directly solving the transparency and coordination problem identified above.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cs="Calibri"/>
        <w:sz w:val="22"/>
        <w:szCs w:val="22"/>
      </w:rPr>
    </w:rPrDefault>
    <w:pPrDefault/>
  </w:docDefaults>
  <w:style w:type="paragraph" w:styleId="Title">
    <w:name w:val="Title"/>
    <w:basedOn w:val="Normal"/>
    <w:next w:val="Normal"/>
    <w:qFormat/>
    <w:rPr>
      <w:rFonts w:ascii="Calibri" w:hAnsi="Calibri" w:cs="Calibri"/>
      <w:sz w:val="22"/>
      <w:szCs w:val="22"/>
    </w:rPr>
  </w:style>
  <w:style w:type="paragraph" w:styleId="Heading1">
    <w:name w:val="Heading 1"/>
    <w:basedOn w:val="Normal"/>
    <w:next w:val="Normal"/>
    <w:qFormat/>
    <w:rPr>
      <w:rFonts w:ascii="Calibri" w:hAnsi="Calibri" w:cs="Calibri"/>
      <w:color w:val="2E74B5"/>
      <w:sz w:val="22"/>
      <w:szCs w:val="22"/>
    </w:rPr>
  </w:style>
  <w:style w:type="paragraph" w:styleId="Heading2">
    <w:name w:val="Heading 2"/>
    <w:basedOn w:val="Normal"/>
    <w:next w:val="Normal"/>
    <w:qFormat/>
    <w:rPr>
      <w:rFonts w:ascii="Calibri" w:hAnsi="Calibri" w:cs="Calibri"/>
      <w:color w:val="2E74B5"/>
      <w:sz w:val="22"/>
      <w:szCs w:val="22"/>
    </w:rPr>
  </w:style>
  <w:style w:type="paragraph" w:styleId="Heading3">
    <w:name w:val="Heading 3"/>
    <w:basedOn w:val="Normal"/>
    <w:next w:val="Normal"/>
    <w:qFormat/>
    <w:rPr>
      <w:rFonts w:ascii="Calibri" w:hAnsi="Calibri" w:cs="Calibri"/>
      <w:color w:val="1F4D78"/>
      <w:sz w:val="22"/>
      <w:szCs w:val="22"/>
    </w:rPr>
  </w:style>
  <w:style w:type="paragraph" w:styleId="Heading4">
    <w:name w:val="Heading 4"/>
    <w:basedOn w:val="Normal"/>
    <w:next w:val="Normal"/>
    <w:qFormat/>
    <w:rPr>
      <w:rFonts w:ascii="Calibri" w:hAnsi="Calibri" w:cs="Calibri"/>
      <w:i/>
      <w:iCs/>
      <w:color w:val="2E74B5"/>
      <w:sz w:val="22"/>
      <w:szCs w:val="22"/>
    </w:rPr>
  </w:style>
  <w:style w:type="paragraph" w:styleId="Heading5">
    <w:name w:val="Heading 5"/>
    <w:basedOn w:val="Normal"/>
    <w:next w:val="Normal"/>
    <w:qFormat/>
    <w:rPr>
      <w:rFonts w:ascii="Calibri" w:hAnsi="Calibri" w:cs="Calibri"/>
      <w:color w:val="2E74B5"/>
      <w:sz w:val="22"/>
      <w:szCs w:val="22"/>
    </w:rPr>
  </w:style>
  <w:style w:type="paragraph" w:styleId="Heading6">
    <w:name w:val="Heading 6"/>
    <w:basedOn w:val="Normal"/>
    <w:next w:val="Normal"/>
    <w:qFormat/>
    <w:rPr>
      <w:rFonts w:ascii="Calibri" w:hAnsi="Calibri" w:cs="Calibri"/>
      <w:color w:val="1F4D78"/>
      <w:sz w:val="22"/>
      <w:szCs w:val="22"/>
    </w:rPr>
  </w:style>
  <w:style w:type="paragraph" w:styleId="Strong">
    <w:name w:val="Strong"/>
    <w:basedOn w:val="Normal"/>
    <w:next w:val="Normal"/>
    <w:qFormat/>
    <w:rPr>
      <w:rFonts w:ascii="Calibri" w:hAnsi="Calibri" w:cs="Calibri"/>
      <w:b/>
      <w:bCs/>
      <w:sz w:val="22"/>
      <w:szCs w:val="22"/>
    </w:rPr>
  </w:style>
  <w:style w:type="paragraph" w:styleId="ListParagraph">
    <w:name w:val="List Paragraph"/>
    <w:basedOn w:val="Normal"/>
    <w:qFormat/>
  </w:style>
  <w:style w:type="character" w:styleId="Hyperlink">
    <w:name w:val="Hyperlink"/>
    <w:basedOn w:val="DefaultParagraphFont"/>
    <w:uiPriority w:val="99"/>
    <w:unhideWhenUsed/>
    <w:rPr>
      <w:rFonts w:ascii="Calibri" w:hAnsi="Calibri" w:cs="Calibri"/>
      <w:color w:val="0563C1"/>
      <w:u w:val="single"/>
      <w:sz w:val="22"/>
      <w:szCs w:val="22"/>
    </w:rPr>
  </w:style>
  <w:style w:type="character" w:styleId="FootnoteReference">
    <w:name w:val="footnote reference"/>
    <w:basedOn w:val="DefaultParagraphFont"/>
    <w:uiPriority w:val="99"/>
    <w:semiHidden/>
    <w:unhideWhenUsed/>
    <w:rPr>
      <w:rFonts w:ascii="Calibri" w:hAnsi="Calibri" w:cs="Calibri"/>
      <w:vertAlign w:val="superscript"/>
      <w:sz w:val="22"/>
      <w:szCs w:val="22"/>
    </w:rPr>
  </w:style>
  <w:style w:type="paragraph" w:styleId="FootnoteText">
    <w:name w:val="footnote text"/>
    <w:basedOn w:val="Normal"/>
    <w:link w:val="FootnoteTextChar"/>
    <w:uiPriority w:val="99"/>
    <w:semiHidden/>
    <w:unhideWhenUsed/>
    <w:pPr>
      <w:spacing w:after="0" w:line="240" w:lineRule="auto"/>
    </w:pPr>
    <w:rPr>
      <w:rFonts w:ascii="Calibri" w:hAnsi="Calibri" w:cs="Calibri"/>
      <w:sz w:val="22"/>
      <w:szCs w:val="22"/>
    </w:rPr>
  </w:style>
  <w:style w:type="character" w:styleId="FootnoteTextChar">
    <w:name w:val="Footnote Text Char"/>
    <w:basedOn w:val="DefaultParagraphFont"/>
    <w:link w:val="FootnoteText"/>
    <w:uiPriority w:val="99"/>
    <w:semiHidden/>
    <w:unhideWhenUsed/>
    <w:rPr>
      <w:rFonts w:ascii="Calibri" w:hAnsi="Calibri" w:cs="Calibri"/>
      <w:sz w:val="22"/>
      <w:szCs w:val="22"/>
    </w:rPr>
  </w:style>
  <w:style w:type="character" w:styleId="EndnoteReference">
    <w:name w:val="endnote reference"/>
    <w:basedOn w:val="DefaultParagraphFont"/>
    <w:uiPriority w:val="99"/>
    <w:semiHidden/>
    <w:unhideWhenUsed/>
    <w:rPr>
      <w:rFonts w:ascii="Calibri" w:hAnsi="Calibri" w:cs="Calibri"/>
      <w:vertAlign w:val="superscript"/>
      <w:sz w:val="22"/>
      <w:szCs w:val="22"/>
    </w:rPr>
  </w:style>
  <w:style w:type="paragraph" w:styleId="EndnoteText">
    <w:name w:val="endnote text"/>
    <w:basedOn w:val="Normal"/>
    <w:link w:val="EndnoteTextChar"/>
    <w:uiPriority w:val="99"/>
    <w:semiHidden/>
    <w:unhideWhenUsed/>
    <w:pPr>
      <w:spacing w:after="0" w:line="240" w:lineRule="auto"/>
    </w:pPr>
    <w:rPr>
      <w:rFonts w:ascii="Calibri" w:hAnsi="Calibri" w:cs="Calibri"/>
      <w:sz w:val="22"/>
      <w:szCs w:val="22"/>
    </w:rPr>
  </w:style>
  <w:style w:type="character" w:styleId="EndnoteTextChar">
    <w:name w:val="Endnote Text Char"/>
    <w:basedOn w:val="DefaultParagraphFont"/>
    <w:link w:val="EndnoteText"/>
    <w:uiPriority w:val="99"/>
    <w:semiHidden/>
    <w:unhideWhenUsed/>
    <w:rPr>
      <w:rFonts w:ascii="Calibri" w:hAnsi="Calibri" w:cs="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2026-07-06T08:48:35.089Z</dcterms:created>
  <dcterms:modified xsi:type="dcterms:W3CDTF">2026-07-06T08:48:35.090Z</dcterms:modified>
</cp:coreProperties>
</file>

<file path=docProps/custom.xml><?xml version="1.0" encoding="utf-8"?>
<Properties xmlns="http://schemas.openxmlformats.org/officeDocument/2006/custom-properties" xmlns:vt="http://schemas.openxmlformats.org/officeDocument/2006/docPropsVTypes"/>
</file>