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Ideation Phase</w:t>
      </w:r>
    </w:p>
    <w:p>
      <w:pPr>
        <w:jc w:val="center"/>
      </w:pPr>
      <w:r>
        <w:rPr>
          <w:rFonts w:ascii="Calibri" w:hAnsi="Calibri" w:cs="Calibri"/>
          <w:b/>
          <w:bCs/>
          <w:sz w:val="24"/>
          <w:szCs w:val="24"/>
        </w:rPr>
        <w:t xml:space="preserve">Empathize &amp; Discover</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100"/>
              <w:left w:type="dxa" w:w="120"/>
              <w:bottom w:type="dxa" w:w="100"/>
              <w:right w:type="dxa" w:w="120"/>
            </w:tcMar>
            <w:vAlign w:val="center"/>
          </w:tcPr>
          <w:p>
            <w:r>
              <w:rPr>
                <w:rFonts w:ascii="Calibri" w:hAnsi="Calibri" w:cs="Calibri"/>
                <w:b/>
                <w:bCs/>
                <w:sz w:val="22"/>
                <w:szCs w:val="22"/>
              </w:rPr>
              <w:t xml:space="preserve">Date</w:t>
            </w:r>
          </w:p>
        </w:tc>
        <w:tc>
          <w:tcPr>
            <w:tcW w:type="dxa" w:w="6233"/>
            <w:tcMar>
              <w:top w:type="dxa" w:w="100"/>
              <w:left w:type="dxa" w:w="120"/>
              <w:bottom w:type="dxa" w:w="100"/>
              <w:right w:type="dxa" w:w="120"/>
            </w:tcMar>
            <w:vAlign w:val="center"/>
          </w:tcPr>
          <w:p>
            <w:r>
              <w:rPr>
                <w:rFonts w:ascii="Calibri" w:hAnsi="Calibri" w:cs="Calibri"/>
                <w:b w:val="false"/>
                <w:bCs w:val="false"/>
                <w:sz w:val="22"/>
                <w:szCs w:val="22"/>
              </w:rPr>
              <w:t xml:space="preserve">01 July 2026</w:t>
            </w:r>
          </w:p>
        </w:tc>
      </w:tr>
      <w:tr>
        <w:tc>
          <w:tcPr>
            <w:tcW w:type="dxa" w:w="3117"/>
            <w:tcMar>
              <w:top w:type="dxa" w:w="100"/>
              <w:left w:type="dxa" w:w="120"/>
              <w:bottom w:type="dxa" w:w="100"/>
              <w:right w:type="dxa" w:w="120"/>
            </w:tcMar>
            <w:vAlign w:val="center"/>
          </w:tcPr>
          <w:p>
            <w:r>
              <w:rPr>
                <w:rFonts w:ascii="Calibri" w:hAnsi="Calibri" w:cs="Calibri"/>
                <w:b/>
                <w:bCs/>
                <w:sz w:val="22"/>
                <w:szCs w:val="22"/>
              </w:rPr>
              <w:t xml:space="preserve">Team ID</w:t>
            </w:r>
          </w:p>
        </w:tc>
        <w:tc>
          <w:tcPr>
            <w:tcW w:type="dxa" w:w="6233"/>
            <w:tcMar>
              <w:top w:type="dxa" w:w="100"/>
              <w:left w:type="dxa" w:w="120"/>
              <w:bottom w:type="dxa" w:w="100"/>
              <w:right w:type="dxa" w:w="120"/>
            </w:tcMar>
            <w:vAlign w:val="center"/>
          </w:tcPr>
          <w:p>
            <w:r>
              <w:rPr>
                <w:rFonts w:ascii="Calibri" w:hAnsi="Calibri" w:cs="Calibri"/>
                <w:b w:val="false"/>
                <w:bCs w:val="false"/>
                <w:sz w:val="22"/>
                <w:szCs w:val="22"/>
              </w:rPr>
              <w:t xml:space="preserve"/>
            </w:r>
          </w:p>
        </w:tc>
      </w:tr>
      <w:tr>
        <w:tc>
          <w:tcPr>
            <w:tcW w:type="dxa" w:w="3117"/>
            <w:tcMar>
              <w:top w:type="dxa" w:w="100"/>
              <w:left w:type="dxa" w:w="120"/>
              <w:bottom w:type="dxa" w:w="100"/>
              <w:right w:type="dxa" w:w="120"/>
            </w:tcMar>
            <w:vAlign w:val="center"/>
          </w:tcPr>
          <w:p>
            <w:r>
              <w:rPr>
                <w:rFonts w:ascii="Calibri" w:hAnsi="Calibri" w:cs="Calibri"/>
                <w:b/>
                <w:bCs/>
                <w:sz w:val="22"/>
                <w:szCs w:val="22"/>
              </w:rPr>
              <w:t xml:space="preserve">Project Name</w:t>
            </w:r>
          </w:p>
        </w:tc>
        <w:tc>
          <w:tcPr>
            <w:tcW w:type="dxa" w:w="6233"/>
            <w:tcMar>
              <w:top w:type="dxa" w:w="100"/>
              <w:left w:type="dxa" w:w="120"/>
              <w:bottom w:type="dxa" w:w="100"/>
              <w:right w:type="dxa" w:w="120"/>
            </w:tcMar>
            <w:vAlign w:val="center"/>
          </w:tcPr>
          <w:p>
            <w:r>
              <w:rPr>
                <w:rFonts w:ascii="Calibri" w:hAnsi="Calibri" w:cs="Calibri"/>
                <w:b w:val="false"/>
                <w:bCs w:val="false"/>
                <w:sz w:val="22"/>
                <w:szCs w:val="22"/>
              </w:rPr>
              <w:t xml:space="preserve">Customer Registry</w:t>
            </w:r>
          </w:p>
        </w:tc>
      </w:tr>
      <w:tr>
        <w:tc>
          <w:tcPr>
            <w:tcW w:type="dxa" w:w="3117"/>
            <w:tcMar>
              <w:top w:type="dxa" w:w="100"/>
              <w:left w:type="dxa" w:w="120"/>
              <w:bottom w:type="dxa" w:w="100"/>
              <w:right w:type="dxa" w:w="120"/>
            </w:tcMar>
            <w:vAlign w:val="center"/>
          </w:tcPr>
          <w:p>
            <w:r>
              <w:rPr>
                <w:rFonts w:ascii="Calibri" w:hAnsi="Calibri" w:cs="Calibri"/>
                <w:b/>
                <w:bCs/>
                <w:sz w:val="22"/>
                <w:szCs w:val="22"/>
              </w:rPr>
              <w:t xml:space="preserve">Maximum Marks</w:t>
            </w:r>
          </w:p>
        </w:tc>
        <w:tc>
          <w:tcPr>
            <w:tcW w:type="dxa" w:w="6233"/>
            <w:tcMar>
              <w:top w:type="dxa" w:w="100"/>
              <w:left w:type="dxa" w:w="120"/>
              <w:bottom w:type="dxa" w:w="100"/>
              <w:right w:type="dxa" w:w="120"/>
            </w:tcMar>
            <w:vAlign w:val="center"/>
          </w:tcPr>
          <w:p>
            <w:r>
              <w:rPr>
                <w:rFonts w:ascii="Calibri" w:hAnsi="Calibri" w:cs="Calibri"/>
                <w:b w:val="false"/>
                <w:bCs w:val="false"/>
                <w:sz w:val="22"/>
                <w:szCs w:val="22"/>
              </w:rPr>
              <w:t xml:space="preserve">4 Marks</w:t>
            </w:r>
          </w:p>
        </w:tc>
      </w:tr>
    </w:tbl>
    <w:p/>
    <w:p>
      <w:r>
        <w:rPr>
          <w:rFonts w:ascii="Calibri" w:hAnsi="Calibri" w:cs="Calibri"/>
          <w:b/>
          <w:bCs/>
          <w:sz w:val="22"/>
          <w:szCs w:val="22"/>
        </w:rPr>
        <w:t xml:space="preserve">Empathy Map Canvas:</w:t>
      </w:r>
    </w:p>
    <w:p>
      <w:r>
        <w:rPr>
          <w:rFonts w:ascii="Calibri" w:hAnsi="Calibri" w:cs="Calibri"/>
          <w:sz w:val="22"/>
          <w:szCs w:val="22"/>
        </w:rPr>
        <w:t xml:space="preserve">An empathy map is a simple, easy-to-digest visual that captures knowledge about a user's behaviours and attitudes. It is a useful tool that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p>
      <w:pPr>
        <w:pStyle w:val="Heading2"/>
      </w:pPr>
      <w:r>
        <w:rPr>
          <w:rFonts w:ascii="Calibri" w:hAnsi="Calibri" w:cs="Calibri"/>
          <w:b/>
          <w:bCs/>
          <w:sz w:val="22"/>
          <w:szCs w:val="22"/>
        </w:rPr>
        <w:t xml:space="preserve">Empathy Map Canvas: Customer Registry</w:t>
      </w:r>
    </w:p>
    <w:p>
      <w:r>
        <w:rPr>
          <w:rFonts w:ascii="Calibri" w:hAnsi="Calibri" w:cs="Calibri"/>
          <w:i/>
          <w:iCs/>
          <w:sz w:val="22"/>
          <w:szCs w:val="22"/>
        </w:rPr>
        <w:t xml:space="preserve">Persona: Customer raising and tracking a complaint</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74B5" w:color="auto" w:val="clear"/>
            <w:tcMar>
              <w:top w:type="dxa" w:w="100"/>
              <w:left w:type="dxa" w:w="120"/>
              <w:bottom w:type="dxa" w:w="100"/>
              <w:right w:type="dxa" w:w="120"/>
            </w:tcMar>
            <w:vAlign w:val="center"/>
          </w:tcPr>
          <w:p>
            <w:pPr>
              <w:jc w:val="center"/>
            </w:pPr>
            <w:r>
              <w:rPr>
                <w:rFonts w:ascii="Calibri" w:hAnsi="Calibri" w:cs="Calibri"/>
                <w:b/>
                <w:bCs/>
                <w:color w:val="FFFFFF"/>
                <w:sz w:val="22"/>
                <w:szCs w:val="22"/>
              </w:rPr>
              <w:t xml:space="preserve">SAYS</w:t>
            </w:r>
          </w:p>
        </w:tc>
        <w:tc>
          <w:tcPr>
            <w:tcW w:type="dxa" w:w="4675"/>
            <w:shd w:fill="548235" w:color="auto" w:val="clear"/>
            <w:tcMar>
              <w:top w:type="dxa" w:w="100"/>
              <w:left w:type="dxa" w:w="120"/>
              <w:bottom w:type="dxa" w:w="100"/>
              <w:right w:type="dxa" w:w="120"/>
            </w:tcMar>
            <w:vAlign w:val="center"/>
          </w:tcPr>
          <w:p>
            <w:pPr>
              <w:jc w:val="center"/>
            </w:pPr>
            <w:r>
              <w:rPr>
                <w:rFonts w:ascii="Calibri" w:hAnsi="Calibri" w:cs="Calibri"/>
                <w:b/>
                <w:bCs/>
                <w:color w:val="FFFFFF"/>
                <w:sz w:val="22"/>
                <w:szCs w:val="22"/>
              </w:rPr>
              <w:t xml:space="preserve">THINKS</w:t>
            </w:r>
          </w:p>
        </w:tc>
      </w:tr>
      <w:tr>
        <w:tc>
          <w:tcPr>
            <w:tcW w:type="dxa" w:w="4675"/>
            <w:tcMar>
              <w:top w:type="dxa" w:w="100"/>
              <w:left w:type="dxa" w:w="120"/>
              <w:bottom w:type="dxa" w:w="100"/>
              <w:right w:type="dxa" w:w="120"/>
            </w:tcMar>
            <w:vAlign w:val="center"/>
          </w:tcPr>
          <w:p>
            <w:pPr>
              <w:pStyle w:val="ListParagraph"/>
              <w:numPr>
                <w:ilvl w:val="0"/>
                <w:numId w:val="1"/>
              </w:numPr>
            </w:pPr>
            <w:r>
              <w:rPr>
                <w:rFonts w:ascii="Calibri" w:hAnsi="Calibri" w:cs="Calibri"/>
                <w:sz w:val="22"/>
                <w:szCs w:val="22"/>
              </w:rPr>
              <w:t xml:space="preserve">"I want to know the real-time status of my complaint without calling support."</w:t>
            </w:r>
          </w:p>
          <w:p>
            <w:pPr>
              <w:pStyle w:val="ListParagraph"/>
              <w:numPr>
                <w:ilvl w:val="0"/>
                <w:numId w:val="1"/>
              </w:numPr>
            </w:pPr>
            <w:r>
              <w:rPr>
                <w:rFonts w:ascii="Calibri" w:hAnsi="Calibri" w:cs="Calibri"/>
                <w:sz w:val="22"/>
                <w:szCs w:val="22"/>
              </w:rPr>
              <w:t xml:space="preserve">"Why hasn't anyone responded to my complaint yet?"</w:t>
            </w:r>
          </w:p>
          <w:p>
            <w:pPr>
              <w:pStyle w:val="ListParagraph"/>
              <w:numPr>
                <w:ilvl w:val="0"/>
                <w:numId w:val="1"/>
              </w:numPr>
            </w:pPr>
            <w:r>
              <w:rPr>
                <w:rFonts w:ascii="Calibri" w:hAnsi="Calibri" w:cs="Calibri"/>
                <w:sz w:val="22"/>
                <w:szCs w:val="22"/>
              </w:rPr>
              <w:t xml:space="preserve">"The complaint form should be quick and simple to fill."</w:t>
            </w:r>
          </w:p>
          <w:p>
            <w:pPr>
              <w:pStyle w:val="ListParagraph"/>
              <w:numPr>
                <w:ilvl w:val="0"/>
                <w:numId w:val="1"/>
              </w:numPr>
            </w:pPr>
            <w:r>
              <w:rPr>
                <w:rFonts w:ascii="Calibri" w:hAnsi="Calibri" w:cs="Calibri"/>
                <w:sz w:val="22"/>
                <w:szCs w:val="22"/>
              </w:rPr>
              <w:t xml:space="preserve">"I want proof that my complaint was actually received."</w:t>
            </w:r>
          </w:p>
        </w:tc>
        <w:tc>
          <w:tcPr>
            <w:tcW w:type="dxa" w:w="4675"/>
            <w:tcMar>
              <w:top w:type="dxa" w:w="100"/>
              <w:left w:type="dxa" w:w="120"/>
              <w:bottom w:type="dxa" w:w="100"/>
              <w:right w:type="dxa" w:w="120"/>
            </w:tcMar>
            <w:vAlign w:val="center"/>
          </w:tcPr>
          <w:p>
            <w:pPr>
              <w:pStyle w:val="ListParagraph"/>
              <w:numPr>
                <w:ilvl w:val="0"/>
                <w:numId w:val="1"/>
              </w:numPr>
            </w:pPr>
            <w:r>
              <w:rPr>
                <w:rFonts w:ascii="Calibri" w:hAnsi="Calibri" w:cs="Calibri"/>
                <w:sz w:val="22"/>
                <w:szCs w:val="22"/>
              </w:rPr>
              <w:t xml:space="preserve">Worries whether the complaint will genuinely be resolved.</w:t>
            </w:r>
          </w:p>
          <w:p>
            <w:pPr>
              <w:pStyle w:val="ListParagraph"/>
              <w:numPr>
                <w:ilvl w:val="0"/>
                <w:numId w:val="1"/>
              </w:numPr>
            </w:pPr>
            <w:r>
              <w:rPr>
                <w:rFonts w:ascii="Calibri" w:hAnsi="Calibri" w:cs="Calibri"/>
                <w:sz w:val="22"/>
                <w:szCs w:val="22"/>
              </w:rPr>
              <w:t xml:space="preserve">Wonders if the company takes the issue seriously.</w:t>
            </w:r>
          </w:p>
          <w:p>
            <w:pPr>
              <w:pStyle w:val="ListParagraph"/>
              <w:numPr>
                <w:ilvl w:val="0"/>
                <w:numId w:val="1"/>
              </w:numPr>
            </w:pPr>
            <w:r>
              <w:rPr>
                <w:rFonts w:ascii="Calibri" w:hAnsi="Calibri" w:cs="Calibri"/>
                <w:sz w:val="22"/>
                <w:szCs w:val="22"/>
              </w:rPr>
              <w:t xml:space="preserve">Is concerned about how long the resolution will take.</w:t>
            </w:r>
          </w:p>
          <w:p>
            <w:pPr>
              <w:pStyle w:val="ListParagraph"/>
              <w:numPr>
                <w:ilvl w:val="0"/>
                <w:numId w:val="1"/>
              </w:numPr>
            </w:pPr>
            <w:r>
              <w:rPr>
                <w:rFonts w:ascii="Calibri" w:hAnsi="Calibri" w:cs="Calibri"/>
                <w:sz w:val="22"/>
                <w:szCs w:val="22"/>
              </w:rPr>
              <w:t xml:space="preserve">Wants full transparency in how the complaint is handled.</w:t>
            </w:r>
          </w:p>
        </w:tc>
      </w:tr>
      <w:tr>
        <w:tc>
          <w:tcPr>
            <w:tcW w:type="dxa" w:w="4675"/>
            <w:shd w:fill="BF8F00" w:color="auto" w:val="clear"/>
            <w:tcMar>
              <w:top w:type="dxa" w:w="100"/>
              <w:left w:type="dxa" w:w="120"/>
              <w:bottom w:type="dxa" w:w="100"/>
              <w:right w:type="dxa" w:w="120"/>
            </w:tcMar>
            <w:vAlign w:val="center"/>
          </w:tcPr>
          <w:p>
            <w:pPr>
              <w:jc w:val="center"/>
            </w:pPr>
            <w:r>
              <w:rPr>
                <w:rFonts w:ascii="Calibri" w:hAnsi="Calibri" w:cs="Calibri"/>
                <w:b/>
                <w:bCs/>
                <w:color w:val="FFFFFF"/>
                <w:sz w:val="22"/>
                <w:szCs w:val="22"/>
              </w:rPr>
              <w:t xml:space="preserve">DOES</w:t>
            </w:r>
          </w:p>
        </w:tc>
        <w:tc>
          <w:tcPr>
            <w:tcW w:type="dxa" w:w="4675"/>
            <w:shd w:fill="C00000" w:color="auto" w:val="clear"/>
            <w:tcMar>
              <w:top w:type="dxa" w:w="100"/>
              <w:left w:type="dxa" w:w="120"/>
              <w:bottom w:type="dxa" w:w="100"/>
              <w:right w:type="dxa" w:w="120"/>
            </w:tcMar>
            <w:vAlign w:val="center"/>
          </w:tcPr>
          <w:p>
            <w:pPr>
              <w:jc w:val="center"/>
            </w:pPr>
            <w:r>
              <w:rPr>
                <w:rFonts w:ascii="Calibri" w:hAnsi="Calibri" w:cs="Calibri"/>
                <w:b/>
                <w:bCs/>
                <w:color w:val="FFFFFF"/>
                <w:sz w:val="22"/>
                <w:szCs w:val="22"/>
              </w:rPr>
              <w:t xml:space="preserve">FEELS</w:t>
            </w:r>
          </w:p>
        </w:tc>
      </w:tr>
      <w:tr>
        <w:tc>
          <w:tcPr>
            <w:tcW w:type="dxa" w:w="4675"/>
            <w:tcMar>
              <w:top w:type="dxa" w:w="100"/>
              <w:left w:type="dxa" w:w="120"/>
              <w:bottom w:type="dxa" w:w="100"/>
              <w:right w:type="dxa" w:w="120"/>
            </w:tcMar>
            <w:vAlign w:val="center"/>
          </w:tcPr>
          <w:p>
            <w:pPr>
              <w:pStyle w:val="ListParagraph"/>
              <w:numPr>
                <w:ilvl w:val="0"/>
                <w:numId w:val="1"/>
              </w:numPr>
            </w:pPr>
            <w:r>
              <w:rPr>
                <w:rFonts w:ascii="Calibri" w:hAnsi="Calibri" w:cs="Calibri"/>
                <w:sz w:val="22"/>
                <w:szCs w:val="22"/>
              </w:rPr>
              <w:t xml:space="preserve">Registers a complaint online with category and file attachments.</w:t>
            </w:r>
          </w:p>
          <w:p>
            <w:pPr>
              <w:pStyle w:val="ListParagraph"/>
              <w:numPr>
                <w:ilvl w:val="0"/>
                <w:numId w:val="1"/>
              </w:numPr>
            </w:pPr>
            <w:r>
              <w:rPr>
                <w:rFonts w:ascii="Calibri" w:hAnsi="Calibri" w:cs="Calibri"/>
                <w:sz w:val="22"/>
                <w:szCs w:val="22"/>
              </w:rPr>
              <w:t xml:space="preserve">Tracks complaint status and timeline on the dashboard.</w:t>
            </w:r>
          </w:p>
          <w:p>
            <w:pPr>
              <w:pStyle w:val="ListParagraph"/>
              <w:numPr>
                <w:ilvl w:val="0"/>
                <w:numId w:val="1"/>
              </w:numPr>
            </w:pPr>
            <w:r>
              <w:rPr>
                <w:rFonts w:ascii="Calibri" w:hAnsi="Calibri" w:cs="Calibri"/>
                <w:sz w:val="22"/>
                <w:szCs w:val="22"/>
              </w:rPr>
              <w:t xml:space="preserve">Chats in real time with the assigned agent for clarifications.</w:t>
            </w:r>
          </w:p>
          <w:p>
            <w:pPr>
              <w:pStyle w:val="ListParagraph"/>
              <w:numPr>
                <w:ilvl w:val="0"/>
                <w:numId w:val="1"/>
              </w:numPr>
            </w:pPr>
            <w:r>
              <w:rPr>
                <w:rFonts w:ascii="Calibri" w:hAnsi="Calibri" w:cs="Calibri"/>
                <w:sz w:val="22"/>
                <w:szCs w:val="22"/>
              </w:rPr>
              <w:t xml:space="preserve">Rates the service and gives feedback after resolution.</w:t>
            </w:r>
          </w:p>
        </w:tc>
        <w:tc>
          <w:tcPr>
            <w:tcW w:type="dxa" w:w="4675"/>
            <w:tcMar>
              <w:top w:type="dxa" w:w="100"/>
              <w:left w:type="dxa" w:w="120"/>
              <w:bottom w:type="dxa" w:w="100"/>
              <w:right w:type="dxa" w:w="120"/>
            </w:tcMar>
            <w:vAlign w:val="center"/>
          </w:tcPr>
          <w:p>
            <w:pPr>
              <w:pStyle w:val="ListParagraph"/>
              <w:numPr>
                <w:ilvl w:val="0"/>
                <w:numId w:val="1"/>
              </w:numPr>
            </w:pPr>
            <w:r>
              <w:rPr>
                <w:rFonts w:ascii="Calibri" w:hAnsi="Calibri" w:cs="Calibri"/>
                <w:sz w:val="22"/>
                <w:szCs w:val="22"/>
              </w:rPr>
              <w:t xml:space="preserve">Frustrated when issues remain unresolved for long periods.</w:t>
            </w:r>
          </w:p>
          <w:p>
            <w:pPr>
              <w:pStyle w:val="ListParagraph"/>
              <w:numPr>
                <w:ilvl w:val="0"/>
                <w:numId w:val="1"/>
              </w:numPr>
            </w:pPr>
            <w:r>
              <w:rPr>
                <w:rFonts w:ascii="Calibri" w:hAnsi="Calibri" w:cs="Calibri"/>
                <w:sz w:val="22"/>
                <w:szCs w:val="22"/>
              </w:rPr>
              <w:t xml:space="preserve">Anxious due to lack of updates or communication.</w:t>
            </w:r>
          </w:p>
          <w:p>
            <w:pPr>
              <w:pStyle w:val="ListParagraph"/>
              <w:numPr>
                <w:ilvl w:val="0"/>
                <w:numId w:val="1"/>
              </w:numPr>
            </w:pPr>
            <w:r>
              <w:rPr>
                <w:rFonts w:ascii="Calibri" w:hAnsi="Calibri" w:cs="Calibri"/>
                <w:sz w:val="22"/>
                <w:szCs w:val="22"/>
              </w:rPr>
              <w:t xml:space="preserve">Relieved once the complaint is acknowledged and assigned.</w:t>
            </w:r>
          </w:p>
          <w:p>
            <w:pPr>
              <w:pStyle w:val="ListParagraph"/>
              <w:numPr>
                <w:ilvl w:val="0"/>
                <w:numId w:val="1"/>
              </w:numPr>
            </w:pPr>
            <w:r>
              <w:rPr>
                <w:rFonts w:ascii="Calibri" w:hAnsi="Calibri" w:cs="Calibri"/>
                <w:sz w:val="22"/>
                <w:szCs w:val="22"/>
              </w:rPr>
              <w:t xml:space="preserve">Satisfied and valued when the complaint is resolved quickly.</w:t>
            </w:r>
          </w:p>
        </w:tc>
      </w:tr>
    </w:tbl>
    <w:p/>
    <w:p>
      <w:pPr>
        <w:pStyle w:val="Heading2"/>
      </w:pPr>
      <w:r>
        <w:rPr>
          <w:rFonts w:ascii="Calibri" w:hAnsi="Calibri" w:cs="Calibri"/>
          <w:b/>
          <w:bCs/>
          <w:sz w:val="22"/>
          <w:szCs w:val="22"/>
        </w:rPr>
        <w:t xml:space="preserve">Key Insights Derived</w:t>
      </w:r>
    </w:p>
    <w:p>
      <w:pPr>
        <w:pStyle w:val="ListParagraph"/>
        <w:numPr>
          <w:ilvl w:val="0"/>
          <w:numId w:val="1"/>
        </w:numPr>
      </w:pPr>
      <w:r>
        <w:rPr>
          <w:rFonts w:ascii="Calibri" w:hAnsi="Calibri" w:cs="Calibri"/>
          <w:sz w:val="22"/>
          <w:szCs w:val="22"/>
        </w:rPr>
        <w:t xml:space="preserve">Customers primarily need visibility and timely communication throughout the complaint lifecycle, which justifies the Complaint Tracking and Notification modules.</w:t>
      </w:r>
    </w:p>
    <w:p>
      <w:pPr>
        <w:pStyle w:val="ListParagraph"/>
        <w:numPr>
          <w:ilvl w:val="0"/>
          <w:numId w:val="1"/>
        </w:numPr>
      </w:pPr>
      <w:r>
        <w:rPr>
          <w:rFonts w:ascii="Calibri" w:hAnsi="Calibri" w:cs="Calibri"/>
          <w:sz w:val="22"/>
          <w:szCs w:val="22"/>
        </w:rPr>
        <w:t xml:space="preserve">Anxiety over unresolved complaints highlights the need for real-time chat with the assigned agent.</w:t>
      </w:r>
    </w:p>
    <w:p>
      <w:pPr>
        <w:pStyle w:val="ListParagraph"/>
        <w:numPr>
          <w:ilvl w:val="0"/>
          <w:numId w:val="1"/>
        </w:numPr>
      </w:pPr>
      <w:r>
        <w:rPr>
          <w:rFonts w:ascii="Calibri" w:hAnsi="Calibri" w:cs="Calibri"/>
          <w:sz w:val="22"/>
          <w:szCs w:val="22"/>
        </w:rPr>
        <w:t xml:space="preserve">Trust is built through transparency, which drives the Complaint Timeline and Feedback &amp; Rating features.</w:t>
      </w:r>
    </w:p>
    <w:p>
      <w:pPr>
        <w:pStyle w:val="ListParagraph"/>
        <w:numPr>
          <w:ilvl w:val="0"/>
          <w:numId w:val="1"/>
        </w:numPr>
      </w:pPr>
      <w:r>
        <w:rPr>
          <w:rFonts w:ascii="Calibri" w:hAnsi="Calibri" w:cs="Calibri"/>
          <w:sz w:val="22"/>
          <w:szCs w:val="22"/>
        </w:rPr>
        <w:t xml:space="preserve">A simple, fast complaint-raising process reduces drop-off, supporting a clean and responsive UI/UX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2026-07-06T08:25:50.381Z</dcterms:created>
  <dcterms:modified xsi:type="dcterms:W3CDTF">2026-07-06T08:25:50.382Z</dcterms:modified>
</cp:coreProperties>
</file>

<file path=docProps/custom.xml><?xml version="1.0" encoding="utf-8"?>
<Properties xmlns="http://schemas.openxmlformats.org/officeDocument/2006/custom-properties" xmlns:vt="http://schemas.openxmlformats.org/officeDocument/2006/docPropsVTypes"/>
</file>