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9CA8C" w14:textId="77777777" w:rsidR="008B6FC5" w:rsidRDefault="004409C8">
      <w:pPr>
        <w:keepLines/>
        <w:spacing w:before="80" w:after="120" w:line="240" w:lineRule="auto"/>
        <w:ind w:left="-20" w:right="-1085"/>
        <w:jc w:val="center"/>
        <w:rPr>
          <w:b/>
          <w:bCs/>
          <w:color w:val="525252"/>
          <w:sz w:val="32"/>
          <w:szCs w:val="32"/>
        </w:rPr>
      </w:pPr>
      <w:r>
        <w:rPr>
          <w:b/>
          <w:bCs/>
          <w:noProof/>
          <w:color w:val="525252"/>
          <w:sz w:val="32"/>
          <w:szCs w:val="32"/>
        </w:rPr>
        <w:drawing>
          <wp:inline distT="0" distB="0" distL="114300" distR="114300" wp14:anchorId="550AECFA" wp14:editId="1F3212BB">
            <wp:extent cx="4124325" cy="170695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124325" cy="1706957"/>
                    </a:xfrm>
                    <a:prstGeom prst="rect">
                      <a:avLst/>
                    </a:prstGeom>
                    <a:ln/>
                  </pic:spPr>
                </pic:pic>
              </a:graphicData>
            </a:graphic>
          </wp:inline>
        </w:drawing>
      </w:r>
    </w:p>
    <w:p w14:paraId="68EC302D" w14:textId="77777777" w:rsidR="008B6FC5" w:rsidRDefault="008B6FC5">
      <w:pPr>
        <w:spacing w:after="0" w:line="240" w:lineRule="auto"/>
        <w:ind w:left="-20" w:right="-1085"/>
        <w:rPr>
          <w:b/>
          <w:bCs/>
          <w:color w:val="525252"/>
          <w:sz w:val="32"/>
          <w:szCs w:val="32"/>
        </w:rPr>
      </w:pPr>
    </w:p>
    <w:p w14:paraId="48012DF3" w14:textId="77777777" w:rsidR="008B6FC5" w:rsidRDefault="004409C8">
      <w:pPr>
        <w:keepNext/>
        <w:spacing w:before="40" w:after="80" w:line="360" w:lineRule="auto"/>
        <w:jc w:val="center"/>
        <w:rPr>
          <w:rFonts w:ascii="Arial" w:eastAsia="Arial" w:hAnsi="Arial" w:cs="Arial"/>
          <w:sz w:val="48"/>
          <w:szCs w:val="48"/>
        </w:rPr>
      </w:pPr>
      <w:r>
        <w:rPr>
          <w:rFonts w:ascii="Arial" w:eastAsia="Arial" w:hAnsi="Arial" w:cs="Arial"/>
          <w:b/>
          <w:bCs/>
          <w:sz w:val="36"/>
          <w:szCs w:val="36"/>
        </w:rPr>
        <w:t>AUTOMATAS Y COMPILADORES</w:t>
      </w:r>
    </w:p>
    <w:p w14:paraId="704CA9ED" w14:textId="77777777" w:rsidR="008B6FC5" w:rsidRDefault="004409C8">
      <w:pPr>
        <w:keepNext/>
        <w:spacing w:before="40" w:after="80" w:line="360" w:lineRule="auto"/>
        <w:jc w:val="center"/>
        <w:rPr>
          <w:rFonts w:ascii="Arial" w:eastAsia="Arial" w:hAnsi="Arial" w:cs="Arial"/>
          <w:sz w:val="44"/>
          <w:szCs w:val="44"/>
        </w:rPr>
      </w:pPr>
      <w:r>
        <w:rPr>
          <w:rFonts w:ascii="Arial" w:eastAsia="Arial" w:hAnsi="Arial" w:cs="Arial"/>
          <w:b/>
          <w:bCs/>
          <w:sz w:val="28"/>
          <w:szCs w:val="28"/>
        </w:rPr>
        <w:t>AYC941</w:t>
      </w:r>
    </w:p>
    <w:p w14:paraId="481FE375" w14:textId="77777777" w:rsidR="008B6FC5" w:rsidRDefault="004409C8">
      <w:pPr>
        <w:keepNext/>
        <w:spacing w:before="40" w:after="80" w:line="360" w:lineRule="auto"/>
        <w:jc w:val="center"/>
        <w:rPr>
          <w:rFonts w:ascii="Arial" w:eastAsia="Arial" w:hAnsi="Arial" w:cs="Arial"/>
          <w:sz w:val="24"/>
          <w:szCs w:val="24"/>
        </w:rPr>
      </w:pPr>
      <w:r>
        <w:rPr>
          <w:rFonts w:ascii="Arial" w:eastAsia="Arial" w:hAnsi="Arial" w:cs="Arial"/>
          <w:b/>
          <w:bCs/>
          <w:sz w:val="28"/>
          <w:szCs w:val="28"/>
        </w:rPr>
        <w:t xml:space="preserve">G01T II-2026  </w:t>
      </w:r>
    </w:p>
    <w:p w14:paraId="0A65CACF" w14:textId="77777777" w:rsidR="008B6FC5" w:rsidRDefault="004409C8">
      <w:pPr>
        <w:pStyle w:val="Ttulo1"/>
        <w:keepLines w:val="0"/>
        <w:spacing w:before="40" w:after="240" w:line="360" w:lineRule="auto"/>
        <w:ind w:left="-20" w:right="-20"/>
        <w:jc w:val="center"/>
        <w:rPr>
          <w:rFonts w:ascii="Arial" w:eastAsia="Arial" w:hAnsi="Arial" w:cs="Arial"/>
          <w:b/>
          <w:bCs/>
          <w:color w:val="000000"/>
          <w:sz w:val="44"/>
          <w:szCs w:val="44"/>
        </w:rPr>
      </w:pPr>
      <w:r>
        <w:t>INFORME DE INVESTIGACIÓN</w:t>
      </w:r>
    </w:p>
    <w:p w14:paraId="7E222FBA" w14:textId="77777777" w:rsidR="008B6FC5" w:rsidRDefault="004409C8">
      <w:pPr>
        <w:spacing w:after="0" w:line="360" w:lineRule="auto"/>
        <w:ind w:left="-20" w:right="-20"/>
        <w:rPr>
          <w:rFonts w:ascii="Arial" w:eastAsia="Arial" w:hAnsi="Arial" w:cs="Arial"/>
          <w:sz w:val="24"/>
          <w:szCs w:val="24"/>
        </w:rPr>
      </w:pPr>
      <w:r>
        <w:rPr>
          <w:rFonts w:ascii="Arial" w:eastAsia="Arial" w:hAnsi="Arial" w:cs="Arial"/>
          <w:sz w:val="21"/>
          <w:szCs w:val="21"/>
        </w:rPr>
        <w:t xml:space="preserve"> </w:t>
      </w:r>
    </w:p>
    <w:p w14:paraId="008DEC2F" w14:textId="77777777" w:rsidR="008B6FC5" w:rsidRDefault="004409C8">
      <w:pPr>
        <w:spacing w:before="160" w:after="280" w:line="360" w:lineRule="auto"/>
        <w:ind w:left="-20" w:right="-20"/>
        <w:jc w:val="center"/>
        <w:rPr>
          <w:rFonts w:ascii="Arial" w:eastAsia="Arial" w:hAnsi="Arial" w:cs="Arial"/>
          <w:sz w:val="21"/>
          <w:szCs w:val="21"/>
        </w:rPr>
      </w:pPr>
      <w:r>
        <w:rPr>
          <w:rFonts w:ascii="Arial" w:eastAsia="Arial" w:hAnsi="Arial" w:cs="Arial"/>
          <w:b/>
          <w:bCs/>
          <w:sz w:val="23"/>
          <w:szCs w:val="23"/>
        </w:rPr>
        <w:t>Docente: Ing. Emerson Francisco Cartagena Candelario</w:t>
      </w:r>
    </w:p>
    <w:tbl>
      <w:tblPr>
        <w:tblStyle w:val="a"/>
        <w:tblW w:w="9015" w:type="dxa"/>
        <w:tblInd w:w="0" w:type="dxa"/>
        <w:tblLayout w:type="fixed"/>
        <w:tblLook w:val="0400" w:firstRow="0" w:lastRow="0" w:firstColumn="0" w:lastColumn="0" w:noHBand="0" w:noVBand="1"/>
      </w:tblPr>
      <w:tblGrid>
        <w:gridCol w:w="3186"/>
        <w:gridCol w:w="5829"/>
      </w:tblGrid>
      <w:tr w:rsidR="008B6FC5" w14:paraId="6BDA8CFA" w14:textId="77777777">
        <w:trPr>
          <w:trHeight w:val="300"/>
        </w:trPr>
        <w:tc>
          <w:tcPr>
            <w:tcW w:w="3186" w:type="dxa"/>
            <w:tcBorders>
              <w:top w:val="nil"/>
              <w:left w:val="nil"/>
              <w:bottom w:val="nil"/>
              <w:right w:val="nil"/>
            </w:tcBorders>
            <w:tcMar>
              <w:left w:w="108" w:type="dxa"/>
              <w:right w:w="108" w:type="dxa"/>
            </w:tcMar>
          </w:tcPr>
          <w:p w14:paraId="5FAA730E" w14:textId="77777777" w:rsidR="008B6FC5" w:rsidRDefault="004409C8">
            <w:pPr>
              <w:spacing w:after="80" w:line="360" w:lineRule="auto"/>
              <w:ind w:left="-20" w:right="-20"/>
              <w:rPr>
                <w:rFonts w:ascii="Arial" w:eastAsia="Arial" w:hAnsi="Arial" w:cs="Arial"/>
                <w:sz w:val="24"/>
                <w:szCs w:val="24"/>
              </w:rPr>
            </w:pPr>
            <w:r>
              <w:rPr>
                <w:rFonts w:ascii="Arial" w:eastAsia="Arial" w:hAnsi="Arial" w:cs="Arial"/>
                <w:b/>
                <w:bCs/>
                <w:sz w:val="24"/>
                <w:szCs w:val="24"/>
              </w:rPr>
              <w:t xml:space="preserve"> </w:t>
            </w:r>
          </w:p>
        </w:tc>
        <w:tc>
          <w:tcPr>
            <w:tcW w:w="5829" w:type="dxa"/>
            <w:tcBorders>
              <w:top w:val="nil"/>
              <w:left w:val="nil"/>
              <w:bottom w:val="nil"/>
              <w:right w:val="nil"/>
            </w:tcBorders>
            <w:tcMar>
              <w:left w:w="108" w:type="dxa"/>
              <w:right w:w="108" w:type="dxa"/>
            </w:tcMar>
            <w:vAlign w:val="center"/>
          </w:tcPr>
          <w:p w14:paraId="290CD1D4" w14:textId="77777777" w:rsidR="008B6FC5" w:rsidRDefault="004409C8">
            <w:pPr>
              <w:spacing w:after="80" w:line="360" w:lineRule="auto"/>
              <w:ind w:left="-20" w:right="-20"/>
              <w:jc w:val="right"/>
              <w:rPr>
                <w:rFonts w:ascii="Arial" w:eastAsia="Arial" w:hAnsi="Arial" w:cs="Arial"/>
                <w:sz w:val="24"/>
                <w:szCs w:val="24"/>
              </w:rPr>
            </w:pPr>
            <w:r>
              <w:rPr>
                <w:rFonts w:ascii="Arial" w:eastAsia="Arial" w:hAnsi="Arial" w:cs="Arial"/>
                <w:b/>
                <w:bCs/>
                <w:sz w:val="24"/>
                <w:szCs w:val="24"/>
              </w:rPr>
              <w:t xml:space="preserve"> </w:t>
            </w:r>
          </w:p>
        </w:tc>
      </w:tr>
    </w:tbl>
    <w:p w14:paraId="3A5F404B" w14:textId="77777777" w:rsidR="008B6FC5" w:rsidRDefault="004409C8">
      <w:pPr>
        <w:keepNext/>
        <w:spacing w:before="60" w:after="100" w:line="360" w:lineRule="auto"/>
        <w:ind w:left="-20" w:right="-20"/>
        <w:jc w:val="center"/>
        <w:rPr>
          <w:rFonts w:ascii="Arial" w:eastAsia="Arial" w:hAnsi="Arial" w:cs="Arial"/>
          <w:color w:val="EE0000"/>
          <w:sz w:val="32"/>
          <w:szCs w:val="32"/>
        </w:rPr>
      </w:pPr>
      <w:r>
        <w:rPr>
          <w:rFonts w:ascii="Arial" w:eastAsia="Arial" w:hAnsi="Arial" w:cs="Arial"/>
          <w:b/>
          <w:bCs/>
          <w:sz w:val="23"/>
          <w:szCs w:val="23"/>
        </w:rPr>
        <w:t>Integrantes del equipo:</w:t>
      </w:r>
    </w:p>
    <w:tbl>
      <w:tblPr>
        <w:tblStyle w:val="a0"/>
        <w:tblW w:w="9015" w:type="dxa"/>
        <w:jc w:val="center"/>
        <w:tblInd w:w="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00" w:firstRow="0" w:lastRow="0" w:firstColumn="0" w:lastColumn="0" w:noHBand="0" w:noVBand="1"/>
      </w:tblPr>
      <w:tblGrid>
        <w:gridCol w:w="3613"/>
        <w:gridCol w:w="3690"/>
        <w:gridCol w:w="1712"/>
      </w:tblGrid>
      <w:tr w:rsidR="008B6FC5" w14:paraId="20887E8D" w14:textId="77777777">
        <w:trPr>
          <w:trHeight w:val="300"/>
          <w:tblHeader/>
          <w:jc w:val="center"/>
        </w:trPr>
        <w:tc>
          <w:tcPr>
            <w:tcW w:w="3613" w:type="dxa"/>
            <w:tcBorders>
              <w:top w:val="single" w:sz="8" w:space="0" w:color="4472C4"/>
              <w:left w:val="single" w:sz="8" w:space="0" w:color="4472C4"/>
              <w:bottom w:val="single" w:sz="8" w:space="0" w:color="4472C4"/>
              <w:right w:val="single" w:sz="8" w:space="0" w:color="4472C4"/>
            </w:tcBorders>
            <w:shd w:val="clear" w:color="auto" w:fill="E7E7E7"/>
            <w:tcMar>
              <w:top w:w="80" w:type="dxa"/>
              <w:left w:w="108" w:type="dxa"/>
              <w:bottom w:w="80" w:type="dxa"/>
              <w:right w:w="108" w:type="dxa"/>
            </w:tcMar>
            <w:vAlign w:val="center"/>
          </w:tcPr>
          <w:p w14:paraId="73323F41" w14:textId="77777777" w:rsidR="008B6FC5" w:rsidRDefault="004409C8">
            <w:pPr>
              <w:keepLines/>
              <w:spacing w:after="0" w:line="360" w:lineRule="auto"/>
              <w:ind w:left="-20" w:right="-20"/>
              <w:jc w:val="center"/>
              <w:rPr>
                <w:rFonts w:ascii="Arial" w:eastAsia="Arial" w:hAnsi="Arial" w:cs="Arial"/>
                <w:sz w:val="24"/>
                <w:szCs w:val="24"/>
              </w:rPr>
            </w:pPr>
            <w:r>
              <w:rPr>
                <w:rFonts w:ascii="Arial" w:eastAsia="Arial" w:hAnsi="Arial" w:cs="Arial"/>
                <w:b/>
                <w:bCs/>
                <w:sz w:val="19"/>
                <w:szCs w:val="19"/>
              </w:rPr>
              <w:t>NOMBRES</w:t>
            </w:r>
          </w:p>
        </w:tc>
        <w:tc>
          <w:tcPr>
            <w:tcW w:w="3690" w:type="dxa"/>
            <w:tcBorders>
              <w:top w:val="single" w:sz="8" w:space="0" w:color="4472C4"/>
              <w:left w:val="single" w:sz="8" w:space="0" w:color="4472C4"/>
              <w:bottom w:val="single" w:sz="8" w:space="0" w:color="4472C4"/>
              <w:right w:val="single" w:sz="8" w:space="0" w:color="4472C4"/>
            </w:tcBorders>
            <w:shd w:val="clear" w:color="auto" w:fill="E7E7E7"/>
            <w:tcMar>
              <w:top w:w="80" w:type="dxa"/>
              <w:left w:w="108" w:type="dxa"/>
              <w:bottom w:w="80" w:type="dxa"/>
              <w:right w:w="108" w:type="dxa"/>
            </w:tcMar>
            <w:vAlign w:val="center"/>
          </w:tcPr>
          <w:p w14:paraId="69B1A1CA" w14:textId="77777777" w:rsidR="008B6FC5" w:rsidRDefault="004409C8">
            <w:pPr>
              <w:keepLines/>
              <w:spacing w:after="0" w:line="360" w:lineRule="auto"/>
              <w:ind w:left="-20" w:right="-20"/>
              <w:jc w:val="center"/>
              <w:rPr>
                <w:rFonts w:ascii="Arial" w:eastAsia="Arial" w:hAnsi="Arial" w:cs="Arial"/>
                <w:sz w:val="24"/>
                <w:szCs w:val="24"/>
              </w:rPr>
            </w:pPr>
            <w:r>
              <w:rPr>
                <w:rFonts w:ascii="Arial" w:eastAsia="Arial" w:hAnsi="Arial" w:cs="Arial"/>
                <w:b/>
                <w:bCs/>
                <w:sz w:val="19"/>
                <w:szCs w:val="19"/>
              </w:rPr>
              <w:t>APELLIDOS</w:t>
            </w:r>
          </w:p>
        </w:tc>
        <w:tc>
          <w:tcPr>
            <w:tcW w:w="1712" w:type="dxa"/>
            <w:tcBorders>
              <w:top w:val="single" w:sz="8" w:space="0" w:color="4472C4"/>
              <w:left w:val="single" w:sz="8" w:space="0" w:color="4472C4"/>
              <w:bottom w:val="single" w:sz="8" w:space="0" w:color="4472C4"/>
              <w:right w:val="single" w:sz="8" w:space="0" w:color="4472C4"/>
            </w:tcBorders>
            <w:shd w:val="clear" w:color="auto" w:fill="E7E7E7"/>
            <w:tcMar>
              <w:top w:w="80" w:type="dxa"/>
              <w:left w:w="108" w:type="dxa"/>
              <w:bottom w:w="80" w:type="dxa"/>
              <w:right w:w="108" w:type="dxa"/>
            </w:tcMar>
            <w:vAlign w:val="center"/>
          </w:tcPr>
          <w:p w14:paraId="5E98A1EA" w14:textId="77777777" w:rsidR="008B6FC5" w:rsidRDefault="004409C8">
            <w:pPr>
              <w:keepLines/>
              <w:spacing w:after="0" w:line="360" w:lineRule="auto"/>
              <w:ind w:left="-20" w:right="-20"/>
              <w:jc w:val="center"/>
              <w:rPr>
                <w:rFonts w:ascii="Arial" w:eastAsia="Arial" w:hAnsi="Arial" w:cs="Arial"/>
                <w:sz w:val="24"/>
                <w:szCs w:val="24"/>
              </w:rPr>
            </w:pPr>
            <w:r>
              <w:rPr>
                <w:rFonts w:ascii="Arial" w:eastAsia="Arial" w:hAnsi="Arial" w:cs="Arial"/>
                <w:b/>
                <w:bCs/>
                <w:sz w:val="19"/>
                <w:szCs w:val="19"/>
              </w:rPr>
              <w:t>Carné</w:t>
            </w:r>
          </w:p>
        </w:tc>
      </w:tr>
      <w:tr w:rsidR="008B6FC5" w14:paraId="29784EAA" w14:textId="77777777">
        <w:trPr>
          <w:trHeight w:val="300"/>
          <w:jc w:val="center"/>
        </w:trPr>
        <w:tc>
          <w:tcPr>
            <w:tcW w:w="3613" w:type="dxa"/>
            <w:tcBorders>
              <w:top w:val="single" w:sz="8" w:space="0" w:color="4472C4"/>
              <w:left w:val="single" w:sz="8" w:space="0" w:color="4472C4"/>
              <w:bottom w:val="single" w:sz="8" w:space="0" w:color="4472C4"/>
              <w:right w:val="single" w:sz="8" w:space="0" w:color="4472C4"/>
            </w:tcBorders>
            <w:shd w:val="clear" w:color="auto" w:fill="FFFFFF"/>
            <w:tcMar>
              <w:top w:w="80" w:type="dxa"/>
              <w:left w:w="108" w:type="dxa"/>
              <w:bottom w:w="80" w:type="dxa"/>
              <w:right w:w="108" w:type="dxa"/>
            </w:tcMar>
            <w:vAlign w:val="center"/>
          </w:tcPr>
          <w:p w14:paraId="2F6BBA52" w14:textId="77777777" w:rsidR="008B6FC5" w:rsidRDefault="004409C8">
            <w:pPr>
              <w:keepLines/>
              <w:spacing w:after="0" w:line="360" w:lineRule="auto"/>
              <w:jc w:val="center"/>
              <w:rPr>
                <w:rFonts w:ascii="Arial" w:eastAsia="Arial" w:hAnsi="Arial" w:cs="Arial"/>
                <w:sz w:val="32"/>
                <w:szCs w:val="32"/>
              </w:rPr>
            </w:pPr>
            <w:r>
              <w:rPr>
                <w:rFonts w:ascii="Arial" w:eastAsia="Arial" w:hAnsi="Arial" w:cs="Arial"/>
                <w:sz w:val="19"/>
                <w:szCs w:val="19"/>
              </w:rPr>
              <w:t>JONATHAN GUILLERMO</w:t>
            </w:r>
          </w:p>
        </w:tc>
        <w:tc>
          <w:tcPr>
            <w:tcW w:w="3690" w:type="dxa"/>
            <w:tcBorders>
              <w:top w:val="single" w:sz="8" w:space="0" w:color="4472C4"/>
              <w:left w:val="single" w:sz="8" w:space="0" w:color="4472C4"/>
              <w:bottom w:val="single" w:sz="8" w:space="0" w:color="4472C4"/>
              <w:right w:val="single" w:sz="8" w:space="0" w:color="4472C4"/>
            </w:tcBorders>
            <w:shd w:val="clear" w:color="auto" w:fill="FFFFFF"/>
            <w:tcMar>
              <w:top w:w="80" w:type="dxa"/>
              <w:left w:w="108" w:type="dxa"/>
              <w:bottom w:w="80" w:type="dxa"/>
              <w:right w:w="108" w:type="dxa"/>
            </w:tcMar>
            <w:vAlign w:val="center"/>
          </w:tcPr>
          <w:p w14:paraId="52D7A01F" w14:textId="77777777" w:rsidR="008B6FC5" w:rsidRDefault="004409C8">
            <w:pPr>
              <w:keepLines/>
              <w:spacing w:after="0" w:line="360" w:lineRule="auto"/>
              <w:jc w:val="center"/>
              <w:rPr>
                <w:rFonts w:ascii="Arial" w:eastAsia="Arial" w:hAnsi="Arial" w:cs="Arial"/>
                <w:sz w:val="32"/>
                <w:szCs w:val="32"/>
              </w:rPr>
            </w:pPr>
            <w:r>
              <w:rPr>
                <w:rFonts w:ascii="Arial" w:eastAsia="Arial" w:hAnsi="Arial" w:cs="Arial"/>
                <w:sz w:val="19"/>
                <w:szCs w:val="19"/>
              </w:rPr>
              <w:t>HENRIQUEZ BUCARO</w:t>
            </w:r>
          </w:p>
        </w:tc>
        <w:tc>
          <w:tcPr>
            <w:tcW w:w="1712" w:type="dxa"/>
            <w:tcBorders>
              <w:top w:val="single" w:sz="8" w:space="0" w:color="4472C4"/>
              <w:left w:val="single" w:sz="8" w:space="0" w:color="4472C4"/>
              <w:bottom w:val="single" w:sz="8" w:space="0" w:color="4472C4"/>
              <w:right w:val="single" w:sz="8" w:space="0" w:color="4472C4"/>
            </w:tcBorders>
            <w:shd w:val="clear" w:color="auto" w:fill="FFFFFF"/>
            <w:tcMar>
              <w:top w:w="80" w:type="dxa"/>
              <w:left w:w="108" w:type="dxa"/>
              <w:bottom w:w="80" w:type="dxa"/>
              <w:right w:w="108" w:type="dxa"/>
            </w:tcMar>
            <w:vAlign w:val="center"/>
          </w:tcPr>
          <w:p w14:paraId="3526B847" w14:textId="77777777" w:rsidR="008B6FC5" w:rsidRDefault="004409C8">
            <w:pPr>
              <w:keepLines/>
              <w:spacing w:after="0" w:line="360" w:lineRule="auto"/>
              <w:jc w:val="center"/>
              <w:rPr>
                <w:rFonts w:ascii="Arial" w:eastAsia="Arial" w:hAnsi="Arial" w:cs="Arial"/>
                <w:sz w:val="32"/>
                <w:szCs w:val="32"/>
              </w:rPr>
            </w:pPr>
            <w:r>
              <w:rPr>
                <w:rFonts w:ascii="Arial" w:eastAsia="Arial" w:hAnsi="Arial" w:cs="Arial"/>
                <w:sz w:val="19"/>
                <w:szCs w:val="19"/>
              </w:rPr>
              <w:t>HB180597</w:t>
            </w:r>
          </w:p>
        </w:tc>
      </w:tr>
    </w:tbl>
    <w:p w14:paraId="076EA58E" w14:textId="77777777" w:rsidR="008B6FC5" w:rsidRDefault="008B6FC5">
      <w:pPr>
        <w:spacing w:after="0" w:line="360" w:lineRule="auto"/>
        <w:rPr>
          <w:rFonts w:ascii="Arial" w:eastAsia="Arial" w:hAnsi="Arial" w:cs="Arial"/>
          <w:sz w:val="24"/>
          <w:szCs w:val="24"/>
        </w:rPr>
      </w:pPr>
    </w:p>
    <w:p w14:paraId="3AD1EB3D" w14:textId="77777777" w:rsidR="008B6FC5" w:rsidRDefault="008B6FC5">
      <w:pPr>
        <w:spacing w:after="0" w:line="360" w:lineRule="auto"/>
        <w:ind w:left="66" w:right="-20"/>
        <w:jc w:val="center"/>
        <w:rPr>
          <w:rFonts w:ascii="Arial" w:eastAsia="Arial" w:hAnsi="Arial" w:cs="Arial"/>
          <w:b/>
          <w:bCs/>
          <w:sz w:val="21"/>
          <w:szCs w:val="21"/>
        </w:rPr>
      </w:pPr>
    </w:p>
    <w:p w14:paraId="223A54E9" w14:textId="77777777" w:rsidR="008B6FC5" w:rsidRDefault="008B6FC5">
      <w:pPr>
        <w:spacing w:after="0" w:line="360" w:lineRule="auto"/>
        <w:ind w:left="66" w:right="-20"/>
        <w:jc w:val="center"/>
        <w:rPr>
          <w:rFonts w:ascii="Arial" w:eastAsia="Arial" w:hAnsi="Arial" w:cs="Arial"/>
          <w:b/>
          <w:bCs/>
          <w:sz w:val="21"/>
          <w:szCs w:val="21"/>
        </w:rPr>
      </w:pPr>
    </w:p>
    <w:p w14:paraId="32D828A4" w14:textId="77777777" w:rsidR="008B6FC5" w:rsidRDefault="008B6FC5">
      <w:pPr>
        <w:spacing w:after="0" w:line="360" w:lineRule="auto"/>
        <w:ind w:left="66" w:right="-20"/>
        <w:jc w:val="center"/>
        <w:rPr>
          <w:rFonts w:ascii="Arial" w:eastAsia="Arial" w:hAnsi="Arial" w:cs="Arial"/>
          <w:b/>
          <w:bCs/>
          <w:sz w:val="21"/>
          <w:szCs w:val="21"/>
        </w:rPr>
      </w:pPr>
    </w:p>
    <w:p w14:paraId="299BE5AF" w14:textId="77777777" w:rsidR="008B6FC5" w:rsidRDefault="008B6FC5">
      <w:pPr>
        <w:spacing w:after="0" w:line="360" w:lineRule="auto"/>
        <w:ind w:left="66" w:right="-20"/>
        <w:jc w:val="center"/>
        <w:rPr>
          <w:rFonts w:ascii="Arial" w:eastAsia="Arial" w:hAnsi="Arial" w:cs="Arial"/>
          <w:b/>
          <w:bCs/>
          <w:sz w:val="21"/>
          <w:szCs w:val="21"/>
        </w:rPr>
      </w:pPr>
    </w:p>
    <w:p w14:paraId="5CC736B3" w14:textId="77777777" w:rsidR="008B6FC5" w:rsidRDefault="008B6FC5">
      <w:pPr>
        <w:spacing w:after="0" w:line="360" w:lineRule="auto"/>
        <w:ind w:left="66" w:right="-20"/>
        <w:jc w:val="center"/>
        <w:rPr>
          <w:rFonts w:ascii="Arial" w:eastAsia="Arial" w:hAnsi="Arial" w:cs="Arial"/>
          <w:b/>
          <w:bCs/>
          <w:sz w:val="21"/>
          <w:szCs w:val="21"/>
        </w:rPr>
      </w:pPr>
    </w:p>
    <w:p w14:paraId="618A5FD8" w14:textId="77777777" w:rsidR="008B6FC5" w:rsidRDefault="004409C8">
      <w:pPr>
        <w:spacing w:before="240" w:after="0" w:line="360" w:lineRule="auto"/>
        <w:ind w:left="66" w:right="-20"/>
        <w:jc w:val="center"/>
        <w:rPr>
          <w:rFonts w:ascii="Arial" w:eastAsia="Arial" w:hAnsi="Arial" w:cs="Arial"/>
          <w:b/>
          <w:bCs/>
          <w:color w:val="FF0000"/>
          <w:sz w:val="28"/>
          <w:szCs w:val="28"/>
        </w:rPr>
      </w:pPr>
      <w:r>
        <w:rPr>
          <w:rFonts w:ascii="Arial" w:eastAsia="Arial" w:hAnsi="Arial" w:cs="Arial"/>
          <w:b/>
          <w:bCs/>
          <w:sz w:val="21"/>
          <w:szCs w:val="21"/>
        </w:rPr>
        <w:t>Fecha de entrega: Domingo 11 de octubre</w:t>
      </w:r>
    </w:p>
    <w:p w14:paraId="148BD41D" w14:textId="77777777" w:rsidR="008B6FC5" w:rsidRDefault="008B6FC5">
      <w:pPr>
        <w:spacing w:after="0" w:line="240" w:lineRule="auto"/>
        <w:ind w:left="66" w:right="-20"/>
        <w:jc w:val="center"/>
        <w:rPr>
          <w:rFonts w:ascii="Arial" w:eastAsia="Arial" w:hAnsi="Arial" w:cs="Arial"/>
          <w:sz w:val="24"/>
          <w:szCs w:val="24"/>
        </w:rPr>
      </w:pPr>
    </w:p>
    <w:p w14:paraId="53550C90" w14:textId="77777777" w:rsidR="008B6FC5" w:rsidRDefault="008B6FC5">
      <w:pPr>
        <w:rPr>
          <w:rFonts w:ascii="Arial" w:eastAsia="Arial" w:hAnsi="Arial" w:cs="Arial"/>
          <w:sz w:val="21"/>
          <w:szCs w:val="21"/>
        </w:rPr>
      </w:pPr>
    </w:p>
    <w:p w14:paraId="2A1B7A56" w14:textId="77777777" w:rsidR="008B6FC5" w:rsidRDefault="004409C8">
      <w:pPr>
        <w:keepNext/>
        <w:spacing w:after="60"/>
        <w:jc w:val="center"/>
      </w:pPr>
      <w:r>
        <w:rPr>
          <w:rFonts w:ascii="Arial" w:eastAsia="Arial" w:hAnsi="Arial"/>
          <w:b/>
          <w:color w:val="285A48"/>
          <w:sz w:val="34"/>
        </w:rPr>
        <w:lastRenderedPageBreak/>
        <w:t>ARQUITECTURA Y TRADUCCIÓN DE PSEUDOCÓDIGO</w:t>
      </w:r>
    </w:p>
    <w:p w14:paraId="7B30EEA2" w14:textId="77777777" w:rsidR="008B6FC5" w:rsidRDefault="004409C8">
      <w:pPr>
        <w:spacing w:after="280"/>
        <w:jc w:val="center"/>
      </w:pPr>
      <w:r>
        <w:rPr>
          <w:rFonts w:ascii="Arial" w:eastAsia="Arial" w:hAnsi="Arial"/>
          <w:i/>
          <w:color w:val="58665F"/>
        </w:rPr>
        <w:t>Análisis del compilador Pseudo / Studio y generación para Python y JavaScript</w:t>
      </w:r>
    </w:p>
    <w:p w14:paraId="1F3FC24D" w14:textId="77777777" w:rsidR="008B6FC5" w:rsidRDefault="004409C8">
      <w:pPr>
        <w:pStyle w:val="ReportHeading1"/>
      </w:pPr>
      <w:bookmarkStart w:id="0" w:name="sec_1"/>
      <w:r>
        <w:t>1. Índice y objetivos</w:t>
      </w:r>
      <w:bookmarkEnd w:id="0"/>
    </w:p>
    <w:tbl>
      <w:tblPr>
        <w:tblStyle w:val="TableNormal"/>
        <w:tblW w:w="0" w:type="auto"/>
        <w:jc w:val="center"/>
        <w:tblInd w:w="0" w:type="dxa"/>
        <w:tblLayout w:type="fixed"/>
        <w:tblLook w:val="04A0" w:firstRow="1" w:lastRow="0" w:firstColumn="1" w:lastColumn="0" w:noHBand="0" w:noVBand="1"/>
      </w:tblPr>
      <w:tblGrid>
        <w:gridCol w:w="3168"/>
        <w:gridCol w:w="5328"/>
        <w:gridCol w:w="3120"/>
      </w:tblGrid>
      <w:tr w:rsidR="008B6FC5" w14:paraId="14757D2A" w14:textId="77777777">
        <w:trPr>
          <w:cantSplit/>
          <w:tblHeader/>
          <w:jc w:val="center"/>
        </w:trPr>
        <w:tc>
          <w:tcPr>
            <w:tcW w:w="2520" w:type="dxa"/>
            <w:tcBorders>
              <w:top w:val="single" w:sz="6" w:space="0" w:color="D4E0D8"/>
              <w:left w:val="single" w:sz="6" w:space="0" w:color="D4E0D8"/>
              <w:bottom w:val="single" w:sz="6" w:space="0" w:color="D4E0D8"/>
              <w:right w:val="single" w:sz="6" w:space="0" w:color="D4E0D8"/>
            </w:tcBorders>
            <w:shd w:val="clear" w:color="auto" w:fill="285A48"/>
            <w:tcMar>
              <w:top w:w="90" w:type="dxa"/>
              <w:left w:w="110" w:type="dxa"/>
              <w:bottom w:w="90" w:type="dxa"/>
              <w:right w:w="110" w:type="dxa"/>
            </w:tcMar>
            <w:vAlign w:val="center"/>
          </w:tcPr>
          <w:p w14:paraId="6C0DCAC7" w14:textId="77777777" w:rsidR="008B6FC5" w:rsidRDefault="004409C8">
            <w:pPr>
              <w:spacing w:after="0" w:line="240" w:lineRule="auto"/>
              <w:jc w:val="center"/>
            </w:pPr>
            <w:r>
              <w:rPr>
                <w:rFonts w:ascii="Arial" w:eastAsia="Arial" w:hAnsi="Arial"/>
                <w:b/>
                <w:color w:val="FFFFFF"/>
                <w:sz w:val="16"/>
              </w:rPr>
              <w:t>SECCIÓN</w:t>
            </w:r>
          </w:p>
        </w:tc>
        <w:tc>
          <w:tcPr>
            <w:tcW w:w="5904" w:type="dxa"/>
            <w:tcBorders>
              <w:top w:val="single" w:sz="6" w:space="0" w:color="D4E0D8"/>
              <w:left w:val="single" w:sz="6" w:space="0" w:color="D4E0D8"/>
              <w:bottom w:val="single" w:sz="6" w:space="0" w:color="D4E0D8"/>
              <w:right w:val="single" w:sz="6" w:space="0" w:color="D4E0D8"/>
            </w:tcBorders>
            <w:shd w:val="clear" w:color="auto" w:fill="285A48"/>
            <w:tcMar>
              <w:top w:w="90" w:type="dxa"/>
              <w:left w:w="110" w:type="dxa"/>
              <w:bottom w:w="90" w:type="dxa"/>
              <w:right w:w="110" w:type="dxa"/>
            </w:tcMar>
            <w:vAlign w:val="center"/>
          </w:tcPr>
          <w:p w14:paraId="68292715" w14:textId="77777777" w:rsidR="008B6FC5" w:rsidRDefault="004409C8">
            <w:pPr>
              <w:spacing w:after="0" w:line="240" w:lineRule="auto"/>
              <w:jc w:val="center"/>
            </w:pPr>
            <w:r>
              <w:rPr>
                <w:rFonts w:ascii="Arial" w:eastAsia="Arial" w:hAnsi="Arial"/>
                <w:b/>
                <w:color w:val="FFFFFF"/>
                <w:sz w:val="16"/>
              </w:rPr>
              <w:t>CONTENIDO</w:t>
            </w:r>
          </w:p>
        </w:tc>
        <w:tc>
          <w:tcPr>
            <w:tcW w:w="792" w:type="dxa"/>
            <w:tcBorders>
              <w:top w:val="single" w:sz="6" w:space="0" w:color="D4E0D8"/>
              <w:left w:val="single" w:sz="6" w:space="0" w:color="D4E0D8"/>
              <w:bottom w:val="single" w:sz="6" w:space="0" w:color="D4E0D8"/>
              <w:right w:val="single" w:sz="6" w:space="0" w:color="D4E0D8"/>
            </w:tcBorders>
            <w:shd w:val="clear" w:color="auto" w:fill="285A48"/>
            <w:tcMar>
              <w:top w:w="90" w:type="dxa"/>
              <w:left w:w="110" w:type="dxa"/>
              <w:bottom w:w="90" w:type="dxa"/>
              <w:right w:w="110" w:type="dxa"/>
            </w:tcMar>
            <w:vAlign w:val="center"/>
          </w:tcPr>
          <w:p w14:paraId="0DCD34F6" w14:textId="77777777" w:rsidR="008B6FC5" w:rsidRDefault="004409C8">
            <w:pPr>
              <w:spacing w:after="0" w:line="240" w:lineRule="auto"/>
              <w:jc w:val="center"/>
            </w:pPr>
            <w:r>
              <w:rPr>
                <w:rFonts w:ascii="Arial" w:eastAsia="Arial" w:hAnsi="Arial"/>
                <w:b/>
                <w:color w:val="FFFFFF"/>
                <w:sz w:val="16"/>
              </w:rPr>
              <w:t>PÁG.</w:t>
            </w:r>
          </w:p>
        </w:tc>
      </w:tr>
      <w:tr>
        <w:tc>
          <w:tcPr>
            <w:tcW w:type="dxa" w:w="2520"/>
            <w:vAlign w:val="center"/>
          </w:tcPr>
          <w:p>
            <w:pPr>
              <w:spacing w:after="20"/>
            </w:pPr>
            <w:r>
              <w:rPr>
                <w:sz w:val="17"/>
              </w:rPr>
              <w:t>2. Introducción</w:t>
            </w:r>
          </w:p>
        </w:tc>
        <w:tc>
          <w:tcPr>
            <w:tcW w:type="dxa" w:w="5904"/>
            <w:vAlign w:val="center"/>
          </w:tcPr>
          <w:p>
            <w:pPr>
              <w:spacing w:after="20"/>
            </w:pPr>
            <w:r>
              <w:rPr>
                <w:sz w:val="17"/>
              </w:rPr>
              <w:t>Contexto, propósito y alcance</w:t>
            </w:r>
          </w:p>
        </w:tc>
        <w:tc>
          <w:tcPr>
            <w:tcW w:type="dxa" w:w="792"/>
            <w:vAlign w:val="center"/>
          </w:tcPr>
          <w:p>
            <w:pPr>
              <w:spacing w:after="20"/>
              <w:jc w:val="right"/>
            </w:pPr>
            <w:r>
              <w:rPr>
                <w:sz w:val="17"/>
              </w:rPr>
            </w:r>
            <w:fldSimple w:instr="PAGEREF Sec02 \h">
              <w:r>
                <w:t>Actualizar</w:t>
              </w:r>
            </w:fldSimple>
          </w:p>
        </w:tc>
      </w:tr>
      <w:tr>
        <w:tc>
          <w:tcPr>
            <w:tcW w:type="dxa" w:w="2520"/>
            <w:vAlign w:val="center"/>
          </w:tcPr>
          <w:p>
            <w:pPr>
              <w:spacing w:after="20"/>
            </w:pPr>
            <w:r>
              <w:rPr>
                <w:sz w:val="17"/>
              </w:rPr>
              <w:t>3. Arquitectura</w:t>
            </w:r>
          </w:p>
        </w:tc>
        <w:tc>
          <w:tcPr>
            <w:tcW w:type="dxa" w:w="5904"/>
            <w:vAlign w:val="center"/>
          </w:tcPr>
          <w:p>
            <w:pPr>
              <w:spacing w:after="20"/>
            </w:pPr>
            <w:r>
              <w:rPr>
                <w:sz w:val="17"/>
              </w:rPr>
              <w:t>Fases del compilador, símbolos, diagnósticos y síntesis</w:t>
            </w:r>
          </w:p>
        </w:tc>
        <w:tc>
          <w:tcPr>
            <w:tcW w:type="dxa" w:w="792"/>
            <w:vAlign w:val="center"/>
          </w:tcPr>
          <w:p>
            <w:pPr>
              <w:spacing w:after="20"/>
              <w:jc w:val="right"/>
            </w:pPr>
            <w:r>
              <w:rPr>
                <w:sz w:val="17"/>
              </w:rPr>
            </w:r>
            <w:fldSimple w:instr="PAGEREF Sec03 \h">
              <w:r>
                <w:t>Actualizar</w:t>
              </w:r>
            </w:fldSimple>
          </w:p>
        </w:tc>
      </w:tr>
      <w:tr>
        <w:tc>
          <w:tcPr>
            <w:tcW w:type="dxa" w:w="2520"/>
            <w:vAlign w:val="center"/>
          </w:tcPr>
          <w:p>
            <w:pPr>
              <w:spacing w:after="20"/>
            </w:pPr>
            <w:r>
              <w:rPr>
                <w:sz w:val="17"/>
              </w:rPr>
              <w:t>4. Gramática formal</w:t>
            </w:r>
          </w:p>
        </w:tc>
        <w:tc>
          <w:tcPr>
            <w:tcW w:type="dxa" w:w="5904"/>
            <w:vAlign w:val="center"/>
          </w:tcPr>
          <w:p>
            <w:pPr>
              <w:spacing w:after="20"/>
            </w:pPr>
            <w:r>
              <w:rPr>
                <w:sz w:val="17"/>
              </w:rPr>
              <w:t>EBNF, reglas léxicas y tipos</w:t>
            </w:r>
          </w:p>
        </w:tc>
        <w:tc>
          <w:tcPr>
            <w:tcW w:type="dxa" w:w="792"/>
            <w:vAlign w:val="center"/>
          </w:tcPr>
          <w:p>
            <w:pPr>
              <w:spacing w:after="20"/>
              <w:jc w:val="right"/>
            </w:pPr>
            <w:r>
              <w:rPr>
                <w:sz w:val="17"/>
              </w:rPr>
            </w:r>
            <w:fldSimple w:instr="PAGEREF Sec04 \h">
              <w:r>
                <w:t>Actualizar</w:t>
              </w:r>
            </w:fldSimple>
          </w:p>
        </w:tc>
      </w:tr>
      <w:tr>
        <w:tc>
          <w:tcPr>
            <w:tcW w:type="dxa" w:w="2520"/>
            <w:vAlign w:val="center"/>
          </w:tcPr>
          <w:p>
            <w:pPr>
              <w:spacing w:after="20"/>
            </w:pPr>
            <w:r>
              <w:rPr>
                <w:sz w:val="17"/>
              </w:rPr>
              <w:t>5. Lenguajes de salida</w:t>
            </w:r>
          </w:p>
        </w:tc>
        <w:tc>
          <w:tcPr>
            <w:tcW w:type="dxa" w:w="5904"/>
            <w:vAlign w:val="center"/>
          </w:tcPr>
          <w:p>
            <w:pPr>
              <w:spacing w:after="20"/>
            </w:pPr>
            <w:r>
              <w:rPr>
                <w:sz w:val="17"/>
              </w:rPr>
              <w:t>Equivalencias y justificación técnica</w:t>
            </w:r>
          </w:p>
        </w:tc>
        <w:tc>
          <w:tcPr>
            <w:tcW w:type="dxa" w:w="792"/>
            <w:vAlign w:val="center"/>
          </w:tcPr>
          <w:p>
            <w:pPr>
              <w:spacing w:after="20"/>
              <w:jc w:val="right"/>
            </w:pPr>
            <w:r>
              <w:rPr>
                <w:sz w:val="17"/>
              </w:rPr>
            </w:r>
            <w:fldSimple w:instr="PAGEREF Sec05 \h">
              <w:r>
                <w:t>Actualizar</w:t>
              </w:r>
            </w:fldSimple>
          </w:p>
        </w:tc>
      </w:tr>
      <w:tr>
        <w:tc>
          <w:tcPr>
            <w:tcW w:type="dxa" w:w="2520"/>
            <w:vAlign w:val="center"/>
          </w:tcPr>
          <w:p>
            <w:pPr>
              <w:spacing w:after="20"/>
            </w:pPr>
            <w:r>
              <w:rPr>
                <w:sz w:val="17"/>
              </w:rPr>
              <w:t>6. Programa A en Python</w:t>
            </w:r>
          </w:p>
        </w:tc>
        <w:tc>
          <w:tcPr>
            <w:tcW w:type="dxa" w:w="5904"/>
            <w:vAlign w:val="center"/>
          </w:tcPr>
          <w:p>
            <w:pPr>
              <w:spacing w:after="20"/>
            </w:pPr>
            <w:r>
              <w:rPr>
                <w:sz w:val="17"/>
              </w:rPr>
              <w:t>Operaciones aritméticas y agrupación</w:t>
            </w:r>
          </w:p>
        </w:tc>
        <w:tc>
          <w:tcPr>
            <w:tcW w:type="dxa" w:w="792"/>
            <w:vAlign w:val="center"/>
          </w:tcPr>
          <w:p>
            <w:pPr>
              <w:spacing w:after="20"/>
              <w:jc w:val="right"/>
            </w:pPr>
            <w:r>
              <w:rPr>
                <w:sz w:val="17"/>
              </w:rPr>
            </w:r>
            <w:fldSimple w:instr="PAGEREF Sec06 \h">
              <w:r>
                <w:t>Actualizar</w:t>
              </w:r>
            </w:fldSimple>
          </w:p>
        </w:tc>
      </w:tr>
      <w:tr>
        <w:tc>
          <w:tcPr>
            <w:tcW w:type="dxa" w:w="2520"/>
            <w:vAlign w:val="center"/>
          </w:tcPr>
          <w:p>
            <w:pPr>
              <w:spacing w:after="20"/>
            </w:pPr>
            <w:r>
              <w:rPr>
                <w:sz w:val="17"/>
              </w:rPr>
              <w:t>7. Programa A en JavaScript</w:t>
            </w:r>
          </w:p>
        </w:tc>
        <w:tc>
          <w:tcPr>
            <w:tcW w:type="dxa" w:w="5904"/>
            <w:vAlign w:val="center"/>
          </w:tcPr>
          <w:p>
            <w:pPr>
              <w:spacing w:after="20"/>
            </w:pPr>
            <w:r>
              <w:rPr>
                <w:sz w:val="17"/>
              </w:rPr>
              <w:t>Operaciones aritméticas y lectura por lotes</w:t>
            </w:r>
          </w:p>
        </w:tc>
        <w:tc>
          <w:tcPr>
            <w:tcW w:type="dxa" w:w="792"/>
            <w:vAlign w:val="center"/>
          </w:tcPr>
          <w:p>
            <w:pPr>
              <w:spacing w:after="20"/>
              <w:jc w:val="right"/>
            </w:pPr>
            <w:r>
              <w:rPr>
                <w:sz w:val="17"/>
              </w:rPr>
            </w:r>
            <w:fldSimple w:instr="PAGEREF Sec07 \h">
              <w:r>
                <w:t>Actualizar</w:t>
              </w:r>
            </w:fldSimple>
          </w:p>
        </w:tc>
      </w:tr>
      <w:tr>
        <w:tc>
          <w:tcPr>
            <w:tcW w:type="dxa" w:w="2520"/>
            <w:vAlign w:val="center"/>
          </w:tcPr>
          <w:p>
            <w:pPr>
              <w:spacing w:after="20"/>
            </w:pPr>
            <w:r>
              <w:rPr>
                <w:sz w:val="17"/>
              </w:rPr>
              <w:t>8. Programa B en Python</w:t>
            </w:r>
          </w:p>
        </w:tc>
        <w:tc>
          <w:tcPr>
            <w:tcW w:type="dxa" w:w="5904"/>
            <w:vAlign w:val="center"/>
          </w:tcPr>
          <w:p>
            <w:pPr>
              <w:spacing w:after="20"/>
            </w:pPr>
            <w:r>
              <w:rPr>
                <w:sz w:val="17"/>
              </w:rPr>
              <w:t>Condicional anidado y operadores lógicos</w:t>
            </w:r>
          </w:p>
        </w:tc>
        <w:tc>
          <w:tcPr>
            <w:tcW w:type="dxa" w:w="792"/>
            <w:vAlign w:val="center"/>
          </w:tcPr>
          <w:p>
            <w:pPr>
              <w:spacing w:after="20"/>
              <w:jc w:val="right"/>
            </w:pPr>
            <w:r>
              <w:rPr>
                <w:sz w:val="17"/>
              </w:rPr>
            </w:r>
            <w:fldSimple w:instr="PAGEREF Sec08 \h">
              <w:r>
                <w:t>Actualizar</w:t>
              </w:r>
            </w:fldSimple>
          </w:p>
        </w:tc>
      </w:tr>
      <w:tr>
        <w:tc>
          <w:tcPr>
            <w:tcW w:type="dxa" w:w="2520"/>
            <w:vAlign w:val="center"/>
          </w:tcPr>
          <w:p>
            <w:pPr>
              <w:spacing w:after="20"/>
            </w:pPr>
            <w:r>
              <w:rPr>
                <w:sz w:val="17"/>
              </w:rPr>
              <w:t>9. Programa B en JavaScript</w:t>
            </w:r>
          </w:p>
        </w:tc>
        <w:tc>
          <w:tcPr>
            <w:tcW w:type="dxa" w:w="5904"/>
            <w:vAlign w:val="center"/>
          </w:tcPr>
          <w:p>
            <w:pPr>
              <w:spacing w:after="20"/>
            </w:pPr>
            <w:r>
              <w:rPr>
                <w:sz w:val="17"/>
              </w:rPr>
              <w:t>Condicional anidado y lectura por lotes</w:t>
            </w:r>
          </w:p>
        </w:tc>
        <w:tc>
          <w:tcPr>
            <w:tcW w:type="dxa" w:w="792"/>
            <w:vAlign w:val="center"/>
          </w:tcPr>
          <w:p>
            <w:pPr>
              <w:spacing w:after="20"/>
              <w:jc w:val="right"/>
            </w:pPr>
            <w:r>
              <w:rPr>
                <w:sz w:val="17"/>
              </w:rPr>
            </w:r>
            <w:fldSimple w:instr="PAGEREF Sec09 \h">
              <w:r>
                <w:t>Actualizar</w:t>
              </w:r>
            </w:fldSimple>
          </w:p>
        </w:tc>
      </w:tr>
      <w:tr>
        <w:tc>
          <w:tcPr>
            <w:tcW w:type="dxa" w:w="2520"/>
            <w:vAlign w:val="center"/>
          </w:tcPr>
          <w:p>
            <w:pPr>
              <w:spacing w:after="20"/>
            </w:pPr>
            <w:r>
              <w:rPr>
                <w:sz w:val="17"/>
              </w:rPr>
              <w:t>10. Evidencia de ejecución</w:t>
            </w:r>
          </w:p>
        </w:tc>
        <w:tc>
          <w:tcPr>
            <w:tcW w:type="dxa" w:w="5904"/>
            <w:vAlign w:val="center"/>
          </w:tcPr>
          <w:p>
            <w:pPr>
              <w:spacing w:after="20"/>
            </w:pPr>
            <w:r>
              <w:rPr>
                <w:sz w:val="17"/>
              </w:rPr>
              <w:t>Salidas reales de Python y Node.js</w:t>
            </w:r>
          </w:p>
        </w:tc>
        <w:tc>
          <w:tcPr>
            <w:tcW w:type="dxa" w:w="792"/>
            <w:vAlign w:val="center"/>
          </w:tcPr>
          <w:p>
            <w:pPr>
              <w:spacing w:after="20"/>
              <w:jc w:val="right"/>
            </w:pPr>
            <w:r>
              <w:rPr>
                <w:sz w:val="17"/>
              </w:rPr>
            </w:r>
            <w:fldSimple w:instr="PAGEREF Sec10 \h">
              <w:r>
                <w:t>Actualizar</w:t>
              </w:r>
            </w:fldSimple>
          </w:p>
        </w:tc>
      </w:tr>
      <w:tr>
        <w:tc>
          <w:tcPr>
            <w:tcW w:type="dxa" w:w="2520"/>
            <w:vAlign w:val="center"/>
          </w:tcPr>
          <w:p>
            <w:pPr>
              <w:spacing w:after="20"/>
            </w:pPr>
            <w:r>
              <w:rPr>
                <w:sz w:val="17"/>
              </w:rPr>
              <w:t>11. Conclusiones</w:t>
            </w:r>
          </w:p>
        </w:tc>
        <w:tc>
          <w:tcPr>
            <w:tcW w:type="dxa" w:w="5904"/>
            <w:vAlign w:val="center"/>
          </w:tcPr>
          <w:p>
            <w:pPr>
              <w:spacing w:after="20"/>
            </w:pPr>
            <w:r>
              <w:rPr>
                <w:sz w:val="17"/>
              </w:rPr>
              <w:t>Hallazgos técnicos y equivalencia entre destinos</w:t>
            </w:r>
          </w:p>
        </w:tc>
        <w:tc>
          <w:tcPr>
            <w:tcW w:type="dxa" w:w="792"/>
            <w:vAlign w:val="center"/>
          </w:tcPr>
          <w:p>
            <w:pPr>
              <w:spacing w:after="20"/>
              <w:jc w:val="right"/>
            </w:pPr>
            <w:r>
              <w:rPr>
                <w:sz w:val="17"/>
              </w:rPr>
            </w:r>
            <w:fldSimple w:instr="PAGEREF Sec11 \h">
              <w:r>
                <w:t>Actualizar</w:t>
              </w:r>
            </w:fldSimple>
          </w:p>
        </w:tc>
      </w:tr>
      <w:tr>
        <w:tc>
          <w:tcPr>
            <w:tcW w:type="dxa" w:w="2520"/>
            <w:vAlign w:val="center"/>
          </w:tcPr>
          <w:p>
            <w:pPr>
              <w:spacing w:after="20"/>
            </w:pPr>
            <w:r>
              <w:rPr>
                <w:sz w:val="17"/>
              </w:rPr>
              <w:t>12. Referencias</w:t>
            </w:r>
          </w:p>
        </w:tc>
        <w:tc>
          <w:tcPr>
            <w:tcW w:type="dxa" w:w="5904"/>
            <w:vAlign w:val="center"/>
          </w:tcPr>
          <w:p>
            <w:pPr>
              <w:spacing w:after="20"/>
            </w:pPr>
            <w:r>
              <w:rPr>
                <w:sz w:val="17"/>
              </w:rPr>
              <w:t>Fuentes consultadas en formato APA 7</w:t>
            </w:r>
          </w:p>
        </w:tc>
        <w:tc>
          <w:tcPr>
            <w:tcW w:type="dxa" w:w="792"/>
            <w:vAlign w:val="center"/>
          </w:tcPr>
          <w:p>
            <w:pPr>
              <w:spacing w:after="20"/>
              <w:jc w:val="right"/>
            </w:pPr>
            <w:r>
              <w:rPr>
                <w:sz w:val="17"/>
              </w:rPr>
            </w:r>
            <w:fldSimple w:instr="PAGEREF Sec12 \h">
              <w:r>
                <w:t>Actualizar</w:t>
              </w:r>
            </w:fldSimple>
          </w:p>
        </w:tc>
      </w:tr>
    </w:tbl>
    <w:p w14:paraId="023BDA30" w14:textId="77777777" w:rsidR="008B6FC5" w:rsidRDefault="004409C8">
      <w:pPr>
        <w:pStyle w:val="ReportHeading2"/>
      </w:pPr>
      <w:r>
        <w:t>Objetivo general</w:t>
      </w:r>
    </w:p>
    <w:p w14:paraId="4D2E2693" w14:textId="77777777" w:rsidR="008B6FC5" w:rsidRDefault="004409C8">
      <w:pPr>
        <w:pStyle w:val="ReportBody"/>
      </w:pPr>
      <w:r>
        <w:t>Describir la arquitectura de un compilador de pseudocódigo en español y explicar cómo una misma fuente se analiza y se traduce a dos lenguajes de salida —Python y JavaScript— preservando la lógica, las entradas y las salidas de los programas académicos A y B.</w:t>
      </w:r>
    </w:p>
    <w:p w14:paraId="7E8AA5A6" w14:textId="77777777" w:rsidR="008B6FC5" w:rsidRDefault="004409C8">
      <w:pPr>
        <w:pStyle w:val="ReportHeading2"/>
      </w:pPr>
      <w:r>
        <w:t>Objetivos específicos</w:t>
      </w:r>
    </w:p>
    <w:p w14:paraId="2801D6C1" w14:textId="77777777" w:rsidR="008B6FC5" w:rsidRDefault="004409C8">
      <w:pPr>
        <w:pStyle w:val="ReportBullet"/>
      </w:pPr>
      <w:r>
        <w:rPr>
          <w:sz w:val="20"/>
        </w:rPr>
        <w:t>Representar las fases léxica, sintáctica, semántica y de síntesis, junto con la tabla de símbolos y la gestión transversal de diagnósticos.</w:t>
      </w:r>
    </w:p>
    <w:p w14:paraId="699870EB" w14:textId="77777777" w:rsidR="008B6FC5" w:rsidRDefault="004409C8">
      <w:pPr>
        <w:pStyle w:val="ReportBullet"/>
      </w:pPr>
      <w:r>
        <w:rPr>
          <w:sz w:val="20"/>
        </w:rPr>
        <w:t>Formalizar las construcciones principales del pseudocódigo mediante una gramática EBNF legible y verificable.</w:t>
      </w:r>
    </w:p>
    <w:p w14:paraId="1830DA2A" w14:textId="77777777" w:rsidR="008B6FC5" w:rsidRDefault="004409C8">
      <w:pPr>
        <w:pStyle w:val="ReportBullet"/>
      </w:pPr>
      <w:r>
        <w:rPr>
          <w:sz w:val="20"/>
        </w:rPr>
        <w:t>Comparar los mecanismos de entrada, salida, operadores, control de flujo y ejecución usados por Python y JavaScript/Node.js.</w:t>
      </w:r>
    </w:p>
    <w:p w14:paraId="252E3B3A" w14:textId="77777777" w:rsidR="008B6FC5" w:rsidRDefault="004409C8">
      <w:pPr>
        <w:pStyle w:val="ReportBullet"/>
      </w:pPr>
      <w:r>
        <w:rPr>
          <w:sz w:val="20"/>
        </w:rPr>
        <w:t>Traducir manualmente A y B a ambos destinos sin cambiar las expresiones, el orden de evaluación ni las ramas oficiales.</w:t>
      </w:r>
    </w:p>
    <w:p w14:paraId="79A2DBDC" w14:textId="77777777" w:rsidR="008B6FC5" w:rsidRDefault="004409C8">
      <w:pPr>
        <w:pStyle w:val="ReportBullet"/>
      </w:pPr>
      <w:r>
        <w:rPr>
          <w:sz w:val="20"/>
        </w:rPr>
        <w:t>Relacionar los resultados documentados con las entradas y salidas oficiales proporcionadas para los casos A–B.</w:t>
      </w:r>
    </w:p>
    <w:p w14:paraId="77D9852C" w14:textId="77777777" w:rsidR="008B6FC5" w:rsidRDefault="004409C8">
      <w:r>
        <w:br w:type="page"/>
      </w:r>
    </w:p>
    <w:p>
      <w:pPr>
        <w:pStyle w:val="ReportCaption"/>
      </w:pPr>
      <w:r>
        <w:t>El índice y el pie usan campos de página automáticos. Word los actualiza al abrir; si el visor no los recalcula, seleccione todo con Ctrl+A y actualice los campos con F9.</w:t>
      </w:r>
    </w:p>
    <w:p w14:paraId="6ED6EBBB" w14:textId="77777777" w:rsidR="008B6FC5" w:rsidRDefault="004409C8">
      <w:bookmarkStart w:id="31" w:name="Sec02"/>
      <w:pPr>
        <w:pStyle w:val="ReportHeading1"/>
      </w:pPr>
      <w:bookmarkStart w:id="1" w:name="sec_2"/>
      <w:r>
        <w:lastRenderedPageBreak/>
        <w:t>2. Introducción</w:t>
      </w:r>
      <w:bookmarkEnd w:id="1"/>
      <w:bookmarkEnd w:id="31"/>
    </w:p>
    <w:p w14:paraId="461E63CA" w14:textId="77777777" w:rsidR="008B6FC5" w:rsidRDefault="004409C8">
      <w:pPr>
        <w:pStyle w:val="ReportBody"/>
      </w:pPr>
      <w:r>
        <w:t>Un compilador transforma un programa escrito en un lenguaje fuente en una representación que otro sistema puede ejecutar. Para que la traducción sea confiable, conviene separar el reconocimiento de tokens, la construcción de estructura sintáctica, la comprobación semántica y la generación del código destino. Esta separación permite localizar errores con precisión y evita que la traducción dependa de sustituciones textuales o de ejemplos particulares (Aho et al., 2012).</w:t>
      </w:r>
    </w:p>
    <w:p w14:paraId="16E703CB" w14:textId="77777777" w:rsidR="008B6FC5" w:rsidRDefault="004409C8">
      <w:pPr>
        <w:pStyle w:val="ReportBody"/>
      </w:pPr>
      <w:r>
        <w:t>Pseudo / Studio es un entorno local para escribir pseudocódigo en español. Su flujo recibe una fuente con Inicio y Fin, analiza tokens y estructura, valida nombres, tipos y ámbitos, y genera artefactos separados para Python y JavaScript desde un AST común. Los artefactos pueden descargarse o ejecutarse en contenedores OCI aislados; los resultados y diagnósticos vuelven a la interfaz con ubicación de origen (Pseudo / Studio, 2026a, 2026c).</w:t>
      </w:r>
    </w:p>
    <w:p w14:paraId="37893A32" w14:textId="77777777" w:rsidR="008B6FC5" w:rsidRDefault="004409C8">
      <w:pPr>
        <w:pStyle w:val="ReportBody"/>
      </w:pPr>
      <w:r>
        <w:t>Este informe se enfoca en el diseño general del compilador, la gramática formal que define las construcciones del lenguaje y las correspondencias entre las dos plataformas destino. En los programas A y B se presentan traducciones manuales, preparadas para la comparación académica. Las entradas y salidas finales se toman de la tabla oficial del proyecto, derivada del material de Fase 1, sin alterar sus algoritmos (Fase 1, s. f.; Pseudo / Studio, 2026b).</w:t>
      </w:r>
    </w:p>
    <w:p w14:paraId="268A5387" w14:textId="77777777" w:rsidR="008B6FC5" w:rsidRDefault="004409C8">
      <w:pPr>
        <w:pStyle w:val="ReportHeading2"/>
      </w:pPr>
      <w:r>
        <w:t>Alcance</w:t>
      </w:r>
    </w:p>
    <w:p w14:paraId="23B320D6" w14:textId="77777777" w:rsidR="008B6FC5" w:rsidRDefault="004409C8">
      <w:pPr>
        <w:pStyle w:val="ReportBody"/>
      </w:pPr>
      <w:r>
        <w:t>El trabajo desarrolla únicamente Python y JavaScript, los dos destinos implementados en el proyecto y suficientes para cumplir el requisito de dos lenguajes de salida. No atribuye a las versiones manuales propiedades que no sean necesarias para los casos presentados; la compatibilidad extendida de arreglos, funciones, ciclos y errores pertenece al compilador descrito en la arquitectura y la gramática del proyecto.</w:t>
      </w:r>
    </w:p>
    <w:p w14:paraId="29FF6D76" w14:textId="77777777" w:rsidR="008B6FC5" w:rsidRDefault="004409C8">
      <w:r>
        <w:br w:type="page"/>
      </w:r>
    </w:p>
    <w:p w14:paraId="471718CA" w14:textId="77777777" w:rsidR="008B6FC5" w:rsidRDefault="004409C8">
      <w:bookmarkStart w:id="38" w:name="Sec03"/>
      <w:pPr>
        <w:pStyle w:val="ReportHeading1"/>
      </w:pPr>
      <w:bookmarkStart w:id="2" w:name="sec_3"/>
      <w:r>
        <w:lastRenderedPageBreak/>
        <w:t>3. Arquitectura general del compilador</w:t>
      </w:r>
      <w:bookmarkEnd w:id="2"/>
      <w:bookmarkEnd w:id="38"/>
    </w:p>
    <w:p w14:paraId="5C1EDDD0" w14:textId="77777777" w:rsidR="008B6FC5" w:rsidRDefault="004409C8">
      <w:pPr>
        <w:pStyle w:val="ReportBody"/>
      </w:pPr>
      <w:r>
        <w:t xml:space="preserve">La arquitectura se organiza en dos lados: el </w:t>
      </w:r>
      <w:proofErr w:type="spellStart"/>
      <w:r>
        <w:t>front</w:t>
      </w:r>
      <w:proofErr w:type="spellEnd"/>
      <w:r>
        <w:t>-end analiza la fuente y el back-end genera artefactos de destino. El flujo conserva el texto original, crea tokens con ubicación, construye un AST, realiza análisis semántico y solo entonces ejecuta la fase de síntesis. Esta división responde al modelo clásico de análisis y generación de compiladores (Aho et al., 2012).</w:t>
      </w:r>
    </w:p>
    <w:tbl>
      <w:tblPr>
        <w:tblStyle w:val="TableNormal"/>
        <w:tblW w:w="0" w:type="auto"/>
        <w:jc w:val="center"/>
        <w:tblInd w:w="0" w:type="dxa"/>
        <w:tblLayout w:type="fixed"/>
        <w:tblLook w:val="04A0" w:firstRow="1" w:lastRow="0" w:firstColumn="1" w:lastColumn="0" w:noHBand="0" w:noVBand="1"/>
      </w:tblPr>
      <w:tblGrid>
        <w:gridCol w:w="9360"/>
      </w:tblGrid>
      <w:tr w:rsidR="008B6FC5" w14:paraId="07AC0403" w14:textId="77777777">
        <w:trPr>
          <w:cantSplit/>
          <w:jc w:val="center"/>
        </w:trPr>
        <w:tc>
          <w:tcPr>
            <w:tcW w:w="9360" w:type="dxa"/>
            <w:tcBorders>
              <w:top w:val="single" w:sz="6" w:space="0" w:color="D4E0D8"/>
              <w:left w:val="single" w:sz="6" w:space="0" w:color="D4E0D8"/>
              <w:bottom w:val="single" w:sz="6" w:space="0" w:color="D4E0D8"/>
              <w:right w:val="single" w:sz="6" w:space="0" w:color="D4E0D8"/>
            </w:tcBorders>
            <w:shd w:val="clear" w:color="auto" w:fill="1F3948"/>
            <w:tcMar>
              <w:top w:w="90" w:type="dxa"/>
              <w:left w:w="110" w:type="dxa"/>
              <w:bottom w:w="90" w:type="dxa"/>
              <w:right w:w="110" w:type="dxa"/>
            </w:tcMar>
            <w:vAlign w:val="center"/>
          </w:tcPr>
          <w:p w14:paraId="27306C00" w14:textId="77777777" w:rsidR="008B6FC5" w:rsidRDefault="004409C8">
            <w:pPr>
              <w:spacing w:after="0" w:line="240" w:lineRule="auto"/>
              <w:jc w:val="center"/>
            </w:pPr>
            <w:r>
              <w:rPr>
                <w:rFonts w:ascii="Arial" w:eastAsia="Arial" w:hAnsi="Arial"/>
                <w:b/>
                <w:color w:val="FFFFFF"/>
                <w:sz w:val="18"/>
              </w:rPr>
              <w:t xml:space="preserve">INTERFAZ LOCAL · React + </w:t>
            </w:r>
            <w:proofErr w:type="spellStart"/>
            <w:r>
              <w:rPr>
                <w:rFonts w:ascii="Arial" w:eastAsia="Arial" w:hAnsi="Arial"/>
                <w:b/>
                <w:color w:val="FFFFFF"/>
                <w:sz w:val="18"/>
              </w:rPr>
              <w:t>TypeScript</w:t>
            </w:r>
            <w:proofErr w:type="spellEnd"/>
            <w:r>
              <w:rPr>
                <w:rFonts w:ascii="Arial" w:eastAsia="Arial" w:hAnsi="Arial"/>
                <w:b/>
                <w:color w:val="FFFFFF"/>
                <w:sz w:val="18"/>
              </w:rPr>
              <w:t xml:space="preserve"> + </w:t>
            </w:r>
            <w:proofErr w:type="spellStart"/>
            <w:proofErr w:type="gramStart"/>
            <w:r>
              <w:rPr>
                <w:rFonts w:ascii="Arial" w:eastAsia="Arial" w:hAnsi="Arial"/>
                <w:b/>
                <w:color w:val="FFFFFF"/>
                <w:sz w:val="18"/>
              </w:rPr>
              <w:t>CodeMirror</w:t>
            </w:r>
            <w:proofErr w:type="spellEnd"/>
            <w:r>
              <w:rPr>
                <w:rFonts w:ascii="Arial" w:eastAsia="Arial" w:hAnsi="Arial"/>
                <w:b/>
                <w:color w:val="FFFFFF"/>
                <w:sz w:val="18"/>
              </w:rPr>
              <w:t xml:space="preserve">  →</w:t>
            </w:r>
            <w:proofErr w:type="gramEnd"/>
            <w:r>
              <w:rPr>
                <w:rFonts w:ascii="Arial" w:eastAsia="Arial" w:hAnsi="Arial"/>
                <w:b/>
                <w:color w:val="FFFFFF"/>
                <w:sz w:val="18"/>
              </w:rPr>
              <w:t xml:space="preserve">  API </w:t>
            </w:r>
            <w:proofErr w:type="spellStart"/>
            <w:r>
              <w:rPr>
                <w:rFonts w:ascii="Arial" w:eastAsia="Arial" w:hAnsi="Arial"/>
                <w:b/>
                <w:color w:val="FFFFFF"/>
                <w:sz w:val="18"/>
              </w:rPr>
              <w:t>FastAPI</w:t>
            </w:r>
            <w:proofErr w:type="spellEnd"/>
          </w:p>
        </w:tc>
      </w:tr>
    </w:tbl>
    <w:p w14:paraId="6D22898E" w14:textId="77777777" w:rsidR="008B6FC5" w:rsidRDefault="004409C8">
      <w:pPr>
        <w:pStyle w:val="ReportDiagramArrow"/>
        <w:spacing w:after="0"/>
        <w:jc w:val="center"/>
      </w:pPr>
      <w:r>
        <w:rPr>
          <w:b/>
          <w:color w:val="4A8066"/>
          <w:sz w:val="24"/>
        </w:rPr>
        <w:t>↓</w:t>
      </w:r>
    </w:p>
    <w:tbl>
      <w:tblPr>
        <w:tblStyle w:val="TableNormal"/>
        <w:tblW w:w="0" w:type="auto"/>
        <w:jc w:val="center"/>
        <w:tblInd w:w="0" w:type="dxa"/>
        <w:tblLayout w:type="fixed"/>
        <w:tblLook w:val="04A0" w:firstRow="1" w:lastRow="0" w:firstColumn="1" w:lastColumn="0" w:noHBand="0" w:noVBand="1"/>
      </w:tblPr>
      <w:tblGrid>
        <w:gridCol w:w="3024"/>
        <w:gridCol w:w="3024"/>
        <w:gridCol w:w="3312"/>
      </w:tblGrid>
      <w:tr w:rsidR="008B6FC5" w14:paraId="660C475A" w14:textId="77777777">
        <w:trPr>
          <w:cantSplit/>
          <w:jc w:val="center"/>
        </w:trPr>
        <w:tc>
          <w:tcPr>
            <w:tcW w:w="3024" w:type="dxa"/>
            <w:tcBorders>
              <w:top w:val="single" w:sz="6" w:space="0" w:color="D4E0D8"/>
              <w:left w:val="single" w:sz="6" w:space="0" w:color="D4E0D8"/>
              <w:bottom w:val="single" w:sz="6" w:space="0" w:color="D4E0D8"/>
              <w:right w:val="single" w:sz="6" w:space="0" w:color="D4E0D8"/>
            </w:tcBorders>
            <w:shd w:val="clear" w:color="auto" w:fill="EAF3ED"/>
            <w:tcMar>
              <w:top w:w="90" w:type="dxa"/>
              <w:left w:w="110" w:type="dxa"/>
              <w:bottom w:w="90" w:type="dxa"/>
              <w:right w:w="110" w:type="dxa"/>
            </w:tcMar>
            <w:vAlign w:val="center"/>
          </w:tcPr>
          <w:p w14:paraId="6103FBB4" w14:textId="77777777" w:rsidR="008B6FC5" w:rsidRDefault="004409C8">
            <w:pPr>
              <w:spacing w:after="0" w:line="240" w:lineRule="auto"/>
              <w:jc w:val="center"/>
            </w:pPr>
            <w:r>
              <w:rPr>
                <w:rFonts w:ascii="Arial" w:eastAsia="Arial" w:hAnsi="Arial"/>
                <w:b/>
                <w:color w:val="285A48"/>
                <w:sz w:val="16"/>
              </w:rPr>
              <w:t>ANÁLISIS LÉXICO</w:t>
            </w:r>
            <w:r>
              <w:rPr>
                <w:rFonts w:ascii="Arial" w:eastAsia="Arial" w:hAnsi="Arial"/>
                <w:b/>
                <w:color w:val="285A48"/>
                <w:sz w:val="16"/>
              </w:rPr>
              <w:br/>
              <w:t xml:space="preserve">Fuente → tokens y </w:t>
            </w:r>
            <w:proofErr w:type="spellStart"/>
            <w:r>
              <w:rPr>
                <w:rFonts w:ascii="Arial" w:eastAsia="Arial" w:hAnsi="Arial"/>
                <w:b/>
                <w:color w:val="285A48"/>
                <w:sz w:val="16"/>
              </w:rPr>
              <w:t>spans</w:t>
            </w:r>
            <w:proofErr w:type="spellEnd"/>
          </w:p>
        </w:tc>
        <w:tc>
          <w:tcPr>
            <w:tcW w:w="3024" w:type="dxa"/>
            <w:tcBorders>
              <w:top w:val="single" w:sz="6" w:space="0" w:color="D4E0D8"/>
              <w:left w:val="single" w:sz="6" w:space="0" w:color="D4E0D8"/>
              <w:bottom w:val="single" w:sz="6" w:space="0" w:color="D4E0D8"/>
              <w:right w:val="single" w:sz="6" w:space="0" w:color="D4E0D8"/>
            </w:tcBorders>
            <w:shd w:val="clear" w:color="auto" w:fill="EAF3ED"/>
            <w:tcMar>
              <w:top w:w="90" w:type="dxa"/>
              <w:left w:w="110" w:type="dxa"/>
              <w:bottom w:w="90" w:type="dxa"/>
              <w:right w:w="110" w:type="dxa"/>
            </w:tcMar>
            <w:vAlign w:val="center"/>
          </w:tcPr>
          <w:p w14:paraId="70DC109D" w14:textId="77777777" w:rsidR="008B6FC5" w:rsidRDefault="004409C8">
            <w:pPr>
              <w:spacing w:after="0" w:line="240" w:lineRule="auto"/>
              <w:jc w:val="center"/>
            </w:pPr>
            <w:r>
              <w:rPr>
                <w:rFonts w:ascii="Arial" w:eastAsia="Arial" w:hAnsi="Arial"/>
                <w:b/>
                <w:color w:val="285A48"/>
                <w:sz w:val="16"/>
              </w:rPr>
              <w:t>ANÁLISIS SINTÁCTICO</w:t>
            </w:r>
            <w:r>
              <w:rPr>
                <w:rFonts w:ascii="Arial" w:eastAsia="Arial" w:hAnsi="Arial"/>
                <w:b/>
                <w:color w:val="285A48"/>
                <w:sz w:val="16"/>
              </w:rPr>
              <w:br/>
            </w:r>
            <w:proofErr w:type="spellStart"/>
            <w:r>
              <w:rPr>
                <w:rFonts w:ascii="Arial" w:eastAsia="Arial" w:hAnsi="Arial"/>
                <w:b/>
                <w:color w:val="285A48"/>
                <w:sz w:val="16"/>
              </w:rPr>
              <w:t>Parser</w:t>
            </w:r>
            <w:proofErr w:type="spellEnd"/>
            <w:r>
              <w:rPr>
                <w:rFonts w:ascii="Arial" w:eastAsia="Arial" w:hAnsi="Arial"/>
                <w:b/>
                <w:color w:val="285A48"/>
                <w:sz w:val="16"/>
              </w:rPr>
              <w:t xml:space="preserve"> → AST</w:t>
            </w:r>
          </w:p>
        </w:tc>
        <w:tc>
          <w:tcPr>
            <w:tcW w:w="3312" w:type="dxa"/>
            <w:tcBorders>
              <w:top w:val="single" w:sz="6" w:space="0" w:color="D4E0D8"/>
              <w:left w:val="single" w:sz="6" w:space="0" w:color="D4E0D8"/>
              <w:bottom w:val="single" w:sz="6" w:space="0" w:color="D4E0D8"/>
              <w:right w:val="single" w:sz="6" w:space="0" w:color="D4E0D8"/>
            </w:tcBorders>
            <w:shd w:val="clear" w:color="auto" w:fill="EAF3ED"/>
            <w:tcMar>
              <w:top w:w="90" w:type="dxa"/>
              <w:left w:w="110" w:type="dxa"/>
              <w:bottom w:w="90" w:type="dxa"/>
              <w:right w:w="110" w:type="dxa"/>
            </w:tcMar>
            <w:vAlign w:val="center"/>
          </w:tcPr>
          <w:p w14:paraId="45764A46" w14:textId="77777777" w:rsidR="008B6FC5" w:rsidRDefault="004409C8">
            <w:pPr>
              <w:spacing w:after="0" w:line="240" w:lineRule="auto"/>
              <w:jc w:val="center"/>
            </w:pPr>
            <w:r>
              <w:rPr>
                <w:rFonts w:ascii="Arial" w:eastAsia="Arial" w:hAnsi="Arial"/>
                <w:b/>
                <w:color w:val="285A48"/>
                <w:sz w:val="16"/>
              </w:rPr>
              <w:t>ANÁLISIS SEMÁNTICO</w:t>
            </w:r>
            <w:r>
              <w:rPr>
                <w:rFonts w:ascii="Arial" w:eastAsia="Arial" w:hAnsi="Arial"/>
                <w:b/>
                <w:color w:val="285A48"/>
                <w:sz w:val="16"/>
              </w:rPr>
              <w:br/>
              <w:t>Tipos, ámbitos y tabla de símbolos</w:t>
            </w:r>
          </w:p>
        </w:tc>
      </w:tr>
    </w:tbl>
    <w:p w14:paraId="001A456E" w14:textId="77777777" w:rsidR="008B6FC5" w:rsidRDefault="004409C8">
      <w:pPr>
        <w:pStyle w:val="ReportDiagramArrow"/>
        <w:spacing w:after="0"/>
        <w:jc w:val="center"/>
      </w:pPr>
      <w:r>
        <w:rPr>
          <w:b/>
          <w:color w:val="4A8066"/>
          <w:sz w:val="24"/>
        </w:rPr>
        <w:t>↓</w:t>
      </w:r>
    </w:p>
    <w:tbl>
      <w:tblPr>
        <w:tblStyle w:val="TableNormal"/>
        <w:tblW w:w="0" w:type="auto"/>
        <w:jc w:val="center"/>
        <w:tblInd w:w="0" w:type="dxa"/>
        <w:tblLayout w:type="fixed"/>
        <w:tblLook w:val="04A0" w:firstRow="1" w:lastRow="0" w:firstColumn="1" w:lastColumn="0" w:noHBand="0" w:noVBand="1"/>
      </w:tblPr>
      <w:tblGrid>
        <w:gridCol w:w="9360"/>
      </w:tblGrid>
      <w:tr w:rsidR="008B6FC5" w14:paraId="3D122812" w14:textId="77777777">
        <w:trPr>
          <w:cantSplit/>
          <w:jc w:val="center"/>
        </w:trPr>
        <w:tc>
          <w:tcPr>
            <w:tcW w:w="9360" w:type="dxa"/>
            <w:tcBorders>
              <w:top w:val="single" w:sz="6" w:space="0" w:color="D4E0D8"/>
              <w:left w:val="single" w:sz="6" w:space="0" w:color="D4E0D8"/>
              <w:bottom w:val="single" w:sz="6" w:space="0" w:color="D4E0D8"/>
              <w:right w:val="single" w:sz="6" w:space="0" w:color="D4E0D8"/>
            </w:tcBorders>
            <w:shd w:val="clear" w:color="auto" w:fill="F4F7F3"/>
            <w:tcMar>
              <w:top w:w="90" w:type="dxa"/>
              <w:left w:w="110" w:type="dxa"/>
              <w:bottom w:w="90" w:type="dxa"/>
              <w:right w:w="110" w:type="dxa"/>
            </w:tcMar>
            <w:vAlign w:val="center"/>
          </w:tcPr>
          <w:p w14:paraId="0AE6387F" w14:textId="77777777" w:rsidR="008B6FC5" w:rsidRDefault="004409C8">
            <w:pPr>
              <w:spacing w:after="0" w:line="240" w:lineRule="auto"/>
              <w:jc w:val="center"/>
            </w:pPr>
            <w:r>
              <w:rPr>
                <w:rFonts w:ascii="Arial" w:eastAsia="Arial" w:hAnsi="Arial"/>
                <w:b/>
                <w:color w:val="1F3948"/>
                <w:sz w:val="17"/>
              </w:rPr>
              <w:t xml:space="preserve">GESTOR TRANSVERSAL DE DIAGNÓSTICOS · código + fase + mensaje + </w:t>
            </w:r>
            <w:proofErr w:type="spellStart"/>
            <w:r>
              <w:rPr>
                <w:rFonts w:ascii="Arial" w:eastAsia="Arial" w:hAnsi="Arial"/>
                <w:b/>
                <w:color w:val="1F3948"/>
                <w:sz w:val="17"/>
              </w:rPr>
              <w:t>span</w:t>
            </w:r>
            <w:proofErr w:type="spellEnd"/>
            <w:r>
              <w:rPr>
                <w:rFonts w:ascii="Arial" w:eastAsia="Arial" w:hAnsi="Arial"/>
                <w:b/>
                <w:color w:val="1F3948"/>
                <w:sz w:val="17"/>
              </w:rPr>
              <w:t xml:space="preserve"> de origen</w:t>
            </w:r>
          </w:p>
        </w:tc>
      </w:tr>
    </w:tbl>
    <w:p w14:paraId="7C980AC6" w14:textId="77777777" w:rsidR="008B6FC5" w:rsidRDefault="004409C8">
      <w:pPr>
        <w:pStyle w:val="ReportDiagramArrow"/>
        <w:spacing w:after="0"/>
        <w:jc w:val="center"/>
      </w:pPr>
      <w:proofErr w:type="gramStart"/>
      <w:r>
        <w:rPr>
          <w:b/>
          <w:color w:val="4A8066"/>
          <w:sz w:val="24"/>
        </w:rPr>
        <w:t>↓  solo</w:t>
      </w:r>
      <w:proofErr w:type="gramEnd"/>
      <w:r>
        <w:rPr>
          <w:b/>
          <w:color w:val="4A8066"/>
          <w:sz w:val="24"/>
        </w:rPr>
        <w:t xml:space="preserve"> si el análisis no contiene errores</w:t>
      </w:r>
    </w:p>
    <w:tbl>
      <w:tblPr>
        <w:tblStyle w:val="TableNormal"/>
        <w:tblW w:w="0" w:type="auto"/>
        <w:jc w:val="center"/>
        <w:tblInd w:w="0" w:type="dxa"/>
        <w:tblLayout w:type="fixed"/>
        <w:tblLook w:val="04A0" w:firstRow="1" w:lastRow="0" w:firstColumn="1" w:lastColumn="0" w:noHBand="0" w:noVBand="1"/>
      </w:tblPr>
      <w:tblGrid>
        <w:gridCol w:w="9360"/>
      </w:tblGrid>
      <w:tr w:rsidR="008B6FC5" w14:paraId="58A856FD" w14:textId="77777777">
        <w:trPr>
          <w:cantSplit/>
          <w:jc w:val="center"/>
        </w:trPr>
        <w:tc>
          <w:tcPr>
            <w:tcW w:w="9360" w:type="dxa"/>
            <w:tcBorders>
              <w:top w:val="single" w:sz="6" w:space="0" w:color="D4E0D8"/>
              <w:left w:val="single" w:sz="6" w:space="0" w:color="D4E0D8"/>
              <w:bottom w:val="single" w:sz="6" w:space="0" w:color="D4E0D8"/>
              <w:right w:val="single" w:sz="6" w:space="0" w:color="D4E0D8"/>
            </w:tcBorders>
            <w:shd w:val="clear" w:color="auto" w:fill="EAF0F5"/>
            <w:tcMar>
              <w:top w:w="90" w:type="dxa"/>
              <w:left w:w="110" w:type="dxa"/>
              <w:bottom w:w="90" w:type="dxa"/>
              <w:right w:w="110" w:type="dxa"/>
            </w:tcMar>
            <w:vAlign w:val="center"/>
          </w:tcPr>
          <w:p w14:paraId="6FE25373" w14:textId="77777777" w:rsidR="008B6FC5" w:rsidRDefault="004409C8">
            <w:pPr>
              <w:spacing w:after="0" w:line="240" w:lineRule="auto"/>
              <w:jc w:val="center"/>
            </w:pPr>
            <w:r>
              <w:rPr>
                <w:rFonts w:ascii="Arial" w:eastAsia="Arial" w:hAnsi="Arial"/>
                <w:b/>
                <w:color w:val="1F3948"/>
                <w:sz w:val="17"/>
              </w:rPr>
              <w:t>FASE DE SÍNTESIS · AST validado → generadores independientes de Python y JavaScript</w:t>
            </w:r>
          </w:p>
        </w:tc>
      </w:tr>
    </w:tbl>
    <w:p w14:paraId="4D1E1D9F" w14:textId="77777777" w:rsidR="008B6FC5" w:rsidRDefault="004409C8">
      <w:pPr>
        <w:pStyle w:val="ReportDiagramArrow"/>
        <w:spacing w:after="0"/>
        <w:jc w:val="center"/>
      </w:pPr>
      <w:r>
        <w:rPr>
          <w:b/>
          <w:color w:val="4A8066"/>
          <w:sz w:val="24"/>
        </w:rPr>
        <w:t>↓</w:t>
      </w:r>
    </w:p>
    <w:tbl>
      <w:tblPr>
        <w:tblStyle w:val="TableNormal"/>
        <w:tblW w:w="0" w:type="auto"/>
        <w:jc w:val="center"/>
        <w:tblInd w:w="0" w:type="dxa"/>
        <w:tblLayout w:type="fixed"/>
        <w:tblLook w:val="04A0" w:firstRow="1" w:lastRow="0" w:firstColumn="1" w:lastColumn="0" w:noHBand="0" w:noVBand="1"/>
      </w:tblPr>
      <w:tblGrid>
        <w:gridCol w:w="4680"/>
        <w:gridCol w:w="4680"/>
      </w:tblGrid>
      <w:tr w:rsidR="008B6FC5" w14:paraId="0545CFC8" w14:textId="77777777">
        <w:trPr>
          <w:cantSplit/>
          <w:jc w:val="center"/>
        </w:trPr>
        <w:tc>
          <w:tcPr>
            <w:tcW w:w="4680" w:type="dxa"/>
            <w:tcBorders>
              <w:top w:val="single" w:sz="6" w:space="0" w:color="D4E0D8"/>
              <w:left w:val="single" w:sz="6" w:space="0" w:color="D4E0D8"/>
              <w:bottom w:val="single" w:sz="6" w:space="0" w:color="D4E0D8"/>
              <w:right w:val="single" w:sz="6" w:space="0" w:color="D4E0D8"/>
            </w:tcBorders>
            <w:shd w:val="clear" w:color="auto" w:fill="EAF3ED"/>
            <w:tcMar>
              <w:top w:w="90" w:type="dxa"/>
              <w:left w:w="110" w:type="dxa"/>
              <w:bottom w:w="90" w:type="dxa"/>
              <w:right w:w="110" w:type="dxa"/>
            </w:tcMar>
            <w:vAlign w:val="center"/>
          </w:tcPr>
          <w:p w14:paraId="17634451" w14:textId="77777777" w:rsidR="008B6FC5" w:rsidRDefault="004409C8">
            <w:pPr>
              <w:spacing w:after="0" w:line="240" w:lineRule="auto"/>
              <w:jc w:val="center"/>
            </w:pPr>
            <w:r>
              <w:rPr>
                <w:rFonts w:ascii="Arial" w:eastAsia="Arial" w:hAnsi="Arial"/>
                <w:b/>
                <w:color w:val="285A48"/>
                <w:sz w:val="17"/>
              </w:rPr>
              <w:t>ARTEFACTO PYTHON</w:t>
            </w:r>
            <w:r>
              <w:rPr>
                <w:rFonts w:ascii="Arial" w:eastAsia="Arial" w:hAnsi="Arial"/>
                <w:b/>
                <w:color w:val="285A48"/>
                <w:sz w:val="17"/>
              </w:rPr>
              <w:br/>
            </w:r>
            <w:proofErr w:type="spellStart"/>
            <w:r>
              <w:rPr>
                <w:rFonts w:ascii="Arial" w:eastAsia="Arial" w:hAnsi="Arial"/>
                <w:b/>
                <w:color w:val="285A48"/>
                <w:sz w:val="17"/>
              </w:rPr>
              <w:t>Runtime</w:t>
            </w:r>
            <w:proofErr w:type="spellEnd"/>
            <w:r>
              <w:rPr>
                <w:rFonts w:ascii="Arial" w:eastAsia="Arial" w:hAnsi="Arial"/>
                <w:b/>
                <w:color w:val="285A48"/>
                <w:sz w:val="17"/>
              </w:rPr>
              <w:t xml:space="preserve"> Python dentro de OCI</w:t>
            </w:r>
          </w:p>
        </w:tc>
        <w:tc>
          <w:tcPr>
            <w:tcW w:w="4680" w:type="dxa"/>
            <w:tcBorders>
              <w:top w:val="single" w:sz="6" w:space="0" w:color="D4E0D8"/>
              <w:left w:val="single" w:sz="6" w:space="0" w:color="D4E0D8"/>
              <w:bottom w:val="single" w:sz="6" w:space="0" w:color="D4E0D8"/>
              <w:right w:val="single" w:sz="6" w:space="0" w:color="D4E0D8"/>
            </w:tcBorders>
            <w:shd w:val="clear" w:color="auto" w:fill="EAF3ED"/>
            <w:tcMar>
              <w:top w:w="90" w:type="dxa"/>
              <w:left w:w="110" w:type="dxa"/>
              <w:bottom w:w="90" w:type="dxa"/>
              <w:right w:w="110" w:type="dxa"/>
            </w:tcMar>
            <w:vAlign w:val="center"/>
          </w:tcPr>
          <w:p w14:paraId="56408BF3" w14:textId="77777777" w:rsidR="008B6FC5" w:rsidRDefault="004409C8">
            <w:pPr>
              <w:spacing w:after="0" w:line="240" w:lineRule="auto"/>
              <w:jc w:val="center"/>
            </w:pPr>
            <w:r>
              <w:rPr>
                <w:rFonts w:ascii="Arial" w:eastAsia="Arial" w:hAnsi="Arial"/>
                <w:b/>
                <w:color w:val="285A48"/>
                <w:sz w:val="17"/>
              </w:rPr>
              <w:t>ARTEFACTO JAVASCRIPT</w:t>
            </w:r>
            <w:r>
              <w:rPr>
                <w:rFonts w:ascii="Arial" w:eastAsia="Arial" w:hAnsi="Arial"/>
                <w:b/>
                <w:color w:val="285A48"/>
                <w:sz w:val="17"/>
              </w:rPr>
              <w:br/>
            </w:r>
            <w:proofErr w:type="spellStart"/>
            <w:r>
              <w:rPr>
                <w:rFonts w:ascii="Arial" w:eastAsia="Arial" w:hAnsi="Arial"/>
                <w:b/>
                <w:color w:val="285A48"/>
                <w:sz w:val="17"/>
              </w:rPr>
              <w:t>Runtime</w:t>
            </w:r>
            <w:proofErr w:type="spellEnd"/>
            <w:r>
              <w:rPr>
                <w:rFonts w:ascii="Arial" w:eastAsia="Arial" w:hAnsi="Arial"/>
                <w:b/>
                <w:color w:val="285A48"/>
                <w:sz w:val="17"/>
              </w:rPr>
              <w:t xml:space="preserve"> Node.js dentro de OCI</w:t>
            </w:r>
          </w:p>
        </w:tc>
      </w:tr>
    </w:tbl>
    <w:p w14:paraId="6240F1B6" w14:textId="77777777" w:rsidR="008B6FC5" w:rsidRDefault="004409C8">
      <w:pPr>
        <w:pStyle w:val="ReportDiagramArrow"/>
        <w:spacing w:after="0"/>
        <w:jc w:val="center"/>
      </w:pPr>
      <w:r>
        <w:rPr>
          <w:b/>
          <w:color w:val="4A8066"/>
          <w:sz w:val="24"/>
        </w:rPr>
        <w:t>↓</w:t>
      </w:r>
    </w:p>
    <w:tbl>
      <w:tblPr>
        <w:tblStyle w:val="TableNormal"/>
        <w:tblW w:w="0" w:type="auto"/>
        <w:jc w:val="center"/>
        <w:tblInd w:w="0" w:type="dxa"/>
        <w:tblLayout w:type="fixed"/>
        <w:tblLook w:val="04A0" w:firstRow="1" w:lastRow="0" w:firstColumn="1" w:lastColumn="0" w:noHBand="0" w:noVBand="1"/>
      </w:tblPr>
      <w:tblGrid>
        <w:gridCol w:w="9360"/>
      </w:tblGrid>
      <w:tr w:rsidR="008B6FC5" w14:paraId="58146D74" w14:textId="77777777">
        <w:trPr>
          <w:cantSplit/>
          <w:jc w:val="center"/>
        </w:trPr>
        <w:tc>
          <w:tcPr>
            <w:tcW w:w="9360" w:type="dxa"/>
            <w:tcBorders>
              <w:top w:val="single" w:sz="6" w:space="0" w:color="D4E0D8"/>
              <w:left w:val="single" w:sz="6" w:space="0" w:color="D4E0D8"/>
              <w:bottom w:val="single" w:sz="6" w:space="0" w:color="D4E0D8"/>
              <w:right w:val="single" w:sz="6" w:space="0" w:color="D4E0D8"/>
            </w:tcBorders>
            <w:shd w:val="clear" w:color="auto" w:fill="F4EEE2"/>
            <w:tcMar>
              <w:top w:w="90" w:type="dxa"/>
              <w:left w:w="110" w:type="dxa"/>
              <w:bottom w:w="90" w:type="dxa"/>
              <w:right w:w="110" w:type="dxa"/>
            </w:tcMar>
            <w:vAlign w:val="center"/>
          </w:tcPr>
          <w:p w14:paraId="7085CCF3" w14:textId="77777777" w:rsidR="008B6FC5" w:rsidRDefault="004409C8">
            <w:pPr>
              <w:spacing w:after="0" w:line="240" w:lineRule="auto"/>
              <w:jc w:val="center"/>
            </w:pPr>
            <w:r>
              <w:rPr>
                <w:rFonts w:ascii="Arial" w:eastAsia="Arial" w:hAnsi="Arial"/>
                <w:b/>
                <w:color w:val="1F3948"/>
                <w:sz w:val="17"/>
              </w:rPr>
              <w:t>EJECUCIÓN AISLADA · sin red, usuario sin privilegios, cuotas y directorio efímero</w:t>
            </w:r>
          </w:p>
        </w:tc>
      </w:tr>
    </w:tbl>
    <w:p w14:paraId="22B7D9A1" w14:textId="77777777" w:rsidR="008B6FC5" w:rsidRDefault="004409C8">
      <w:pPr>
        <w:pStyle w:val="ReportDiagramArrow"/>
        <w:spacing w:after="0"/>
        <w:jc w:val="center"/>
      </w:pPr>
      <w:r>
        <w:rPr>
          <w:b/>
          <w:color w:val="4A8066"/>
          <w:sz w:val="24"/>
        </w:rPr>
        <w:t>↓</w:t>
      </w:r>
    </w:p>
    <w:tbl>
      <w:tblPr>
        <w:tblStyle w:val="TableNormal"/>
        <w:tblW w:w="0" w:type="auto"/>
        <w:jc w:val="center"/>
        <w:tblInd w:w="0" w:type="dxa"/>
        <w:tblLayout w:type="fixed"/>
        <w:tblLook w:val="04A0" w:firstRow="1" w:lastRow="0" w:firstColumn="1" w:lastColumn="0" w:noHBand="0" w:noVBand="1"/>
      </w:tblPr>
      <w:tblGrid>
        <w:gridCol w:w="9360"/>
      </w:tblGrid>
      <w:tr w:rsidR="008B6FC5" w14:paraId="53BABA2B" w14:textId="77777777">
        <w:trPr>
          <w:cantSplit/>
          <w:jc w:val="center"/>
        </w:trPr>
        <w:tc>
          <w:tcPr>
            <w:tcW w:w="9360" w:type="dxa"/>
            <w:tcBorders>
              <w:top w:val="single" w:sz="6" w:space="0" w:color="D4E0D8"/>
              <w:left w:val="single" w:sz="6" w:space="0" w:color="D4E0D8"/>
              <w:bottom w:val="single" w:sz="6" w:space="0" w:color="D4E0D8"/>
              <w:right w:val="single" w:sz="6" w:space="0" w:color="D4E0D8"/>
            </w:tcBorders>
            <w:shd w:val="clear" w:color="auto" w:fill="1F3948"/>
            <w:tcMar>
              <w:top w:w="90" w:type="dxa"/>
              <w:left w:w="110" w:type="dxa"/>
              <w:bottom w:w="90" w:type="dxa"/>
              <w:right w:w="110" w:type="dxa"/>
            </w:tcMar>
            <w:vAlign w:val="center"/>
          </w:tcPr>
          <w:p w14:paraId="0224AAD7" w14:textId="77777777" w:rsidR="008B6FC5" w:rsidRDefault="004409C8">
            <w:pPr>
              <w:spacing w:after="0" w:line="240" w:lineRule="auto"/>
              <w:jc w:val="center"/>
            </w:pPr>
            <w:r>
              <w:rPr>
                <w:rFonts w:ascii="Arial" w:eastAsia="Arial" w:hAnsi="Arial"/>
                <w:b/>
                <w:color w:val="FFFFFF"/>
                <w:sz w:val="17"/>
              </w:rPr>
              <w:t>SALIDAS REALES → consola, comparación de pruebas, proyectos locales y exportaciones</w:t>
            </w:r>
          </w:p>
        </w:tc>
      </w:tr>
    </w:tbl>
    <w:p w14:paraId="3D84E914" w14:textId="77777777" w:rsidR="008B6FC5" w:rsidRDefault="004409C8">
      <w:pPr>
        <w:pStyle w:val="ReportCaption"/>
        <w:jc w:val="center"/>
      </w:pPr>
      <w:r>
        <w:rPr>
          <w:i/>
          <w:color w:val="58665F"/>
          <w:sz w:val="17"/>
        </w:rPr>
        <w:t>Figura 1. Flujo general de análisis, generación y ejecución de Pseudo / Studio. Elaboración propia con base en la arquitectura del proyecto.</w:t>
      </w:r>
    </w:p>
    <w:p w14:paraId="2EEE6C7F" w14:textId="77777777" w:rsidR="008B6FC5" w:rsidRDefault="004409C8">
      <w:pPr>
        <w:pStyle w:val="ReportHeading2"/>
      </w:pPr>
      <w:r>
        <w:t>Responsabilidad de cada fase</w:t>
      </w:r>
    </w:p>
    <w:p w14:paraId="0BC521E0" w14:textId="77777777" w:rsidR="008B6FC5" w:rsidRDefault="004409C8">
      <w:pPr>
        <w:pStyle w:val="ReportBullet"/>
      </w:pPr>
      <w:r w:rsidRPr="00301282">
        <w:rPr>
          <w:b/>
          <w:bCs/>
          <w:sz w:val="20"/>
        </w:rPr>
        <w:t>Análisis léxico:</w:t>
      </w:r>
      <w:r>
        <w:rPr>
          <w:sz w:val="20"/>
        </w:rPr>
        <w:t xml:space="preserve"> reconoce palabras reservadas, identificadores, literales y operadores; cada token conserva línea y columna para señalar el origen de un problema.</w:t>
      </w:r>
    </w:p>
    <w:p w14:paraId="24B14AC5" w14:textId="77777777" w:rsidR="008B6FC5" w:rsidRDefault="004409C8">
      <w:pPr>
        <w:pStyle w:val="ReportBullet"/>
      </w:pPr>
      <w:r w:rsidRPr="00301282">
        <w:rPr>
          <w:b/>
          <w:bCs/>
          <w:sz w:val="20"/>
        </w:rPr>
        <w:t>Análisis sintáctico:</w:t>
      </w:r>
      <w:r>
        <w:rPr>
          <w:sz w:val="20"/>
        </w:rPr>
        <w:t xml:space="preserve"> aplica la gramática y construye el AST. La precedencia de operadores se expresa en las reglas de expresiones; los bloques se delimitan con </w:t>
      </w:r>
      <w:proofErr w:type="spellStart"/>
      <w:r>
        <w:rPr>
          <w:sz w:val="20"/>
        </w:rPr>
        <w:t>FinSi</w:t>
      </w:r>
      <w:proofErr w:type="spellEnd"/>
      <w:r>
        <w:rPr>
          <w:sz w:val="20"/>
        </w:rPr>
        <w:t xml:space="preserve">, </w:t>
      </w:r>
      <w:proofErr w:type="spellStart"/>
      <w:r>
        <w:rPr>
          <w:sz w:val="20"/>
        </w:rPr>
        <w:t>FinPara</w:t>
      </w:r>
      <w:proofErr w:type="spellEnd"/>
      <w:r>
        <w:rPr>
          <w:sz w:val="20"/>
        </w:rPr>
        <w:t xml:space="preserve">, </w:t>
      </w:r>
      <w:proofErr w:type="spellStart"/>
      <w:r>
        <w:rPr>
          <w:sz w:val="20"/>
        </w:rPr>
        <w:t>FinMientras</w:t>
      </w:r>
      <w:proofErr w:type="spellEnd"/>
      <w:r>
        <w:rPr>
          <w:sz w:val="20"/>
        </w:rPr>
        <w:t xml:space="preserve"> y </w:t>
      </w:r>
      <w:proofErr w:type="spellStart"/>
      <w:r>
        <w:rPr>
          <w:sz w:val="20"/>
        </w:rPr>
        <w:t>FinFuncion</w:t>
      </w:r>
      <w:proofErr w:type="spellEnd"/>
      <w:r>
        <w:rPr>
          <w:sz w:val="20"/>
        </w:rPr>
        <w:t>.</w:t>
      </w:r>
    </w:p>
    <w:p w14:paraId="408E2A7A" w14:textId="77777777" w:rsidR="008B6FC5" w:rsidRDefault="004409C8">
      <w:pPr>
        <w:pStyle w:val="ReportBullet"/>
      </w:pPr>
      <w:r w:rsidRPr="00301282">
        <w:rPr>
          <w:b/>
          <w:bCs/>
          <w:sz w:val="20"/>
        </w:rPr>
        <w:t>Análisis semántico:</w:t>
      </w:r>
      <w:r>
        <w:rPr>
          <w:sz w:val="20"/>
        </w:rPr>
        <w:t xml:space="preserve"> verifica identificadores, inicialización, tipos, argumentos de función, retornos y reglas de ámbito. La tabla de símbolos conserva declaraciones y referencias necesarias para esas comprobaciones.</w:t>
      </w:r>
    </w:p>
    <w:p w14:paraId="29006C07" w14:textId="77777777" w:rsidR="008B6FC5" w:rsidRDefault="004409C8">
      <w:pPr>
        <w:pStyle w:val="ReportBullet"/>
      </w:pPr>
      <w:r w:rsidRPr="00301282">
        <w:rPr>
          <w:b/>
          <w:bCs/>
          <w:sz w:val="20"/>
        </w:rPr>
        <w:t>Gestión de errores:</w:t>
      </w:r>
      <w:r>
        <w:rPr>
          <w:sz w:val="20"/>
        </w:rPr>
        <w:t xml:space="preserve"> reúne diagnósticos con código, fase, severidad, mensaje y </w:t>
      </w:r>
      <w:proofErr w:type="spellStart"/>
      <w:r>
        <w:rPr>
          <w:sz w:val="20"/>
        </w:rPr>
        <w:t>span</w:t>
      </w:r>
      <w:proofErr w:type="spellEnd"/>
      <w:r>
        <w:rPr>
          <w:sz w:val="20"/>
        </w:rPr>
        <w:t>. Si existen errores que impiden generar código seguro, la síntesis se bloquea.</w:t>
      </w:r>
    </w:p>
    <w:p w14:paraId="103D1CFE" w14:textId="77777777" w:rsidR="008B6FC5" w:rsidRDefault="004409C8">
      <w:pPr>
        <w:pStyle w:val="ReportBullet"/>
      </w:pPr>
      <w:r w:rsidRPr="00301282">
        <w:rPr>
          <w:b/>
          <w:bCs/>
          <w:sz w:val="20"/>
        </w:rPr>
        <w:t>Síntesis y ejecución:</w:t>
      </w:r>
      <w:r>
        <w:rPr>
          <w:sz w:val="20"/>
        </w:rPr>
        <w:t xml:space="preserve"> los generadores recorren el AST validado y producen Python o JavaScript. Cada artefacto se ejecuta en su </w:t>
      </w:r>
      <w:proofErr w:type="spellStart"/>
      <w:r>
        <w:rPr>
          <w:sz w:val="20"/>
        </w:rPr>
        <w:t>runtime</w:t>
      </w:r>
      <w:proofErr w:type="spellEnd"/>
      <w:r>
        <w:rPr>
          <w:sz w:val="20"/>
        </w:rPr>
        <w:t xml:space="preserve"> OCI correspondiente; el </w:t>
      </w:r>
      <w:proofErr w:type="spellStart"/>
      <w:r>
        <w:rPr>
          <w:sz w:val="20"/>
        </w:rPr>
        <w:t>sandbox</w:t>
      </w:r>
      <w:proofErr w:type="spellEnd"/>
      <w:r>
        <w:rPr>
          <w:sz w:val="20"/>
        </w:rPr>
        <w:t xml:space="preserve"> desactiva la red y aplica límites de recursos (Pseudo / Studio, 2026a, 2026c).</w:t>
      </w:r>
    </w:p>
    <w:p w14:paraId="138DE497" w14:textId="77777777" w:rsidR="008B6FC5" w:rsidRDefault="004409C8">
      <w:r>
        <w:br w:type="page"/>
      </w:r>
    </w:p>
    <w:p w14:paraId="45871DB1" w14:textId="77777777" w:rsidR="008B6FC5" w:rsidRDefault="004409C8">
      <w:bookmarkStart w:id="54" w:name="Sec04"/>
      <w:pPr>
        <w:pStyle w:val="ReportHeading1"/>
      </w:pPr>
      <w:bookmarkStart w:id="3" w:name="sec_4"/>
      <w:r>
        <w:lastRenderedPageBreak/>
        <w:t>4. Definición formal del pseudocódigo (EBNF)</w:t>
      </w:r>
      <w:bookmarkEnd w:id="3"/>
      <w:bookmarkEnd w:id="54"/>
    </w:p>
    <w:p w14:paraId="6B8AE8EA" w14:textId="77777777" w:rsidR="008B6FC5" w:rsidRDefault="004409C8">
      <w:pPr>
        <w:pStyle w:val="ReportBody"/>
      </w:pPr>
      <w:r>
        <w:t xml:space="preserve">La siguiente EBNF resume la estructura implementada. Las llaves indican repetición, los corchetes indican opcionalidad, NL representa un fin de línea y los terminales entre comillas son palabras o símbolos del lenguaje. La versión normativa del proyecto se mantiene en </w:t>
      </w:r>
      <w:proofErr w:type="spellStart"/>
      <w:r>
        <w:t>docs</w:t>
      </w:r>
      <w:proofErr w:type="spellEnd"/>
      <w:r>
        <w:t>/</w:t>
      </w:r>
      <w:proofErr w:type="spellStart"/>
      <w:r>
        <w:t>gramatica.ebnf</w:t>
      </w:r>
      <w:proofErr w:type="spellEnd"/>
      <w:r>
        <w:t xml:space="preserve"> (Pseudo / Studio, 2026c).</w:t>
      </w:r>
    </w:p>
    <w:p w14:paraId="4B163C23" w14:textId="77777777" w:rsidR="008B6FC5" w:rsidRDefault="004409C8">
      <w:pPr>
        <w:pStyle w:val="ReportCode"/>
        <w:keepLines/>
        <w:widowControl w:val="0"/>
        <w:pBdr>
          <w:left w:val="single" w:sz="18" w:space="5" w:color="4A8066"/>
        </w:pBdr>
        <w:shd w:val="clear" w:color="auto" w:fill="F2F5F2"/>
        <w:spacing w:before="20" w:after="20"/>
        <w:ind w:left="173" w:right="115"/>
      </w:pPr>
      <w:r>
        <w:t>(* Pseudo / Studio EBNF v2 — fuente normativa conforme a la sección 4.2. *)</w:t>
        <w:br/>
        <w:t>(* NL representa los finales de línea; // inicia un comentario hasta CR o LF. *)</w:t>
        <w:br/>
        <w:t>(* No hay declaración de tipo: se infiere number, string o boolean desde el uso. *)</w:t>
        <w:br/>
        <w:br/>
        <w:t>programa        = "Inicio", NL+, { elemento }, "Fin", [ NL+ ] ;</w:t>
        <w:br/>
        <w:t>elemento        = sentencia | funcion ;</w:t>
        <w:br/>
        <w:t>sentencia       = leer | leer_texto | escribir | asignacion | condicional</w:t>
        <w:br/>
        <w:t xml:space="preserve">                | para | dimension | mientras | retornar | expr_stmt ;</w:t>
        <w:br/>
        <w:t>leer            = "Leer", destino, NL+ ;</w:t>
        <w:br/>
        <w:t>leer_texto      = "LeerTexto", destino, NL+ ;</w:t>
        <w:br/>
        <w:t>escribir        = "Escribir", expresion, { ",", expresion }, NL+ ;</w:t>
        <w:br/>
        <w:t>asignacion      = destino, "=", expresion, NL+ ;</w:t>
        <w:br/>
        <w:t>destino         = IDENT, [ "[", expresion, "]" ] ;</w:t>
        <w:br/>
        <w:t>dimension       = "Dimension", IDENT, "[", expresion, "]", NL+ ;</w:t>
        <w:br/>
        <w:t>condicional     = "Si", expresion, "Entonces", NL+,</w:t>
        <w:br/>
        <w:t xml:space="preserve">                  { sentencia }, [ "Sino", NL+, { sentencia } ], "FinSi", NL+ ;</w:t>
        <w:br/>
        <w:t>para            = "Para", IDENT, "=", expresion, "Hasta", expresion,</w:t>
        <w:br/>
        <w:t xml:space="preserve">                  [ "Paso", expresion ], "Hacer", NL+,</w:t>
        <w:br/>
        <w:t xml:space="preserve">                  { sentencia }, "FinPara", NL+ ;</w:t>
        <w:br/>
        <w:t>mientras        = "Mientras", expresion, "Hacer", NL+,</w:t>
        <w:br/>
        <w:t xml:space="preserve">                  { sentencia }, "FinMientras", NL+ ;</w:t>
        <w:br/>
        <w:t>funcion         = "Funcion", [ IDENT, "=" ], IDENT, "(", [ parametros ], ")", NL+,</w:t>
        <w:br/>
        <w:t xml:space="preserve">                  { sentencia }, "FinFuncion", NL+ ;</w:t>
        <w:br/>
        <w:t>parametros      = IDENT, { ",", IDENT } ;</w:t>
        <w:br/>
        <w:t>retornar        = "Retornar", expresion, NL+ ;</w:t>
        <w:br/>
        <w:t>expr_stmt       = llamada, NL+ ;</w:t>
        <w:br/>
        <w:br/>
        <w:t>expresion       = disyuncion ;</w:t>
        <w:br/>
        <w:t>disyuncion      = conjuncion, { "O", conjuncion } ;</w:t>
        <w:br/>
        <w:t>conjuncion      = igualdad, { "Y", igualdad } ;</w:t>
        <w:br/>
        <w:t>igualdad        = relacion, { ("==" | "!="), relacion } ;</w:t>
        <w:br/>
        <w:t>relacion        = aditiva, { ("&gt;" | "&lt;" | "&gt;=" | "&lt;="), aditiva } ;</w:t>
        <w:br/>
        <w:t>aditiva         = multiplicativa, { ("+" | "-"), multiplicativa } ;</w:t>
        <w:br/>
        <w:t>multiplicativa  = unaria, { ("*" | "/" | "%" | "Modulo"), unaria } ;</w:t>
        <w:br/>
        <w:t>unaria          = ("-" | "+" | "No"), unaria | primaria ;</w:t>
        <w:br/>
        <w:t>primaria        = NUM | STRING | "Verdadero" | "Falso" | referencia</w:t>
        <w:br/>
        <w:t xml:space="preserve">                | llamada | "(", expresion, ")" ;</w:t>
        <w:br/>
        <w:t>referencia      = IDENT, [ "[", expresion, "]" ] ;</w:t>
        <w:br/>
        <w:t>llamada         = IDENT, "(", [ argumentos ], ")" ;</w:t>
        <w:br/>
        <w:t>argumentos      = expresion, { ",", expresion } ;</w:t>
        <w:br/>
        <w:br/>
        <w:t>(* Reglas léxicas concretas del lexer implementado: *)</w:t>
        <w:br/>
        <w:t>(* DIGITO = uno de "0"..."9"; solo se aceptan dígitos ASCII en literales numéricos. *)</w:t>
        <w:br/>
        <w:t>(* ENTERO = DIGITO, { DIGITO }. *)</w:t>
        <w:br/>
        <w:t>(* DECIMAL = DIGITO, { DIGITO }, ".", DIGITO, { DIGITO } *)</w:t>
        <w:br/>
        <w:t>(*         | ".", DIGITO, { DIGITO }. *)</w:t>
        <w:br/>
        <w:t>(* NUM = ENTERO | DECIMAL; no admite coma decimal ni exponente. El signo usa unaria. *)</w:t>
        <w:br/>
        <w:t>(* IDENT inicia con letra Unicode (categoría L) o "_"; continúa con L, marcas M, *)</w:t>
        <w:br/>
        <w:t>(*       números Unicode N o "_". Los identificadores se normalizan a Unicode NFC. *)</w:t>
        <w:br/>
        <w:t>(* STRING abre y cierra con U+0022; no admite saltos de línea literales. *)</w:t>
        <w:br/>
        <w:t>(*       U+005C escapa U+005C, U+0022, "n" (LF) o "t" (tabulación). *)</w:t>
        <w:br/>
        <w:t>(* COMENTARIO inicia con "//" y consume hasta CR/LF; no produce token. *)</w:t>
        <w:br/>
        <w:t>(* Las palabras reservadas se comparan sin distinguir mayúsculas; IDENT sí distingue. *)</w:t>
        <w:br/>
        <w:t>(* NL+ puede omitir líneas vacías y líneas de comentario puro. Fin puede llegar a EOF. *)</w:t>
        <w:br/>
        <w:br/>
        <w:t>(* Categorías semánticas: number (ENTERO y DECIMAL), string (STRING), boolean *)</w:t>
        <w:br/>
        <w:t>(* (Verdadero/Falso); los arreglos son contenedores con tipo de elemento inferido. *)</w:t>
        <w:br/>
        <w:t>(* ENTERO y DECIMAL son formas léxicas, no tipos numéricos estáticos separados: *)</w:t>
        <w:br/>
        <w:t>(* ambos pertenecen a number IEEE-754 finito. Dimension e índices requieren *)</w:t>
        <w:br/>
        <w:t>(* un entero seguro; Leer lee number y LeerTexto lee string. *)</w:t>
      </w:r>
    </w:p>
    <w:p w14:paraId="2F0DF08B" w14:textId="77777777" w:rsidR="008B6FC5" w:rsidRDefault="004409C8">
      <w:pPr>
        <w:pStyle w:val="ReportHeading2"/>
      </w:pPr>
      <w:r>
        <w:t>Convenciones léxicas y sistema de tipos</w:t>
      </w:r>
    </w:p>
    <w:p w14:paraId="44D1D891" w14:textId="77777777" w:rsidR="008B6FC5" w:rsidRDefault="004409C8">
      <w:pPr>
        <w:pStyle w:val="ReportBody"/>
      </w:pPr>
      <w:r>
        <w:t>El lenguaje no declara tipos en la fuente: el análisis semántico infiere number, string o boolean. Entero y decimal son formas léxicas de number, no tipos estáticos distintos. El generador emite los literales enteros como int y los decimales y entradas Leer como float en Python; JavaScript usa Number. Leer asigna number y LeerTexto asigna string. Los tamaños de Dimension y los índices de arreglos deben ser enteros seguros. Los identificadores comienzan con letra Unicode o guion bajo, continúan con letras, marcas combinantes, dígitos o guion bajo y se normalizan a NFC. Las cadenas se escriben entre comillas dobles y admiten escapes de barra invertida, comilla, salto de línea y tabulación. El comentario de línea empieza con dos barras diagonales y termina en CR o LF. Las keywords no distinguen mayúsculas; los identificadores sí. Los números usan punto decimal, sin coma ni exponente.</w:t>
      </w:r>
    </w:p>
    <w:p w14:paraId="416E04DF" w14:textId="77777777" w:rsidR="008B6FC5" w:rsidRDefault="004409C8">
      <w:r>
        <w:br w:type="page"/>
      </w:r>
    </w:p>
    <w:p w14:paraId="34BDC2D1" w14:textId="77777777" w:rsidR="008B6FC5" w:rsidRDefault="004409C8">
      <w:bookmarkStart w:id="60" w:name="Sec05"/>
      <w:pPr>
        <w:pStyle w:val="ReportHeading1"/>
      </w:pPr>
      <w:bookmarkStart w:id="4" w:name="sec_5"/>
      <w:r>
        <w:lastRenderedPageBreak/>
        <w:t>5. Especificación técnica de los lenguajes de salida</w:t>
      </w:r>
      <w:bookmarkEnd w:id="4"/>
      <w:bookmarkEnd w:id="60"/>
    </w:p>
    <w:p w14:paraId="6EE7A3AA" w14:textId="77777777" w:rsidR="008B6FC5" w:rsidRDefault="004409C8">
      <w:pPr>
        <w:pStyle w:val="ReportBody"/>
      </w:pPr>
      <w:r>
        <w:t xml:space="preserve">Los destinos elegidos son Python 3.12 y JavaScript ejecutado con Node.js 22. Sus sintaxis y </w:t>
      </w:r>
      <w:proofErr w:type="spellStart"/>
      <w:r>
        <w:t>runtimes</w:t>
      </w:r>
      <w:proofErr w:type="spellEnd"/>
      <w:r>
        <w:t xml:space="preserve"> son distintos; por eso el compilador emite dos artefactos propios desde el AST, en vez de interpretar el pseudocódigo como si ambos lenguajes fueran intercambiables. Python documenta su gramática y semántica en la referencia del lenguaje; ECMAScript define las construcciones de JavaScript; Node.js provee los </w:t>
      </w:r>
      <w:proofErr w:type="spellStart"/>
      <w:r>
        <w:t>streams</w:t>
      </w:r>
      <w:proofErr w:type="spellEnd"/>
      <w:r>
        <w:t xml:space="preserve"> y las herramientas de consola utilizadas para entrada/salida (</w:t>
      </w:r>
      <w:proofErr w:type="spellStart"/>
      <w:r>
        <w:t>Ecma</w:t>
      </w:r>
      <w:proofErr w:type="spellEnd"/>
      <w:r>
        <w:t xml:space="preserve"> International, 2024; </w:t>
      </w:r>
      <w:proofErr w:type="spellStart"/>
      <w:r>
        <w:t>OpenJS</w:t>
      </w:r>
      <w:proofErr w:type="spellEnd"/>
      <w:r>
        <w:t xml:space="preserve"> </w:t>
      </w:r>
      <w:proofErr w:type="spellStart"/>
      <w:r>
        <w:t>Foundation</w:t>
      </w:r>
      <w:proofErr w:type="spellEnd"/>
      <w:r>
        <w:t xml:space="preserve">, s. f.; Python Software </w:t>
      </w:r>
      <w:proofErr w:type="spellStart"/>
      <w:r>
        <w:t>Foundation</w:t>
      </w:r>
      <w:proofErr w:type="spellEnd"/>
      <w:r>
        <w:t>, s. f.).</w:t>
      </w:r>
    </w:p>
    <w:p w14:paraId="477EA57F" w14:textId="77777777" w:rsidR="008B6FC5" w:rsidRDefault="004409C8">
      <w:pPr>
        <w:pStyle w:val="ReportHeading2"/>
      </w:pPr>
      <w:r>
        <w:t>Correspondencia de construcciones</w:t>
      </w:r>
    </w:p>
    <w:tbl>
      <w:tblPr>
        <w:tblStyle w:val="TableNormal"/>
        <w:tblW w:w="0" w:type="auto"/>
        <w:jc w:val="center"/>
        <w:tblInd w:w="0" w:type="dxa"/>
        <w:tblLayout w:type="fixed"/>
        <w:tblLook w:val="04A0" w:firstRow="1" w:lastRow="0" w:firstColumn="1" w:lastColumn="0" w:noHBand="0" w:noVBand="1"/>
      </w:tblPr>
      <w:tblGrid>
        <w:gridCol w:w="3120"/>
        <w:gridCol w:w="3456"/>
        <w:gridCol w:w="4464"/>
      </w:tblGrid>
      <w:tr w:rsidR="008B6FC5" w14:paraId="322DAA8F" w14:textId="77777777">
        <w:trPr>
          <w:cantSplit/>
          <w:tblHeader/>
          <w:jc w:val="center"/>
        </w:trPr>
        <w:tc>
          <w:tcPr>
            <w:tcW w:w="1440" w:type="dxa"/>
            <w:tcBorders>
              <w:top w:val="single" w:sz="6" w:space="0" w:color="D4E0D8"/>
              <w:left w:val="single" w:sz="6" w:space="0" w:color="D4E0D8"/>
              <w:bottom w:val="single" w:sz="6" w:space="0" w:color="D4E0D8"/>
              <w:right w:val="single" w:sz="6" w:space="0" w:color="D4E0D8"/>
            </w:tcBorders>
            <w:shd w:val="clear" w:color="auto" w:fill="285A48"/>
            <w:tcMar>
              <w:top w:w="90" w:type="dxa"/>
              <w:left w:w="110" w:type="dxa"/>
              <w:bottom w:w="90" w:type="dxa"/>
              <w:right w:w="110" w:type="dxa"/>
            </w:tcMar>
            <w:vAlign w:val="center"/>
          </w:tcPr>
          <w:p w14:paraId="609FD2F9" w14:textId="77777777" w:rsidR="008B6FC5" w:rsidRDefault="004409C8">
            <w:pPr>
              <w:spacing w:after="0" w:line="240" w:lineRule="auto"/>
              <w:jc w:val="center"/>
            </w:pPr>
            <w:r>
              <w:rPr>
                <w:rFonts w:ascii="Arial" w:eastAsia="Arial" w:hAnsi="Arial"/>
                <w:b/>
                <w:color w:val="FFFFFF"/>
                <w:sz w:val="17"/>
              </w:rPr>
              <w:t>Elemento</w:t>
            </w:r>
          </w:p>
        </w:tc>
        <w:tc>
          <w:tcPr>
            <w:tcW w:w="3456" w:type="dxa"/>
            <w:tcBorders>
              <w:top w:val="single" w:sz="6" w:space="0" w:color="D4E0D8"/>
              <w:left w:val="single" w:sz="6" w:space="0" w:color="D4E0D8"/>
              <w:bottom w:val="single" w:sz="6" w:space="0" w:color="D4E0D8"/>
              <w:right w:val="single" w:sz="6" w:space="0" w:color="D4E0D8"/>
            </w:tcBorders>
            <w:shd w:val="clear" w:color="auto" w:fill="285A48"/>
            <w:tcMar>
              <w:top w:w="90" w:type="dxa"/>
              <w:left w:w="110" w:type="dxa"/>
              <w:bottom w:w="90" w:type="dxa"/>
              <w:right w:w="110" w:type="dxa"/>
            </w:tcMar>
            <w:vAlign w:val="center"/>
          </w:tcPr>
          <w:p w14:paraId="6E6D927D" w14:textId="77777777" w:rsidR="008B6FC5" w:rsidRDefault="004409C8">
            <w:pPr>
              <w:spacing w:after="0" w:line="240" w:lineRule="auto"/>
              <w:jc w:val="center"/>
            </w:pPr>
            <w:r>
              <w:rPr>
                <w:rFonts w:ascii="Arial" w:eastAsia="Arial" w:hAnsi="Arial"/>
                <w:b/>
                <w:color w:val="FFFFFF"/>
                <w:sz w:val="17"/>
              </w:rPr>
              <w:t>Python 3.12</w:t>
            </w:r>
          </w:p>
        </w:tc>
        <w:tc>
          <w:tcPr>
            <w:tcW w:w="4464" w:type="dxa"/>
            <w:tcBorders>
              <w:top w:val="single" w:sz="6" w:space="0" w:color="D4E0D8"/>
              <w:left w:val="single" w:sz="6" w:space="0" w:color="D4E0D8"/>
              <w:bottom w:val="single" w:sz="6" w:space="0" w:color="D4E0D8"/>
              <w:right w:val="single" w:sz="6" w:space="0" w:color="D4E0D8"/>
            </w:tcBorders>
            <w:shd w:val="clear" w:color="auto" w:fill="285A48"/>
            <w:tcMar>
              <w:top w:w="90" w:type="dxa"/>
              <w:left w:w="110" w:type="dxa"/>
              <w:bottom w:w="90" w:type="dxa"/>
              <w:right w:w="110" w:type="dxa"/>
            </w:tcMar>
            <w:vAlign w:val="center"/>
          </w:tcPr>
          <w:p w14:paraId="7C99C529" w14:textId="77777777" w:rsidR="008B6FC5" w:rsidRDefault="004409C8">
            <w:pPr>
              <w:spacing w:after="0" w:line="240" w:lineRule="auto"/>
              <w:jc w:val="center"/>
            </w:pPr>
            <w:r>
              <w:rPr>
                <w:rFonts w:ascii="Arial" w:eastAsia="Arial" w:hAnsi="Arial"/>
                <w:b/>
                <w:color w:val="FFFFFF"/>
                <w:sz w:val="17"/>
              </w:rPr>
              <w:t>JavaScript · Node.js 22</w:t>
            </w:r>
          </w:p>
        </w:tc>
      </w:tr>
      <w:tr w:rsidR="008B6FC5" w14:paraId="2A14C990" w14:textId="77777777">
        <w:trPr>
          <w:jc w:val="center"/>
        </w:trPr>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1CF502BF" w14:textId="77777777" w:rsidR="008B6FC5" w:rsidRDefault="004409C8">
            <w:pPr>
              <w:spacing w:after="0" w:line="240" w:lineRule="auto"/>
            </w:pPr>
            <w:r>
              <w:rPr>
                <w:rFonts w:ascii="Arial" w:eastAsia="Arial" w:hAnsi="Arial"/>
                <w:color w:val="263337"/>
                <w:sz w:val="17"/>
              </w:rPr>
              <w:t>Asignación</w:t>
            </w:r>
          </w:p>
        </w:tc>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7E772835" w14:textId="77777777" w:rsidR="008B6FC5" w:rsidRDefault="004409C8">
            <w:pPr>
              <w:spacing w:after="0" w:line="240" w:lineRule="auto"/>
            </w:pPr>
            <w:r>
              <w:rPr>
                <w:rFonts w:ascii="Arial" w:eastAsia="Arial" w:hAnsi="Arial"/>
                <w:color w:val="263337"/>
                <w:sz w:val="17"/>
              </w:rPr>
              <w:t>nombre = expresión</w:t>
            </w:r>
          </w:p>
        </w:tc>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3C4E7CC1" w14:textId="77777777" w:rsidR="008B6FC5" w:rsidRDefault="004409C8">
            <w:pPr>
              <w:spacing w:after="0" w:line="240" w:lineRule="auto"/>
            </w:pPr>
            <w:proofErr w:type="spellStart"/>
            <w:r>
              <w:rPr>
                <w:rFonts w:ascii="Arial" w:eastAsia="Arial" w:hAnsi="Arial"/>
                <w:color w:val="263337"/>
                <w:sz w:val="17"/>
              </w:rPr>
              <w:t>let</w:t>
            </w:r>
            <w:proofErr w:type="spellEnd"/>
            <w:r>
              <w:rPr>
                <w:rFonts w:ascii="Arial" w:eastAsia="Arial" w:hAnsi="Arial"/>
                <w:color w:val="263337"/>
                <w:sz w:val="17"/>
              </w:rPr>
              <w:t xml:space="preserve"> nombre = expresión;</w:t>
            </w:r>
          </w:p>
        </w:tc>
      </w:tr>
      <w:tr w:rsidR="008B6FC5" w14:paraId="0DF18973" w14:textId="77777777">
        <w:trPr>
          <w:jc w:val="center"/>
        </w:trPr>
        <w:tc>
          <w:tcPr>
            <w:tcW w:w="3120" w:type="dxa"/>
            <w:tcBorders>
              <w:top w:val="single" w:sz="6" w:space="0" w:color="D4E0D8"/>
              <w:left w:val="single" w:sz="6" w:space="0" w:color="D4E0D8"/>
              <w:bottom w:val="single" w:sz="6" w:space="0" w:color="D4E0D8"/>
              <w:right w:val="single" w:sz="6" w:space="0" w:color="D4E0D8"/>
            </w:tcBorders>
            <w:shd w:val="clear" w:color="auto" w:fill="F4F7F3"/>
            <w:tcMar>
              <w:top w:w="90" w:type="dxa"/>
              <w:left w:w="110" w:type="dxa"/>
              <w:bottom w:w="90" w:type="dxa"/>
              <w:right w:w="110" w:type="dxa"/>
            </w:tcMar>
            <w:vAlign w:val="center"/>
          </w:tcPr>
          <w:p w14:paraId="7A855DCB" w14:textId="77777777" w:rsidR="008B6FC5" w:rsidRDefault="004409C8">
            <w:pPr>
              <w:spacing w:after="0" w:line="240" w:lineRule="auto"/>
            </w:pPr>
            <w:r>
              <w:rPr>
                <w:rFonts w:ascii="Arial" w:eastAsia="Arial" w:hAnsi="Arial"/>
                <w:color w:val="263337"/>
                <w:sz w:val="17"/>
              </w:rPr>
              <w:t>Aritmética</w:t>
            </w:r>
          </w:p>
        </w:tc>
        <w:tc>
          <w:tcPr>
            <w:tcW w:w="3120" w:type="dxa"/>
            <w:tcBorders>
              <w:top w:val="single" w:sz="6" w:space="0" w:color="D4E0D8"/>
              <w:left w:val="single" w:sz="6" w:space="0" w:color="D4E0D8"/>
              <w:bottom w:val="single" w:sz="6" w:space="0" w:color="D4E0D8"/>
              <w:right w:val="single" w:sz="6" w:space="0" w:color="D4E0D8"/>
            </w:tcBorders>
            <w:shd w:val="clear" w:color="auto" w:fill="F4F7F3"/>
            <w:tcMar>
              <w:top w:w="90" w:type="dxa"/>
              <w:left w:w="110" w:type="dxa"/>
              <w:bottom w:w="90" w:type="dxa"/>
              <w:right w:w="110" w:type="dxa"/>
            </w:tcMar>
            <w:vAlign w:val="center"/>
          </w:tcPr>
          <w:p w14:paraId="696C35B2" w14:textId="77777777" w:rsidR="008B6FC5" w:rsidRDefault="004409C8">
            <w:pPr>
              <w:spacing w:after="0" w:line="240" w:lineRule="auto"/>
            </w:pPr>
            <w:r>
              <w:rPr>
                <w:rFonts w:ascii="Arial" w:eastAsia="Arial" w:hAnsi="Arial"/>
                <w:color w:val="263337"/>
                <w:sz w:val="17"/>
              </w:rPr>
              <w:t>+, -, *, /, %; los paréntesis preservan agrupación.</w:t>
            </w:r>
          </w:p>
        </w:tc>
        <w:tc>
          <w:tcPr>
            <w:tcW w:w="3120" w:type="dxa"/>
            <w:tcBorders>
              <w:top w:val="single" w:sz="6" w:space="0" w:color="D4E0D8"/>
              <w:left w:val="single" w:sz="6" w:space="0" w:color="D4E0D8"/>
              <w:bottom w:val="single" w:sz="6" w:space="0" w:color="D4E0D8"/>
              <w:right w:val="single" w:sz="6" w:space="0" w:color="D4E0D8"/>
            </w:tcBorders>
            <w:shd w:val="clear" w:color="auto" w:fill="F4F7F3"/>
            <w:tcMar>
              <w:top w:w="90" w:type="dxa"/>
              <w:left w:w="110" w:type="dxa"/>
              <w:bottom w:w="90" w:type="dxa"/>
              <w:right w:w="110" w:type="dxa"/>
            </w:tcMar>
            <w:vAlign w:val="center"/>
          </w:tcPr>
          <w:p w14:paraId="7754DEBA" w14:textId="77777777" w:rsidR="008B6FC5" w:rsidRDefault="004409C8">
            <w:pPr>
              <w:spacing w:after="0" w:line="240" w:lineRule="auto"/>
            </w:pPr>
            <w:r>
              <w:rPr>
                <w:rFonts w:ascii="Arial" w:eastAsia="Arial" w:hAnsi="Arial"/>
                <w:color w:val="263337"/>
                <w:sz w:val="17"/>
              </w:rPr>
              <w:t>+, -, *, /, %; Number aplica doble precisión.</w:t>
            </w:r>
          </w:p>
        </w:tc>
      </w:tr>
      <w:tr w:rsidR="008B6FC5" w14:paraId="1FDE686E" w14:textId="77777777">
        <w:trPr>
          <w:jc w:val="center"/>
        </w:trPr>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0632A845" w14:textId="77777777" w:rsidR="008B6FC5" w:rsidRDefault="004409C8">
            <w:pPr>
              <w:spacing w:after="0" w:line="240" w:lineRule="auto"/>
            </w:pPr>
            <w:r>
              <w:rPr>
                <w:rFonts w:ascii="Arial" w:eastAsia="Arial" w:hAnsi="Arial"/>
                <w:color w:val="263337"/>
                <w:sz w:val="17"/>
              </w:rPr>
              <w:t>Condición</w:t>
            </w:r>
          </w:p>
        </w:tc>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606E07FA" w14:textId="77777777" w:rsidR="008B6FC5" w:rsidRDefault="004409C8">
            <w:pPr>
              <w:spacing w:after="0" w:line="240" w:lineRule="auto"/>
            </w:pPr>
            <w:proofErr w:type="spellStart"/>
            <w:r>
              <w:rPr>
                <w:rFonts w:ascii="Arial" w:eastAsia="Arial" w:hAnsi="Arial"/>
                <w:color w:val="263337"/>
                <w:sz w:val="17"/>
              </w:rPr>
              <w:t>if</w:t>
            </w:r>
            <w:proofErr w:type="spellEnd"/>
            <w:r>
              <w:rPr>
                <w:rFonts w:ascii="Arial" w:eastAsia="Arial" w:hAnsi="Arial"/>
                <w:color w:val="263337"/>
                <w:sz w:val="17"/>
              </w:rPr>
              <w:t xml:space="preserve"> / </w:t>
            </w:r>
            <w:proofErr w:type="spellStart"/>
            <w:r>
              <w:rPr>
                <w:rFonts w:ascii="Arial" w:eastAsia="Arial" w:hAnsi="Arial"/>
                <w:color w:val="263337"/>
                <w:sz w:val="17"/>
              </w:rPr>
              <w:t>else</w:t>
            </w:r>
            <w:proofErr w:type="spellEnd"/>
            <w:r>
              <w:rPr>
                <w:rFonts w:ascii="Arial" w:eastAsia="Arial" w:hAnsi="Arial"/>
                <w:color w:val="263337"/>
                <w:sz w:val="17"/>
              </w:rPr>
              <w:t xml:space="preserve">; Y, O, No se traducen a and, </w:t>
            </w:r>
            <w:proofErr w:type="spellStart"/>
            <w:r>
              <w:rPr>
                <w:rFonts w:ascii="Arial" w:eastAsia="Arial" w:hAnsi="Arial"/>
                <w:color w:val="263337"/>
                <w:sz w:val="17"/>
              </w:rPr>
              <w:t>or</w:t>
            </w:r>
            <w:proofErr w:type="spellEnd"/>
            <w:r>
              <w:rPr>
                <w:rFonts w:ascii="Arial" w:eastAsia="Arial" w:hAnsi="Arial"/>
                <w:color w:val="263337"/>
                <w:sz w:val="17"/>
              </w:rPr>
              <w:t xml:space="preserve">, </w:t>
            </w:r>
            <w:proofErr w:type="spellStart"/>
            <w:r>
              <w:rPr>
                <w:rFonts w:ascii="Arial" w:eastAsia="Arial" w:hAnsi="Arial"/>
                <w:color w:val="263337"/>
                <w:sz w:val="17"/>
              </w:rPr>
              <w:t>not</w:t>
            </w:r>
            <w:proofErr w:type="spellEnd"/>
            <w:r>
              <w:rPr>
                <w:rFonts w:ascii="Arial" w:eastAsia="Arial" w:hAnsi="Arial"/>
                <w:color w:val="263337"/>
                <w:sz w:val="17"/>
              </w:rPr>
              <w:t>.</w:t>
            </w:r>
          </w:p>
        </w:tc>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7834E266" w14:textId="77777777" w:rsidR="008B6FC5" w:rsidRDefault="004409C8">
            <w:pPr>
              <w:spacing w:after="0" w:line="240" w:lineRule="auto"/>
            </w:pPr>
            <w:proofErr w:type="spellStart"/>
            <w:r>
              <w:rPr>
                <w:rFonts w:ascii="Arial" w:eastAsia="Arial" w:hAnsi="Arial"/>
                <w:color w:val="263337"/>
                <w:sz w:val="17"/>
              </w:rPr>
              <w:t>if</w:t>
            </w:r>
            <w:proofErr w:type="spellEnd"/>
            <w:r>
              <w:rPr>
                <w:rFonts w:ascii="Arial" w:eastAsia="Arial" w:hAnsi="Arial"/>
                <w:color w:val="263337"/>
                <w:sz w:val="17"/>
              </w:rPr>
              <w:t xml:space="preserve"> / </w:t>
            </w:r>
            <w:proofErr w:type="spellStart"/>
            <w:r>
              <w:rPr>
                <w:rFonts w:ascii="Arial" w:eastAsia="Arial" w:hAnsi="Arial"/>
                <w:color w:val="263337"/>
                <w:sz w:val="17"/>
              </w:rPr>
              <w:t>else</w:t>
            </w:r>
            <w:proofErr w:type="spellEnd"/>
            <w:r>
              <w:rPr>
                <w:rFonts w:ascii="Arial" w:eastAsia="Arial" w:hAnsi="Arial"/>
                <w:color w:val="263337"/>
                <w:sz w:val="17"/>
              </w:rPr>
              <w:t xml:space="preserve"> con llaves; Y, O, No se traducen a &amp;&amp;, ||, !.</w:t>
            </w:r>
          </w:p>
        </w:tc>
      </w:tr>
      <w:tr w:rsidR="008B6FC5" w14:paraId="216CF20B" w14:textId="77777777">
        <w:trPr>
          <w:jc w:val="center"/>
        </w:trPr>
        <w:tc>
          <w:tcPr>
            <w:tcW w:w="3120" w:type="dxa"/>
            <w:tcBorders>
              <w:top w:val="single" w:sz="6" w:space="0" w:color="D4E0D8"/>
              <w:left w:val="single" w:sz="6" w:space="0" w:color="D4E0D8"/>
              <w:bottom w:val="single" w:sz="6" w:space="0" w:color="D4E0D8"/>
              <w:right w:val="single" w:sz="6" w:space="0" w:color="D4E0D8"/>
            </w:tcBorders>
            <w:shd w:val="clear" w:color="auto" w:fill="F4F7F3"/>
            <w:tcMar>
              <w:top w:w="90" w:type="dxa"/>
              <w:left w:w="110" w:type="dxa"/>
              <w:bottom w:w="90" w:type="dxa"/>
              <w:right w:w="110" w:type="dxa"/>
            </w:tcMar>
            <w:vAlign w:val="center"/>
          </w:tcPr>
          <w:p w14:paraId="325903BA" w14:textId="77777777" w:rsidR="008B6FC5" w:rsidRDefault="004409C8">
            <w:pPr>
              <w:spacing w:after="0" w:line="240" w:lineRule="auto"/>
            </w:pPr>
            <w:r>
              <w:rPr>
                <w:rFonts w:ascii="Arial" w:eastAsia="Arial" w:hAnsi="Arial"/>
                <w:color w:val="263337"/>
                <w:sz w:val="17"/>
              </w:rPr>
              <w:t>Ciclo Para</w:t>
            </w:r>
          </w:p>
        </w:tc>
        <w:tc>
          <w:tcPr>
            <w:tcW w:w="3120" w:type="dxa"/>
            <w:tcBorders>
              <w:top w:val="single" w:sz="6" w:space="0" w:color="D4E0D8"/>
              <w:left w:val="single" w:sz="6" w:space="0" w:color="D4E0D8"/>
              <w:bottom w:val="single" w:sz="6" w:space="0" w:color="D4E0D8"/>
              <w:right w:val="single" w:sz="6" w:space="0" w:color="D4E0D8"/>
            </w:tcBorders>
            <w:shd w:val="clear" w:color="auto" w:fill="F4F7F3"/>
            <w:tcMar>
              <w:top w:w="90" w:type="dxa"/>
              <w:left w:w="110" w:type="dxa"/>
              <w:bottom w:w="90" w:type="dxa"/>
              <w:right w:w="110" w:type="dxa"/>
            </w:tcMar>
            <w:vAlign w:val="center"/>
          </w:tcPr>
          <w:p w14:paraId="1BF0C027" w14:textId="77777777" w:rsidR="008B6FC5" w:rsidRDefault="004409C8">
            <w:pPr>
              <w:spacing w:after="0" w:line="240" w:lineRule="auto"/>
            </w:pPr>
            <w:r>
              <w:rPr>
                <w:rFonts w:ascii="Arial" w:eastAsia="Arial" w:hAnsi="Arial"/>
                <w:color w:val="263337"/>
                <w:sz w:val="17"/>
              </w:rPr>
              <w:t>Iteración inclusiva con dirección y paso controlados por el generador.</w:t>
            </w:r>
          </w:p>
        </w:tc>
        <w:tc>
          <w:tcPr>
            <w:tcW w:w="3120" w:type="dxa"/>
            <w:tcBorders>
              <w:top w:val="single" w:sz="6" w:space="0" w:color="D4E0D8"/>
              <w:left w:val="single" w:sz="6" w:space="0" w:color="D4E0D8"/>
              <w:bottom w:val="single" w:sz="6" w:space="0" w:color="D4E0D8"/>
              <w:right w:val="single" w:sz="6" w:space="0" w:color="D4E0D8"/>
            </w:tcBorders>
            <w:shd w:val="clear" w:color="auto" w:fill="F4F7F3"/>
            <w:tcMar>
              <w:top w:w="90" w:type="dxa"/>
              <w:left w:w="110" w:type="dxa"/>
              <w:bottom w:w="90" w:type="dxa"/>
              <w:right w:w="110" w:type="dxa"/>
            </w:tcMar>
            <w:vAlign w:val="center"/>
          </w:tcPr>
          <w:p w14:paraId="7E0859E0" w14:textId="77777777" w:rsidR="008B6FC5" w:rsidRDefault="004409C8">
            <w:pPr>
              <w:spacing w:after="0" w:line="240" w:lineRule="auto"/>
            </w:pPr>
            <w:r>
              <w:rPr>
                <w:rFonts w:ascii="Arial" w:eastAsia="Arial" w:hAnsi="Arial"/>
                <w:color w:val="263337"/>
                <w:sz w:val="17"/>
              </w:rPr>
              <w:t>Bucle for con comparación inclusiva y paso controlado.</w:t>
            </w:r>
          </w:p>
        </w:tc>
      </w:tr>
      <w:tr w:rsidR="008B6FC5" w14:paraId="2DA890BA" w14:textId="77777777">
        <w:trPr>
          <w:jc w:val="center"/>
        </w:trPr>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6B8E59A6" w14:textId="77777777" w:rsidR="008B6FC5" w:rsidRDefault="004409C8">
            <w:pPr>
              <w:spacing w:after="0" w:line="240" w:lineRule="auto"/>
            </w:pPr>
            <w:r>
              <w:rPr>
                <w:rFonts w:ascii="Arial" w:eastAsia="Arial" w:hAnsi="Arial"/>
                <w:color w:val="263337"/>
                <w:sz w:val="17"/>
              </w:rPr>
              <w:t>Arreglos</w:t>
            </w:r>
          </w:p>
        </w:tc>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4F122459" w14:textId="77777777" w:rsidR="008B6FC5" w:rsidRDefault="004409C8">
            <w:pPr>
              <w:spacing w:after="0" w:line="240" w:lineRule="auto"/>
            </w:pPr>
            <w:r>
              <w:rPr>
                <w:rFonts w:ascii="Arial" w:eastAsia="Arial" w:hAnsi="Arial"/>
                <w:color w:val="263337"/>
                <w:sz w:val="17"/>
              </w:rPr>
              <w:t xml:space="preserve">El </w:t>
            </w:r>
            <w:proofErr w:type="spellStart"/>
            <w:r>
              <w:rPr>
                <w:rFonts w:ascii="Arial" w:eastAsia="Arial" w:hAnsi="Arial"/>
                <w:color w:val="263337"/>
                <w:sz w:val="17"/>
              </w:rPr>
              <w:t>runtime</w:t>
            </w:r>
            <w:proofErr w:type="spellEnd"/>
            <w:r>
              <w:rPr>
                <w:rFonts w:ascii="Arial" w:eastAsia="Arial" w:hAnsi="Arial"/>
                <w:color w:val="263337"/>
                <w:sz w:val="17"/>
              </w:rPr>
              <w:t xml:space="preserve"> conserva los índices fuente </w:t>
            </w:r>
            <w:proofErr w:type="gramStart"/>
            <w:r>
              <w:rPr>
                <w:rFonts w:ascii="Arial" w:eastAsia="Arial" w:hAnsi="Arial"/>
                <w:color w:val="263337"/>
                <w:sz w:val="17"/>
              </w:rPr>
              <w:t>1..</w:t>
            </w:r>
            <w:proofErr w:type="gramEnd"/>
            <w:r>
              <w:rPr>
                <w:rFonts w:ascii="Arial" w:eastAsia="Arial" w:hAnsi="Arial"/>
                <w:color w:val="263337"/>
                <w:sz w:val="17"/>
              </w:rPr>
              <w:t>n mediante acceso controlado.</w:t>
            </w:r>
          </w:p>
        </w:tc>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06094BAB" w14:textId="77777777" w:rsidR="008B6FC5" w:rsidRDefault="004409C8">
            <w:pPr>
              <w:spacing w:after="0" w:line="240" w:lineRule="auto"/>
            </w:pPr>
            <w:r>
              <w:rPr>
                <w:rFonts w:ascii="Arial" w:eastAsia="Arial" w:hAnsi="Arial"/>
                <w:color w:val="263337"/>
                <w:sz w:val="17"/>
              </w:rPr>
              <w:t xml:space="preserve">El </w:t>
            </w:r>
            <w:proofErr w:type="spellStart"/>
            <w:r>
              <w:rPr>
                <w:rFonts w:ascii="Arial" w:eastAsia="Arial" w:hAnsi="Arial"/>
                <w:color w:val="263337"/>
                <w:sz w:val="17"/>
              </w:rPr>
              <w:t>runtime</w:t>
            </w:r>
            <w:proofErr w:type="spellEnd"/>
            <w:r>
              <w:rPr>
                <w:rFonts w:ascii="Arial" w:eastAsia="Arial" w:hAnsi="Arial"/>
                <w:color w:val="263337"/>
                <w:sz w:val="17"/>
              </w:rPr>
              <w:t xml:space="preserve"> adapta índices fuente </w:t>
            </w:r>
            <w:proofErr w:type="gramStart"/>
            <w:r>
              <w:rPr>
                <w:rFonts w:ascii="Arial" w:eastAsia="Arial" w:hAnsi="Arial"/>
                <w:color w:val="263337"/>
                <w:sz w:val="17"/>
              </w:rPr>
              <w:t>1..</w:t>
            </w:r>
            <w:proofErr w:type="gramEnd"/>
            <w:r>
              <w:rPr>
                <w:rFonts w:ascii="Arial" w:eastAsia="Arial" w:hAnsi="Arial"/>
                <w:color w:val="263337"/>
                <w:sz w:val="17"/>
              </w:rPr>
              <w:t>n y comprueba límites.</w:t>
            </w:r>
          </w:p>
        </w:tc>
      </w:tr>
      <w:tr w:rsidR="008B6FC5" w14:paraId="0BDA8463" w14:textId="77777777">
        <w:trPr>
          <w:jc w:val="center"/>
        </w:trPr>
        <w:tc>
          <w:tcPr>
            <w:tcW w:w="3120" w:type="dxa"/>
            <w:tcBorders>
              <w:top w:val="single" w:sz="6" w:space="0" w:color="D4E0D8"/>
              <w:left w:val="single" w:sz="6" w:space="0" w:color="D4E0D8"/>
              <w:bottom w:val="single" w:sz="6" w:space="0" w:color="D4E0D8"/>
              <w:right w:val="single" w:sz="6" w:space="0" w:color="D4E0D8"/>
            </w:tcBorders>
            <w:shd w:val="clear" w:color="auto" w:fill="F4F7F3"/>
            <w:tcMar>
              <w:top w:w="90" w:type="dxa"/>
              <w:left w:w="110" w:type="dxa"/>
              <w:bottom w:w="90" w:type="dxa"/>
              <w:right w:w="110" w:type="dxa"/>
            </w:tcMar>
            <w:vAlign w:val="center"/>
          </w:tcPr>
          <w:p w14:paraId="36C4EC7D" w14:textId="77777777" w:rsidR="008B6FC5" w:rsidRDefault="004409C8">
            <w:pPr>
              <w:spacing w:after="0" w:line="240" w:lineRule="auto"/>
            </w:pPr>
            <w:r>
              <w:rPr>
                <w:rFonts w:ascii="Arial" w:eastAsia="Arial" w:hAnsi="Arial"/>
                <w:color w:val="263337"/>
                <w:sz w:val="17"/>
              </w:rPr>
              <w:t>Funciones</w:t>
            </w:r>
          </w:p>
        </w:tc>
        <w:tc>
          <w:tcPr>
            <w:tcW w:w="3120" w:type="dxa"/>
            <w:tcBorders>
              <w:top w:val="single" w:sz="6" w:space="0" w:color="D4E0D8"/>
              <w:left w:val="single" w:sz="6" w:space="0" w:color="D4E0D8"/>
              <w:bottom w:val="single" w:sz="6" w:space="0" w:color="D4E0D8"/>
              <w:right w:val="single" w:sz="6" w:space="0" w:color="D4E0D8"/>
            </w:tcBorders>
            <w:shd w:val="clear" w:color="auto" w:fill="F4F7F3"/>
            <w:tcMar>
              <w:top w:w="90" w:type="dxa"/>
              <w:left w:w="110" w:type="dxa"/>
              <w:bottom w:w="90" w:type="dxa"/>
              <w:right w:w="110" w:type="dxa"/>
            </w:tcMar>
            <w:vAlign w:val="center"/>
          </w:tcPr>
          <w:p w14:paraId="3BB144BD" w14:textId="77777777" w:rsidR="008B6FC5" w:rsidRDefault="004409C8">
            <w:pPr>
              <w:spacing w:after="0" w:line="240" w:lineRule="auto"/>
            </w:pPr>
            <w:proofErr w:type="spellStart"/>
            <w:r>
              <w:rPr>
                <w:rFonts w:ascii="Arial" w:eastAsia="Arial" w:hAnsi="Arial"/>
                <w:color w:val="263337"/>
                <w:sz w:val="17"/>
              </w:rPr>
              <w:t>def</w:t>
            </w:r>
            <w:proofErr w:type="spellEnd"/>
            <w:r>
              <w:rPr>
                <w:rFonts w:ascii="Arial" w:eastAsia="Arial" w:hAnsi="Arial"/>
                <w:color w:val="263337"/>
                <w:sz w:val="17"/>
              </w:rPr>
              <w:t xml:space="preserve">, parámetros locales y </w:t>
            </w:r>
            <w:proofErr w:type="spellStart"/>
            <w:r>
              <w:rPr>
                <w:rFonts w:ascii="Arial" w:eastAsia="Arial" w:hAnsi="Arial"/>
                <w:color w:val="263337"/>
                <w:sz w:val="17"/>
              </w:rPr>
              <w:t>return</w:t>
            </w:r>
            <w:proofErr w:type="spellEnd"/>
            <w:r>
              <w:rPr>
                <w:rFonts w:ascii="Arial" w:eastAsia="Arial" w:hAnsi="Arial"/>
                <w:color w:val="263337"/>
                <w:sz w:val="17"/>
              </w:rPr>
              <w:t>.</w:t>
            </w:r>
          </w:p>
        </w:tc>
        <w:tc>
          <w:tcPr>
            <w:tcW w:w="3120" w:type="dxa"/>
            <w:tcBorders>
              <w:top w:val="single" w:sz="6" w:space="0" w:color="D4E0D8"/>
              <w:left w:val="single" w:sz="6" w:space="0" w:color="D4E0D8"/>
              <w:bottom w:val="single" w:sz="6" w:space="0" w:color="D4E0D8"/>
              <w:right w:val="single" w:sz="6" w:space="0" w:color="D4E0D8"/>
            </w:tcBorders>
            <w:shd w:val="clear" w:color="auto" w:fill="F4F7F3"/>
            <w:tcMar>
              <w:top w:w="90" w:type="dxa"/>
              <w:left w:w="110" w:type="dxa"/>
              <w:bottom w:w="90" w:type="dxa"/>
              <w:right w:w="110" w:type="dxa"/>
            </w:tcMar>
            <w:vAlign w:val="center"/>
          </w:tcPr>
          <w:p w14:paraId="1AA6CB86" w14:textId="77777777" w:rsidR="008B6FC5" w:rsidRDefault="004409C8">
            <w:pPr>
              <w:spacing w:after="0" w:line="240" w:lineRule="auto"/>
            </w:pPr>
            <w:proofErr w:type="spellStart"/>
            <w:r>
              <w:rPr>
                <w:rFonts w:ascii="Arial" w:eastAsia="Arial" w:hAnsi="Arial"/>
                <w:color w:val="263337"/>
                <w:sz w:val="17"/>
              </w:rPr>
              <w:t>function</w:t>
            </w:r>
            <w:proofErr w:type="spellEnd"/>
            <w:r>
              <w:rPr>
                <w:rFonts w:ascii="Arial" w:eastAsia="Arial" w:hAnsi="Arial"/>
                <w:color w:val="263337"/>
                <w:sz w:val="17"/>
              </w:rPr>
              <w:t xml:space="preserve">, parámetros locales y </w:t>
            </w:r>
            <w:proofErr w:type="spellStart"/>
            <w:r>
              <w:rPr>
                <w:rFonts w:ascii="Arial" w:eastAsia="Arial" w:hAnsi="Arial"/>
                <w:color w:val="263337"/>
                <w:sz w:val="17"/>
              </w:rPr>
              <w:t>return</w:t>
            </w:r>
            <w:proofErr w:type="spellEnd"/>
            <w:r>
              <w:rPr>
                <w:rFonts w:ascii="Arial" w:eastAsia="Arial" w:hAnsi="Arial"/>
                <w:color w:val="263337"/>
                <w:sz w:val="17"/>
              </w:rPr>
              <w:t>.</w:t>
            </w:r>
          </w:p>
        </w:tc>
      </w:tr>
      <w:tr w:rsidR="008B6FC5" w14:paraId="7DDE9DB3" w14:textId="77777777">
        <w:trPr>
          <w:jc w:val="center"/>
        </w:trPr>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59157FFD" w14:textId="77777777" w:rsidR="008B6FC5" w:rsidRDefault="004409C8">
            <w:pPr>
              <w:spacing w:after="0" w:line="240" w:lineRule="auto"/>
            </w:pPr>
            <w:r>
              <w:rPr>
                <w:rFonts w:ascii="Arial" w:eastAsia="Arial" w:hAnsi="Arial"/>
                <w:color w:val="263337"/>
                <w:sz w:val="17"/>
              </w:rPr>
              <w:t xml:space="preserve">Leer / </w:t>
            </w:r>
            <w:proofErr w:type="spellStart"/>
            <w:r>
              <w:rPr>
                <w:rFonts w:ascii="Arial" w:eastAsia="Arial" w:hAnsi="Arial"/>
                <w:color w:val="263337"/>
                <w:sz w:val="17"/>
              </w:rPr>
              <w:t>LeerTexto</w:t>
            </w:r>
            <w:proofErr w:type="spellEnd"/>
          </w:p>
        </w:tc>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28DBE554" w14:textId="77777777" w:rsidR="008B6FC5" w:rsidRDefault="004409C8">
            <w:pPr>
              <w:spacing w:after="0" w:line="240" w:lineRule="auto"/>
            </w:pPr>
            <w:proofErr w:type="spellStart"/>
            <w:r>
              <w:rPr>
                <w:rFonts w:ascii="Arial" w:eastAsia="Arial" w:hAnsi="Arial"/>
                <w:color w:val="263337"/>
                <w:sz w:val="17"/>
              </w:rPr>
              <w:t>stdin</w:t>
            </w:r>
            <w:proofErr w:type="spellEnd"/>
            <w:r>
              <w:rPr>
                <w:rFonts w:ascii="Arial" w:eastAsia="Arial" w:hAnsi="Arial"/>
                <w:color w:val="263337"/>
                <w:sz w:val="17"/>
              </w:rPr>
              <w:t xml:space="preserve">; conversión numérica finita para Leer; texto para </w:t>
            </w:r>
            <w:proofErr w:type="spellStart"/>
            <w:r>
              <w:rPr>
                <w:rFonts w:ascii="Arial" w:eastAsia="Arial" w:hAnsi="Arial"/>
                <w:color w:val="263337"/>
                <w:sz w:val="17"/>
              </w:rPr>
              <w:t>LeerTexto</w:t>
            </w:r>
            <w:proofErr w:type="spellEnd"/>
            <w:r>
              <w:rPr>
                <w:rFonts w:ascii="Arial" w:eastAsia="Arial" w:hAnsi="Arial"/>
                <w:color w:val="263337"/>
                <w:sz w:val="17"/>
              </w:rPr>
              <w:t>.</w:t>
            </w:r>
          </w:p>
        </w:tc>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16F987E2" w14:textId="77777777" w:rsidR="008B6FC5" w:rsidRDefault="004409C8">
            <w:pPr>
              <w:spacing w:after="0" w:line="240" w:lineRule="auto"/>
            </w:pPr>
            <w:proofErr w:type="spellStart"/>
            <w:r>
              <w:rPr>
                <w:rFonts w:ascii="Arial" w:eastAsia="Arial" w:hAnsi="Arial"/>
                <w:color w:val="263337"/>
                <w:sz w:val="17"/>
              </w:rPr>
              <w:t>readline</w:t>
            </w:r>
            <w:proofErr w:type="spellEnd"/>
            <w:r>
              <w:rPr>
                <w:rFonts w:ascii="Arial" w:eastAsia="Arial" w:hAnsi="Arial"/>
                <w:color w:val="263337"/>
                <w:sz w:val="17"/>
              </w:rPr>
              <w:t>/entrada real; conversión numérica finita para Leer.</w:t>
            </w:r>
          </w:p>
        </w:tc>
      </w:tr>
      <w:tr w:rsidR="008B6FC5" w14:paraId="0244B7F5" w14:textId="77777777">
        <w:trPr>
          <w:jc w:val="center"/>
        </w:trPr>
        <w:tc>
          <w:tcPr>
            <w:tcW w:w="3120" w:type="dxa"/>
            <w:tcBorders>
              <w:top w:val="single" w:sz="6" w:space="0" w:color="D4E0D8"/>
              <w:left w:val="single" w:sz="6" w:space="0" w:color="D4E0D8"/>
              <w:bottom w:val="single" w:sz="6" w:space="0" w:color="D4E0D8"/>
              <w:right w:val="single" w:sz="6" w:space="0" w:color="D4E0D8"/>
            </w:tcBorders>
            <w:shd w:val="clear" w:color="auto" w:fill="F4F7F3"/>
            <w:tcMar>
              <w:top w:w="90" w:type="dxa"/>
              <w:left w:w="110" w:type="dxa"/>
              <w:bottom w:w="90" w:type="dxa"/>
              <w:right w:w="110" w:type="dxa"/>
            </w:tcMar>
            <w:vAlign w:val="center"/>
          </w:tcPr>
          <w:p w14:paraId="6054C97F" w14:textId="77777777" w:rsidR="008B6FC5" w:rsidRDefault="004409C8">
            <w:pPr>
              <w:spacing w:after="0" w:line="240" w:lineRule="auto"/>
            </w:pPr>
            <w:r>
              <w:rPr>
                <w:rFonts w:ascii="Arial" w:eastAsia="Arial" w:hAnsi="Arial"/>
                <w:color w:val="263337"/>
                <w:sz w:val="17"/>
              </w:rPr>
              <w:t>Escribir</w:t>
            </w:r>
          </w:p>
        </w:tc>
        <w:tc>
          <w:tcPr>
            <w:tcW w:w="3120" w:type="dxa"/>
            <w:tcBorders>
              <w:top w:val="single" w:sz="6" w:space="0" w:color="D4E0D8"/>
              <w:left w:val="single" w:sz="6" w:space="0" w:color="D4E0D8"/>
              <w:bottom w:val="single" w:sz="6" w:space="0" w:color="D4E0D8"/>
              <w:right w:val="single" w:sz="6" w:space="0" w:color="D4E0D8"/>
            </w:tcBorders>
            <w:shd w:val="clear" w:color="auto" w:fill="F4F7F3"/>
            <w:tcMar>
              <w:top w:w="90" w:type="dxa"/>
              <w:left w:w="110" w:type="dxa"/>
              <w:bottom w:w="90" w:type="dxa"/>
              <w:right w:w="110" w:type="dxa"/>
            </w:tcMar>
            <w:vAlign w:val="center"/>
          </w:tcPr>
          <w:p w14:paraId="2FC2F583" w14:textId="77777777" w:rsidR="008B6FC5" w:rsidRDefault="004409C8">
            <w:pPr>
              <w:spacing w:after="0" w:line="240" w:lineRule="auto"/>
            </w:pPr>
            <w:r>
              <w:rPr>
                <w:rFonts w:ascii="Arial" w:eastAsia="Arial" w:hAnsi="Arial"/>
                <w:color w:val="263337"/>
                <w:sz w:val="17"/>
              </w:rPr>
              <w:t>Concatenación sin separador implícito; un salto de línea.</w:t>
            </w:r>
          </w:p>
        </w:tc>
        <w:tc>
          <w:tcPr>
            <w:tcW w:w="3120" w:type="dxa"/>
            <w:tcBorders>
              <w:top w:val="single" w:sz="6" w:space="0" w:color="D4E0D8"/>
              <w:left w:val="single" w:sz="6" w:space="0" w:color="D4E0D8"/>
              <w:bottom w:val="single" w:sz="6" w:space="0" w:color="D4E0D8"/>
              <w:right w:val="single" w:sz="6" w:space="0" w:color="D4E0D8"/>
            </w:tcBorders>
            <w:shd w:val="clear" w:color="auto" w:fill="F4F7F3"/>
            <w:tcMar>
              <w:top w:w="90" w:type="dxa"/>
              <w:left w:w="110" w:type="dxa"/>
              <w:bottom w:w="90" w:type="dxa"/>
              <w:right w:w="110" w:type="dxa"/>
            </w:tcMar>
            <w:vAlign w:val="center"/>
          </w:tcPr>
          <w:p w14:paraId="65517D67" w14:textId="77777777" w:rsidR="008B6FC5" w:rsidRDefault="004409C8">
            <w:pPr>
              <w:spacing w:after="0" w:line="240" w:lineRule="auto"/>
            </w:pPr>
            <w:proofErr w:type="spellStart"/>
            <w:proofErr w:type="gramStart"/>
            <w:r>
              <w:rPr>
                <w:rFonts w:ascii="Arial" w:eastAsia="Arial" w:hAnsi="Arial"/>
                <w:color w:val="263337"/>
                <w:sz w:val="17"/>
              </w:rPr>
              <w:t>process.stdout</w:t>
            </w:r>
            <w:proofErr w:type="spellEnd"/>
            <w:proofErr w:type="gramEnd"/>
            <w:r>
              <w:rPr>
                <w:rFonts w:ascii="Arial" w:eastAsia="Arial" w:hAnsi="Arial"/>
                <w:color w:val="263337"/>
                <w:sz w:val="17"/>
              </w:rPr>
              <w:t>; concatenación sin separador implícito; un salto de línea.</w:t>
            </w:r>
          </w:p>
        </w:tc>
      </w:tr>
    </w:tbl>
    <w:p>
      <w:pPr>
        <w:pStyle w:val="ReportHeading2"/>
      </w:pPr>
      <w:r>
        <w:t>Tipos fuente y equivalencia entre runtimes</w:t>
      </w:r>
    </w:p>
    <w:tbl>
      <w:tblPr>
        <w:tblStyle w:val="TableNormal"/>
        <w:tblW w:type="auto" w:w="0"/>
        <w:jc w:val="center"/>
        <w:tblLook w:firstColumn="1" w:firstRow="1" w:lastColumn="0" w:lastRow="0" w:noHBand="0" w:noVBand="1" w:val="04A0"/>
      </w:tblPr>
      <w:tblGrid>
        <w:gridCol w:w="2340"/>
        <w:gridCol w:w="2340"/>
        <w:gridCol w:w="2340"/>
        <w:gridCol w:w="2340"/>
      </w:tblGrid>
      <w:tr>
        <w:trPr>
          <w:tblHeader w:val="true"/>
        </w:trPr>
        <w:tc>
          <w:tcPr>
            <w:tcW w:type="dxa" w:w="1800"/>
            <w:shd w:fill="DCE8E2"/>
            <w:vAlign w:val="center"/>
          </w:tcPr>
          <w:p>
            <w:r>
              <w:rPr>
                <w:b/>
                <w:sz w:val="17"/>
              </w:rPr>
              <w:t>Dato fuente</w:t>
            </w:r>
          </w:p>
        </w:tc>
        <w:tc>
          <w:tcPr>
            <w:tcW w:type="dxa" w:w="2376"/>
            <w:shd w:fill="DCE8E2"/>
            <w:vAlign w:val="center"/>
          </w:tcPr>
          <w:p>
            <w:r>
              <w:rPr>
                <w:b/>
                <w:sz w:val="17"/>
              </w:rPr>
              <w:t>Python 3.12</w:t>
            </w:r>
          </w:p>
        </w:tc>
        <w:tc>
          <w:tcPr>
            <w:tcW w:type="dxa" w:w="2376"/>
            <w:shd w:fill="DCE8E2"/>
            <w:vAlign w:val="center"/>
          </w:tcPr>
          <w:p>
            <w:r>
              <w:rPr>
                <w:b/>
                <w:sz w:val="17"/>
              </w:rPr>
              <w:t>JavaScript / Node 22</w:t>
            </w:r>
          </w:p>
        </w:tc>
        <w:tc>
          <w:tcPr>
            <w:tcW w:type="dxa" w:w="2880"/>
            <w:shd w:fill="DCE8E2"/>
            <w:vAlign w:val="center"/>
          </w:tcPr>
          <w:p>
            <w:r>
              <w:rPr>
                <w:b/>
                <w:sz w:val="17"/>
              </w:rPr>
              <w:t>Semántica común</w:t>
            </w:r>
          </w:p>
        </w:tc>
      </w:tr>
      <w:tr>
        <w:tc>
          <w:tcPr>
            <w:tcW w:type="dxa" w:w="1800"/>
            <w:vAlign w:val="center"/>
          </w:tcPr>
          <w:p>
            <w:pPr>
              <w:spacing w:after="40"/>
            </w:pPr>
            <w:r>
              <w:rPr>
                <w:sz w:val="16"/>
              </w:rPr>
              <w:t>Entero (forma léxica)</w:t>
            </w:r>
          </w:p>
        </w:tc>
        <w:tc>
          <w:tcPr>
            <w:tcW w:type="dxa" w:w="2376"/>
            <w:vAlign w:val="center"/>
          </w:tcPr>
          <w:p>
            <w:pPr>
              <w:spacing w:after="40"/>
            </w:pPr>
            <w:r>
              <w:rPr>
                <w:sz w:val="16"/>
              </w:rPr>
              <w:t>int para literal; Leer retorna float</w:t>
            </w:r>
          </w:p>
        </w:tc>
        <w:tc>
          <w:tcPr>
            <w:tcW w:type="dxa" w:w="2376"/>
            <w:vAlign w:val="center"/>
          </w:tcPr>
          <w:p>
            <w:pPr>
              <w:spacing w:after="40"/>
            </w:pPr>
            <w:r>
              <w:rPr>
                <w:sz w:val="16"/>
              </w:rPr>
              <w:t>Number</w:t>
            </w:r>
          </w:p>
        </w:tc>
        <w:tc>
          <w:tcPr>
            <w:tcW w:type="dxa" w:w="2880"/>
            <w:vAlign w:val="center"/>
          </w:tcPr>
          <w:p>
            <w:pPr>
              <w:spacing w:after="40"/>
            </w:pPr>
            <w:r>
              <w:rPr>
                <w:sz w:val="16"/>
              </w:rPr>
              <w:t>Tipo estático number; integral cuando no tiene fracción.</w:t>
            </w:r>
          </w:p>
        </w:tc>
      </w:tr>
      <w:tr>
        <w:tc>
          <w:tcPr>
            <w:tcW w:type="dxa" w:w="1800"/>
            <w:vAlign w:val="center"/>
          </w:tcPr>
          <w:p>
            <w:pPr>
              <w:spacing w:after="40"/>
            </w:pPr>
            <w:r>
              <w:rPr>
                <w:sz w:val="16"/>
              </w:rPr>
              <w:t>Decimal (forma léxica)</w:t>
            </w:r>
          </w:p>
        </w:tc>
        <w:tc>
          <w:tcPr>
            <w:tcW w:type="dxa" w:w="2376"/>
            <w:vAlign w:val="center"/>
          </w:tcPr>
          <w:p>
            <w:pPr>
              <w:spacing w:after="40"/>
            </w:pPr>
            <w:r>
              <w:rPr>
                <w:sz w:val="16"/>
              </w:rPr>
              <w:t>float</w:t>
            </w:r>
          </w:p>
        </w:tc>
        <w:tc>
          <w:tcPr>
            <w:tcW w:type="dxa" w:w="2376"/>
            <w:vAlign w:val="center"/>
          </w:tcPr>
          <w:p>
            <w:pPr>
              <w:spacing w:after="40"/>
            </w:pPr>
            <w:r>
              <w:rPr>
                <w:sz w:val="16"/>
              </w:rPr>
              <w:t>Number</w:t>
            </w:r>
          </w:p>
        </w:tc>
        <w:tc>
          <w:tcPr>
            <w:tcW w:type="dxa" w:w="2880"/>
            <w:vAlign w:val="center"/>
          </w:tcPr>
          <w:p>
            <w:pPr>
              <w:spacing w:after="40"/>
            </w:pPr>
            <w:r>
              <w:rPr>
                <w:sz w:val="16"/>
              </w:rPr>
              <w:t>Tipo estático number; punto decimal y valor finito IEEE-754.</w:t>
            </w:r>
          </w:p>
        </w:tc>
      </w:tr>
      <w:tr>
        <w:tc>
          <w:tcPr>
            <w:tcW w:type="dxa" w:w="1800"/>
            <w:vAlign w:val="center"/>
          </w:tcPr>
          <w:p>
            <w:pPr>
              <w:spacing w:after="40"/>
            </w:pPr>
            <w:r>
              <w:rPr>
                <w:sz w:val="16"/>
              </w:rPr>
              <w:t>Cadena</w:t>
            </w:r>
          </w:p>
        </w:tc>
        <w:tc>
          <w:tcPr>
            <w:tcW w:type="dxa" w:w="2376"/>
            <w:vAlign w:val="center"/>
          </w:tcPr>
          <w:p>
            <w:pPr>
              <w:spacing w:after="40"/>
            </w:pPr>
            <w:r>
              <w:rPr>
                <w:sz w:val="16"/>
              </w:rPr>
              <w:t>str</w:t>
            </w:r>
          </w:p>
        </w:tc>
        <w:tc>
          <w:tcPr>
            <w:tcW w:type="dxa" w:w="2376"/>
            <w:vAlign w:val="center"/>
          </w:tcPr>
          <w:p>
            <w:pPr>
              <w:spacing w:after="40"/>
            </w:pPr>
            <w:r>
              <w:rPr>
                <w:sz w:val="16"/>
              </w:rPr>
              <w:t>string</w:t>
            </w:r>
          </w:p>
        </w:tc>
        <w:tc>
          <w:tcPr>
            <w:tcW w:type="dxa" w:w="2880"/>
            <w:vAlign w:val="center"/>
          </w:tcPr>
          <w:p>
            <w:pPr>
              <w:spacing w:after="40"/>
            </w:pPr>
            <w:r>
              <w:rPr>
                <w:sz w:val="16"/>
              </w:rPr>
              <w:t>Tipo string; texto Unicode y concatenación con +.</w:t>
            </w:r>
          </w:p>
        </w:tc>
      </w:tr>
      <w:tr>
        <w:tc>
          <w:tcPr>
            <w:tcW w:type="dxa" w:w="1800"/>
            <w:vAlign w:val="center"/>
          </w:tcPr>
          <w:p>
            <w:pPr>
              <w:spacing w:after="40"/>
            </w:pPr>
            <w:r>
              <w:rPr>
                <w:sz w:val="16"/>
              </w:rPr>
              <w:t>Lógico</w:t>
            </w:r>
          </w:p>
        </w:tc>
        <w:tc>
          <w:tcPr>
            <w:tcW w:type="dxa" w:w="2376"/>
            <w:vAlign w:val="center"/>
          </w:tcPr>
          <w:p>
            <w:pPr>
              <w:spacing w:after="40"/>
            </w:pPr>
            <w:r>
              <w:rPr>
                <w:sz w:val="16"/>
              </w:rPr>
              <w:t>bool</w:t>
            </w:r>
          </w:p>
        </w:tc>
        <w:tc>
          <w:tcPr>
            <w:tcW w:type="dxa" w:w="2376"/>
            <w:vAlign w:val="center"/>
          </w:tcPr>
          <w:p>
            <w:pPr>
              <w:spacing w:after="40"/>
            </w:pPr>
            <w:r>
              <w:rPr>
                <w:sz w:val="16"/>
              </w:rPr>
              <w:t>boolean</w:t>
            </w:r>
          </w:p>
        </w:tc>
        <w:tc>
          <w:tcPr>
            <w:tcW w:type="dxa" w:w="2880"/>
            <w:vAlign w:val="center"/>
          </w:tcPr>
          <w:p>
            <w:pPr>
              <w:spacing w:after="40"/>
            </w:pPr>
            <w:r>
              <w:rPr>
                <w:sz w:val="16"/>
              </w:rPr>
              <w:t>Tipo boolean; Verdadero/Falso y lógica Y/O/No.</w:t>
            </w:r>
          </w:p>
        </w:tc>
      </w:tr>
      <w:tr>
        <w:tc>
          <w:tcPr>
            <w:tcW w:type="dxa" w:w="1800"/>
            <w:vAlign w:val="center"/>
          </w:tcPr>
          <w:p>
            <w:pPr>
              <w:spacing w:after="40"/>
            </w:pPr>
            <w:r>
              <w:rPr>
                <w:sz w:val="16"/>
              </w:rPr>
              <w:t>Arreglo</w:t>
            </w:r>
          </w:p>
        </w:tc>
        <w:tc>
          <w:tcPr>
            <w:tcW w:type="dxa" w:w="2376"/>
            <w:vAlign w:val="center"/>
          </w:tcPr>
          <w:p>
            <w:pPr>
              <w:spacing w:after="40"/>
            </w:pPr>
            <w:r>
              <w:rPr>
                <w:sz w:val="16"/>
              </w:rPr>
              <w:t>list con acceso validado</w:t>
            </w:r>
          </w:p>
        </w:tc>
        <w:tc>
          <w:tcPr>
            <w:tcW w:type="dxa" w:w="2376"/>
            <w:vAlign w:val="center"/>
          </w:tcPr>
          <w:p>
            <w:pPr>
              <w:spacing w:after="40"/>
            </w:pPr>
            <w:r>
              <w:rPr>
                <w:sz w:val="16"/>
              </w:rPr>
              <w:t>Array con acceso validado</w:t>
            </w:r>
          </w:p>
        </w:tc>
        <w:tc>
          <w:tcPr>
            <w:tcW w:type="dxa" w:w="2880"/>
            <w:vAlign w:val="center"/>
          </w:tcPr>
          <w:p>
            <w:pPr>
              <w:spacing w:after="40"/>
            </w:pPr>
            <w:r>
              <w:rPr>
                <w:sz w:val="16"/>
              </w:rPr>
              <w:t>Índices fuente 1..n; dimensión e índice deben ser enteros seguros.</w:t>
            </w:r>
          </w:p>
        </w:tc>
      </w:tr>
    </w:tbl>
    <w:p>
      <w:pPr>
        <w:pStyle w:val="ReportHeading2"/>
      </w:pPr>
      <w:r>
        <w:t>Justificación de los lenguajes elegidos</w:t>
      </w:r>
    </w:p>
    <w:p>
      <w:pPr>
        <w:pStyle w:val="ReportBody"/>
      </w:pPr>
      <w:r>
        <w:t>Python se eligió por su sintaxis legible y concisa, que permite comparar el pseudocódigo con una traducción directa y centrarse en la lógica. JavaScript se eligió por su relación con el ecosistema web de la interfaz y porque Node.js ofrece un runtime independiente para ejecutar archivos fuera del navegador. Sus diferencias en tipos, operadores y entrada/salida sirven para mostrar que el compilador traduce desde un AST común y aplica las mismas reglas semánticas en dos destinos. Se fijan Python 3.12 y Node.js 22 para que las ejecuciones y las referencias del informe sean reproducibles.</w:t>
      </w:r>
    </w:p>
    <w:p w14:paraId="2151D5D2" w14:textId="77777777" w:rsidR="008B6FC5" w:rsidRDefault="004409C8">
      <w:pPr>
        <w:pStyle w:val="ReportHeading2"/>
      </w:pPr>
      <w:r>
        <w:t>Políticas que deben permanecer equivalentes</w:t>
      </w:r>
    </w:p>
    <w:p w14:paraId="5B84AC63" w14:textId="77777777" w:rsidR="008B6FC5" w:rsidRDefault="004409C8">
      <w:pPr>
        <w:pStyle w:val="ReportBody"/>
      </w:pPr>
      <w:r>
        <w:t xml:space="preserve">Los valores numéricos se validan como finitos; JavaScript los representa con Number (IEEE-754), mientras Python recibe literales enteros como int y valores decimales o entradas Leer como float. La división es real. Escribir concatena exactamente los argumentos y agrega un salto de línea, sin el espacio predeterminado que </w:t>
      </w:r>
      <w:proofErr w:type="spellStart"/>
      <w:proofErr w:type="gramStart"/>
      <w:r>
        <w:t>print</w:t>
      </w:r>
      <w:proofErr w:type="spellEnd"/>
      <w:r>
        <w:t>(</w:t>
      </w:r>
      <w:proofErr w:type="gramEnd"/>
      <w:r>
        <w:t xml:space="preserve">) introduciría entre varios argumentos. Para conserva límite inclusivo; si no se indica Paso, el sentido se infiere de inicio y límite. </w:t>
      </w:r>
      <w:proofErr w:type="spellStart"/>
      <w:r>
        <w:t>Dimension</w:t>
      </w:r>
      <w:proofErr w:type="spellEnd"/>
      <w:r>
        <w:t xml:space="preserve"> trabaja con índices fuente 1-based y el acceso inválido es un error de ejecución localizado. Estas políticas forman parte de la semántica común del compilador, no de una preferencia particular de Python o </w:t>
      </w:r>
      <w:proofErr w:type="spellStart"/>
      <w:r>
        <w:t>Node</w:t>
      </w:r>
      <w:proofErr w:type="spellEnd"/>
      <w:r>
        <w:t xml:space="preserve"> (Pseudo / Studio, 2026a, 2026c).</w:t>
      </w:r>
    </w:p>
    <w:p w14:paraId="0BD62D4E" w14:textId="77777777" w:rsidR="008B6FC5" w:rsidRDefault="004409C8">
      <w:pPr>
        <w:pStyle w:val="ReportHeading2"/>
      </w:pPr>
      <w:proofErr w:type="spellStart"/>
      <w:r>
        <w:t>Runtime</w:t>
      </w:r>
      <w:proofErr w:type="spellEnd"/>
      <w:r>
        <w:t xml:space="preserve"> y aislamiento</w:t>
      </w:r>
    </w:p>
    <w:p w14:paraId="3294CCEC" w14:textId="77777777" w:rsidR="008B6FC5" w:rsidRDefault="004409C8">
      <w:pPr>
        <w:pStyle w:val="ReportBody"/>
      </w:pPr>
      <w:r>
        <w:t xml:space="preserve">El código generado no se ejecuta dentro del proceso de la API. El runner OCI lanza imágenes separadas de Python y </w:t>
      </w:r>
      <w:proofErr w:type="spellStart"/>
      <w:r>
        <w:t>Node</w:t>
      </w:r>
      <w:proofErr w:type="spellEnd"/>
      <w:r>
        <w:t xml:space="preserve"> con usuario sin privilegios, red desactivada, sistema de archivos raíz de solo lectura, capacidades retiradas, directorio temporal efímero y límites de CPU, memoria, procesos, tiempo y salida. </w:t>
      </w:r>
      <w:proofErr w:type="spellStart"/>
      <w:r>
        <w:t>stdin</w:t>
      </w:r>
      <w:proofErr w:type="spellEnd"/>
      <w:r>
        <w:t xml:space="preserve">, </w:t>
      </w:r>
      <w:proofErr w:type="spellStart"/>
      <w:r>
        <w:t>stdout</w:t>
      </w:r>
      <w:proofErr w:type="spellEnd"/>
      <w:r>
        <w:t xml:space="preserve">, </w:t>
      </w:r>
      <w:proofErr w:type="spellStart"/>
      <w:r>
        <w:t>stderr</w:t>
      </w:r>
      <w:proofErr w:type="spellEnd"/>
      <w:r>
        <w:t>, estado de salida y duración se devuelven a la consola y al servicio de pruebas (Pseudo / Studio, 2026a).</w:t>
      </w:r>
    </w:p>
    <w:p w14:paraId="11864D6F" w14:textId="77777777" w:rsidR="008B6FC5" w:rsidRDefault="004409C8">
      <w:r>
        <w:br w:type="page"/>
      </w:r>
    </w:p>
    <w:p w14:paraId="68554AAD" w14:textId="77777777" w:rsidR="008B6FC5" w:rsidRDefault="004409C8">
      <w:bookmarkStart w:id="71" w:name="Sec06"/>
      <w:pPr>
        <w:pStyle w:val="ReportHeading1"/>
      </w:pPr>
      <w:bookmarkStart w:id="5" w:name="sec_6"/>
      <w:r>
        <w:lastRenderedPageBreak/>
        <w:t xml:space="preserve">6. Traducción manual del Programa A </w:t>
      </w:r>
      <w:proofErr w:type="spellStart"/>
      <w:r>
        <w:t>a</w:t>
      </w:r>
      <w:proofErr w:type="spellEnd"/>
      <w:r>
        <w:t xml:space="preserve"> Python</w:t>
      </w:r>
      <w:bookmarkEnd w:id="5"/>
      <w:bookmarkEnd w:id="71"/>
    </w:p>
    <w:p w14:paraId="2B1EC742" w14:textId="77777777" w:rsidR="008B6FC5" w:rsidRDefault="004409C8">
      <w:pPr>
        <w:pStyle w:val="ReportBody"/>
        <w:keepLines/>
      </w:pPr>
      <w:r>
        <w:t xml:space="preserve">Fuente académica: </w:t>
      </w:r>
      <w:proofErr w:type="spellStart"/>
      <w:r>
        <w:t>examples</w:t>
      </w:r>
      <w:proofErr w:type="spellEnd"/>
      <w:r>
        <w:t>/</w:t>
      </w:r>
      <w:proofErr w:type="spellStart"/>
      <w:r>
        <w:t>A.psc</w:t>
      </w:r>
      <w:proofErr w:type="spellEnd"/>
      <w:r>
        <w:t xml:space="preserve"> y Fase 1, ejercicio A. La traducción conserva el orden de las lecturas, los mensajes y las operaciones del pseudocódigo. El código de abajo es una traducción manual ilustrativa para comparar lenguajes; no es una copia de la salida del generador del compilador.</w:t>
      </w:r>
    </w:p>
    <w:p w14:paraId="56CF04D8" w14:textId="77777777" w:rsidR="008B6FC5" w:rsidRDefault="004409C8">
      <w:pPr>
        <w:pStyle w:val="ReportFormula"/>
        <w:jc w:val="center"/>
      </w:pPr>
      <w:r>
        <w:rPr>
          <w:b/>
          <w:color w:val="285A48"/>
        </w:rPr>
        <w:t>resultado = ((a + b) * c) - (a / b)</w:t>
      </w:r>
    </w:p>
    <w:p w14:paraId="5EF9B273" w14:textId="77777777" w:rsidR="008B6FC5" w:rsidRDefault="004409C8">
      <w:pPr>
        <w:pStyle w:val="ReportBody"/>
      </w:pPr>
      <w:r>
        <w:t xml:space="preserve">El agrupamiento original suma </w:t>
      </w:r>
      <w:proofErr w:type="spellStart"/>
      <w:r>
        <w:t>a+b</w:t>
      </w:r>
      <w:proofErr w:type="spellEnd"/>
      <w:r>
        <w:t>, multiplica por c y luego resta a/b. El siguiente código conserva el orden, los tres mensajes de entrada y la salida final sin separador adicional.</w:t>
      </w:r>
    </w:p>
    <w:p w14:paraId="2C3FD9C5" w14:textId="77777777" w:rsidR="008B6FC5" w:rsidRDefault="004409C8">
      <w:pPr>
        <w:pStyle w:val="ReportCode"/>
        <w:keepLines/>
        <w:widowControl w:val="0"/>
        <w:pBdr>
          <w:left w:val="single" w:sz="18" w:space="5" w:color="4A8066"/>
        </w:pBdr>
        <w:shd w:val="clear" w:color="auto" w:fill="F2F5F2"/>
        <w:spacing w:before="20" w:after="20"/>
        <w:ind w:left="173" w:right="115"/>
      </w:pPr>
      <w:r>
        <w:t>"""Traducción manual comentada del programa A para Python 3.12."""</w:t>
        <w:br/>
        <w:br/>
        <w:t>import math</w:t>
        <w:br/>
        <w:t>import re</w:t>
        <w:br/>
        <w:br/>
        <w:t>_NUMERO = re.compile(r"[+-]?(?:[0-9]+(?:\.[0-9]+)?|\.[0-9]+)\Z")</w:t>
        <w:br/>
        <w:br/>
        <w:br/>
        <w:t>def leer_numero():</w:t>
        <w:br/>
        <w:t xml:space="preserve">    """Lee un renglón como número finito, siguiendo la sintaxis del lenguaje."""</w:t>
        <w:br/>
        <w:t xml:space="preserve">    entrada = input().strip()</w:t>
        <w:br/>
        <w:t xml:space="preserve">    if not _NUMERO.fullmatch(entrada):</w:t>
        <w:br/>
        <w:t xml:space="preserve">        raise ValueError("Se esperaba un número decimal finito.")</w:t>
        <w:br/>
        <w:t xml:space="preserve">    valor = float(entrada)</w:t>
        <w:br/>
        <w:t xml:space="preserve">    if not math.isfinite(valor):</w:t>
        <w:br/>
        <w:t xml:space="preserve">        raise ValueError("Se esperaba un número decimal finito.")</w:t>
        <w:br/>
        <w:t xml:space="preserve">    return valor</w:t>
        <w:br/>
        <w:br/>
        <w:br/>
        <w:t>def numero_a_texto(valor):</w:t>
        <w:br/>
        <w:t xml:space="preserve">    """Evita mostrar .0 en resultados enteros, como el runtime del proyecto."""</w:t>
        <w:br/>
        <w:t xml:space="preserve">    if valor.is_integer():</w:t>
        <w:br/>
        <w:t xml:space="preserve">        return str(int(valor))</w:t>
        <w:br/>
        <w:t xml:space="preserve">    return format(valor, ".15g")</w:t>
        <w:br/>
        <w:br/>
        <w:br/>
        <w:t># Cada Escribir del pseudocódigo termina una línea antes de solicitar el dato.</w:t>
        <w:br/>
        <w:t>print("Ingrese el primer número:")</w:t>
        <w:br/>
        <w:t>a = leer_numero()</w:t>
        <w:br/>
        <w:t>print("Ingrese el segundo número:")</w:t>
        <w:br/>
        <w:t>b = leer_numero()</w:t>
        <w:br/>
        <w:t>print("Ingrese el tercer número:")</w:t>
        <w:br/>
        <w:t>c = leer_numero()</w:t>
        <w:br/>
        <w:br/>
        <w:t># Se conservan los paréntesis y el orden de operaciones del programa A.</w:t>
        <w:br/>
        <w:t>resultado = ((a + b) * c) - (a / b)</w:t>
        <w:br/>
        <w:br/>
        <w:t># Escribir concatena el literal con el resultado, sin un espacio automático.</w:t>
        <w:br/>
        <w:t>print("El resultado es: " + numero_a_texto(resultado))</w:t>
      </w:r>
    </w:p>
    <w:p w14:paraId="289214F0" w14:textId="77777777" w:rsidR="008B6FC5" w:rsidRDefault="004409C8">
      <w:pPr>
        <w:pStyle w:val="ReportHeading2"/>
      </w:pPr>
      <w:r>
        <w:t>Casos y salidas finales oficiales</w:t>
      </w:r>
    </w:p>
    <w:tbl>
      <w:tblPr>
        <w:tblStyle w:val="TableNormal"/>
        <w:tblW w:w="0" w:type="auto"/>
        <w:jc w:val="center"/>
        <w:tblInd w:w="0" w:type="dxa"/>
        <w:tblLayout w:type="fixed"/>
        <w:tblLook w:val="04A0" w:firstRow="1" w:lastRow="0" w:firstColumn="1" w:lastColumn="0" w:noHBand="0" w:noVBand="1"/>
      </w:tblPr>
      <w:tblGrid>
        <w:gridCol w:w="3120"/>
        <w:gridCol w:w="3456"/>
        <w:gridCol w:w="4464"/>
      </w:tblGrid>
      <w:tr w:rsidR="008B6FC5" w14:paraId="33E598A0" w14:textId="77777777">
        <w:trPr>
          <w:cantSplit/>
          <w:tblHeader/>
          <w:jc w:val="center"/>
        </w:trPr>
        <w:tc>
          <w:tcPr>
            <w:tcW w:w="1440" w:type="dxa"/>
            <w:tcBorders>
              <w:top w:val="single" w:sz="6" w:space="0" w:color="D4E0D8"/>
              <w:left w:val="single" w:sz="6" w:space="0" w:color="D4E0D8"/>
              <w:bottom w:val="single" w:sz="6" w:space="0" w:color="D4E0D8"/>
              <w:right w:val="single" w:sz="6" w:space="0" w:color="D4E0D8"/>
            </w:tcBorders>
            <w:shd w:val="clear" w:color="auto" w:fill="285A48"/>
            <w:tcMar>
              <w:top w:w="90" w:type="dxa"/>
              <w:left w:w="110" w:type="dxa"/>
              <w:bottom w:w="90" w:type="dxa"/>
              <w:right w:w="110" w:type="dxa"/>
            </w:tcMar>
            <w:vAlign w:val="center"/>
          </w:tcPr>
          <w:p w14:paraId="073A01C6" w14:textId="77777777" w:rsidR="008B6FC5" w:rsidRDefault="004409C8">
            <w:pPr>
              <w:spacing w:after="0" w:line="240" w:lineRule="auto"/>
              <w:jc w:val="center"/>
            </w:pPr>
            <w:r>
              <w:rPr>
                <w:rFonts w:ascii="Arial" w:eastAsia="Arial" w:hAnsi="Arial"/>
                <w:b/>
                <w:color w:val="FFFFFF"/>
                <w:sz w:val="17"/>
              </w:rPr>
              <w:t>Caso</w:t>
            </w:r>
          </w:p>
        </w:tc>
        <w:tc>
          <w:tcPr>
            <w:tcW w:w="3456" w:type="dxa"/>
            <w:tcBorders>
              <w:top w:val="single" w:sz="6" w:space="0" w:color="D4E0D8"/>
              <w:left w:val="single" w:sz="6" w:space="0" w:color="D4E0D8"/>
              <w:bottom w:val="single" w:sz="6" w:space="0" w:color="D4E0D8"/>
              <w:right w:val="single" w:sz="6" w:space="0" w:color="D4E0D8"/>
            </w:tcBorders>
            <w:shd w:val="clear" w:color="auto" w:fill="285A48"/>
            <w:tcMar>
              <w:top w:w="90" w:type="dxa"/>
              <w:left w:w="110" w:type="dxa"/>
              <w:bottom w:w="90" w:type="dxa"/>
              <w:right w:w="110" w:type="dxa"/>
            </w:tcMar>
            <w:vAlign w:val="center"/>
          </w:tcPr>
          <w:p w14:paraId="5762C073" w14:textId="77777777" w:rsidR="008B6FC5" w:rsidRDefault="004409C8">
            <w:pPr>
              <w:spacing w:after="0" w:line="240" w:lineRule="auto"/>
              <w:jc w:val="center"/>
            </w:pPr>
            <w:r>
              <w:rPr>
                <w:rFonts w:ascii="Arial" w:eastAsia="Arial" w:hAnsi="Arial"/>
                <w:b/>
                <w:color w:val="FFFFFF"/>
                <w:sz w:val="17"/>
              </w:rPr>
              <w:t>Entradas (orden de Leer)</w:t>
            </w:r>
          </w:p>
        </w:tc>
        <w:tc>
          <w:tcPr>
            <w:tcW w:w="4464" w:type="dxa"/>
            <w:tcBorders>
              <w:top w:val="single" w:sz="6" w:space="0" w:color="D4E0D8"/>
              <w:left w:val="single" w:sz="6" w:space="0" w:color="D4E0D8"/>
              <w:bottom w:val="single" w:sz="6" w:space="0" w:color="D4E0D8"/>
              <w:right w:val="single" w:sz="6" w:space="0" w:color="D4E0D8"/>
            </w:tcBorders>
            <w:shd w:val="clear" w:color="auto" w:fill="285A48"/>
            <w:tcMar>
              <w:top w:w="90" w:type="dxa"/>
              <w:left w:w="110" w:type="dxa"/>
              <w:bottom w:w="90" w:type="dxa"/>
              <w:right w:w="110" w:type="dxa"/>
            </w:tcMar>
            <w:vAlign w:val="center"/>
          </w:tcPr>
          <w:p w14:paraId="027DEC79" w14:textId="77777777" w:rsidR="008B6FC5" w:rsidRDefault="004409C8">
            <w:pPr>
              <w:spacing w:after="0" w:line="240" w:lineRule="auto"/>
              <w:jc w:val="center"/>
            </w:pPr>
            <w:r>
              <w:rPr>
                <w:rFonts w:ascii="Arial" w:eastAsia="Arial" w:hAnsi="Arial"/>
                <w:b/>
                <w:color w:val="FFFFFF"/>
                <w:sz w:val="17"/>
              </w:rPr>
              <w:t>Salida final oficial</w:t>
            </w:r>
          </w:p>
        </w:tc>
      </w:tr>
      <w:tr w:rsidR="008B6FC5" w14:paraId="6465732D" w14:textId="77777777">
        <w:trPr>
          <w:jc w:val="center"/>
        </w:trPr>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0A1D1496" w14:textId="77777777" w:rsidR="008B6FC5" w:rsidRDefault="004409C8">
            <w:pPr>
              <w:spacing w:after="0" w:line="240" w:lineRule="auto"/>
            </w:pPr>
            <w:r>
              <w:rPr>
                <w:rFonts w:ascii="Arial" w:eastAsia="Arial" w:hAnsi="Arial"/>
                <w:color w:val="263337"/>
                <w:sz w:val="17"/>
              </w:rPr>
              <w:t>A-1</w:t>
            </w:r>
          </w:p>
        </w:tc>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18AB7C89" w14:textId="77777777" w:rsidR="008B6FC5" w:rsidRDefault="004409C8">
            <w:pPr>
              <w:spacing w:after="0" w:line="240" w:lineRule="auto"/>
            </w:pPr>
            <w:r>
              <w:rPr>
                <w:rFonts w:ascii="Arial" w:eastAsia="Arial" w:hAnsi="Arial"/>
                <w:color w:val="263337"/>
                <w:sz w:val="17"/>
              </w:rPr>
              <w:t>a=4, b=2, c=3</w:t>
            </w:r>
          </w:p>
        </w:tc>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05D55689" w14:textId="77777777" w:rsidR="008B6FC5" w:rsidRDefault="004409C8">
            <w:pPr>
              <w:spacing w:after="0" w:line="240" w:lineRule="auto"/>
            </w:pPr>
            <w:r>
              <w:rPr>
                <w:rFonts w:ascii="Arial" w:eastAsia="Arial" w:hAnsi="Arial"/>
                <w:color w:val="263337"/>
                <w:sz w:val="17"/>
              </w:rPr>
              <w:t>El resultado es: 16</w:t>
            </w:r>
          </w:p>
        </w:tc>
      </w:tr>
      <w:tr w:rsidR="008B6FC5" w14:paraId="01707F3F" w14:textId="77777777">
        <w:trPr>
          <w:jc w:val="center"/>
        </w:trPr>
        <w:tc>
          <w:tcPr>
            <w:tcW w:w="3120" w:type="dxa"/>
            <w:tcBorders>
              <w:top w:val="single" w:sz="6" w:space="0" w:color="D4E0D8"/>
              <w:left w:val="single" w:sz="6" w:space="0" w:color="D4E0D8"/>
              <w:bottom w:val="single" w:sz="6" w:space="0" w:color="D4E0D8"/>
              <w:right w:val="single" w:sz="6" w:space="0" w:color="D4E0D8"/>
            </w:tcBorders>
            <w:shd w:val="clear" w:color="auto" w:fill="F4F7F3"/>
            <w:tcMar>
              <w:top w:w="90" w:type="dxa"/>
              <w:left w:w="110" w:type="dxa"/>
              <w:bottom w:w="90" w:type="dxa"/>
              <w:right w:w="110" w:type="dxa"/>
            </w:tcMar>
            <w:vAlign w:val="center"/>
          </w:tcPr>
          <w:p w14:paraId="23006209" w14:textId="77777777" w:rsidR="008B6FC5" w:rsidRDefault="004409C8">
            <w:pPr>
              <w:spacing w:after="0" w:line="240" w:lineRule="auto"/>
            </w:pPr>
            <w:r>
              <w:rPr>
                <w:rFonts w:ascii="Arial" w:eastAsia="Arial" w:hAnsi="Arial"/>
                <w:color w:val="263337"/>
                <w:sz w:val="17"/>
              </w:rPr>
              <w:t>A-2</w:t>
            </w:r>
          </w:p>
        </w:tc>
        <w:tc>
          <w:tcPr>
            <w:tcW w:w="3120" w:type="dxa"/>
            <w:tcBorders>
              <w:top w:val="single" w:sz="6" w:space="0" w:color="D4E0D8"/>
              <w:left w:val="single" w:sz="6" w:space="0" w:color="D4E0D8"/>
              <w:bottom w:val="single" w:sz="6" w:space="0" w:color="D4E0D8"/>
              <w:right w:val="single" w:sz="6" w:space="0" w:color="D4E0D8"/>
            </w:tcBorders>
            <w:shd w:val="clear" w:color="auto" w:fill="F4F7F3"/>
            <w:tcMar>
              <w:top w:w="90" w:type="dxa"/>
              <w:left w:w="110" w:type="dxa"/>
              <w:bottom w:w="90" w:type="dxa"/>
              <w:right w:w="110" w:type="dxa"/>
            </w:tcMar>
            <w:vAlign w:val="center"/>
          </w:tcPr>
          <w:p w14:paraId="60BDC131" w14:textId="77777777" w:rsidR="008B6FC5" w:rsidRDefault="004409C8">
            <w:pPr>
              <w:spacing w:after="0" w:line="240" w:lineRule="auto"/>
            </w:pPr>
            <w:r>
              <w:rPr>
                <w:rFonts w:ascii="Arial" w:eastAsia="Arial" w:hAnsi="Arial"/>
                <w:color w:val="263337"/>
                <w:sz w:val="17"/>
              </w:rPr>
              <w:t>a=10, b=5, c=2</w:t>
            </w:r>
          </w:p>
        </w:tc>
        <w:tc>
          <w:tcPr>
            <w:tcW w:w="3120" w:type="dxa"/>
            <w:tcBorders>
              <w:top w:val="single" w:sz="6" w:space="0" w:color="D4E0D8"/>
              <w:left w:val="single" w:sz="6" w:space="0" w:color="D4E0D8"/>
              <w:bottom w:val="single" w:sz="6" w:space="0" w:color="D4E0D8"/>
              <w:right w:val="single" w:sz="6" w:space="0" w:color="D4E0D8"/>
            </w:tcBorders>
            <w:shd w:val="clear" w:color="auto" w:fill="F4F7F3"/>
            <w:tcMar>
              <w:top w:w="90" w:type="dxa"/>
              <w:left w:w="110" w:type="dxa"/>
              <w:bottom w:w="90" w:type="dxa"/>
              <w:right w:w="110" w:type="dxa"/>
            </w:tcMar>
            <w:vAlign w:val="center"/>
          </w:tcPr>
          <w:p w14:paraId="6AA97167" w14:textId="77777777" w:rsidR="008B6FC5" w:rsidRDefault="004409C8">
            <w:pPr>
              <w:spacing w:after="0" w:line="240" w:lineRule="auto"/>
            </w:pPr>
            <w:r>
              <w:rPr>
                <w:rFonts w:ascii="Arial" w:eastAsia="Arial" w:hAnsi="Arial"/>
                <w:color w:val="263337"/>
                <w:sz w:val="17"/>
              </w:rPr>
              <w:t>El resultado es: 28</w:t>
            </w:r>
          </w:p>
        </w:tc>
      </w:tr>
      <w:tr w:rsidR="008B6FC5" w14:paraId="446343A2" w14:textId="77777777">
        <w:trPr>
          <w:jc w:val="center"/>
        </w:trPr>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53CE4CE8" w14:textId="77777777" w:rsidR="008B6FC5" w:rsidRDefault="004409C8">
            <w:pPr>
              <w:spacing w:after="0" w:line="240" w:lineRule="auto"/>
            </w:pPr>
            <w:r>
              <w:rPr>
                <w:rFonts w:ascii="Arial" w:eastAsia="Arial" w:hAnsi="Arial"/>
                <w:color w:val="263337"/>
                <w:sz w:val="17"/>
              </w:rPr>
              <w:t>A-3</w:t>
            </w:r>
          </w:p>
        </w:tc>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2C6942E4" w14:textId="77777777" w:rsidR="008B6FC5" w:rsidRDefault="004409C8">
            <w:pPr>
              <w:spacing w:after="0" w:line="240" w:lineRule="auto"/>
            </w:pPr>
            <w:r>
              <w:rPr>
                <w:rFonts w:ascii="Arial" w:eastAsia="Arial" w:hAnsi="Arial"/>
                <w:color w:val="263337"/>
                <w:sz w:val="17"/>
              </w:rPr>
              <w:t>a=6, b=3, c=4</w:t>
            </w:r>
          </w:p>
        </w:tc>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5D37E544" w14:textId="77777777" w:rsidR="008B6FC5" w:rsidRDefault="004409C8">
            <w:pPr>
              <w:spacing w:after="0" w:line="240" w:lineRule="auto"/>
            </w:pPr>
            <w:r>
              <w:rPr>
                <w:rFonts w:ascii="Arial" w:eastAsia="Arial" w:hAnsi="Arial"/>
                <w:color w:val="263337"/>
                <w:sz w:val="17"/>
              </w:rPr>
              <w:t>El resultado es: 34</w:t>
            </w:r>
          </w:p>
        </w:tc>
      </w:tr>
    </w:tbl>
    <w:p w14:paraId="2F268734" w14:textId="77777777" w:rsidR="008B6FC5" w:rsidRDefault="004409C8">
      <w:pPr>
        <w:pStyle w:val="ReportBody"/>
      </w:pPr>
      <w:r>
        <w:t>Comprobación aritmética: A-1 produce ((4+</w:t>
      </w:r>
      <w:proofErr w:type="gramStart"/>
      <w:r>
        <w:t>2)×3)−(</w:t>
      </w:r>
      <w:proofErr w:type="gramEnd"/>
      <w:r>
        <w:t>4÷</w:t>
      </w:r>
      <w:proofErr w:type="gramStart"/>
      <w:r>
        <w:t>2)=</w:t>
      </w:r>
      <w:proofErr w:type="gramEnd"/>
      <w:r>
        <w:t>16; A-2 produce ((10+</w:t>
      </w:r>
      <w:proofErr w:type="gramStart"/>
      <w:r>
        <w:t>5)×2)−(</w:t>
      </w:r>
      <w:proofErr w:type="gramEnd"/>
      <w:r>
        <w:t>10÷</w:t>
      </w:r>
      <w:proofErr w:type="gramStart"/>
      <w:r>
        <w:t>5)=</w:t>
      </w:r>
      <w:proofErr w:type="gramEnd"/>
      <w:r>
        <w:t>28; A-3 produce ((6+</w:t>
      </w:r>
      <w:proofErr w:type="gramStart"/>
      <w:r>
        <w:t>3)×4)−(</w:t>
      </w:r>
      <w:proofErr w:type="gramEnd"/>
      <w:r>
        <w:t>6÷</w:t>
      </w:r>
      <w:proofErr w:type="gramStart"/>
      <w:r>
        <w:t>3)=</w:t>
      </w:r>
      <w:proofErr w:type="gramEnd"/>
      <w:r>
        <w:t xml:space="preserve">34. Las tablas muestran </w:t>
      </w:r>
      <w:proofErr w:type="spellStart"/>
      <w:r>
        <w:t>expected_tail</w:t>
      </w:r>
      <w:proofErr w:type="spellEnd"/>
      <w:r>
        <w:t xml:space="preserve"> oficial: no incluyen los tres </w:t>
      </w:r>
      <w:proofErr w:type="spellStart"/>
      <w:r>
        <w:t>prompts</w:t>
      </w:r>
      <w:proofErr w:type="spellEnd"/>
      <w:r>
        <w:t xml:space="preserve"> previos que el programa también escribe en </w:t>
      </w:r>
      <w:proofErr w:type="spellStart"/>
      <w:r>
        <w:t>stdout</w:t>
      </w:r>
      <w:proofErr w:type="spellEnd"/>
      <w:r>
        <w:t xml:space="preserve"> (Pseudo / Studio, 2026b).</w:t>
      </w:r>
    </w:p>
    <w:p w14:paraId="741D9833" w14:textId="77777777" w:rsidR="008B6FC5" w:rsidRDefault="004409C8">
      <w:r>
        <w:br w:type="page"/>
      </w:r>
    </w:p>
    <w:p w14:paraId="2E64D337" w14:textId="77777777" w:rsidR="008B6FC5" w:rsidRDefault="004409C8">
      <w:bookmarkStart w:id="79" w:name="Sec07"/>
      <w:pPr>
        <w:pStyle w:val="ReportHeading1"/>
      </w:pPr>
      <w:bookmarkStart w:id="6" w:name="sec_7"/>
      <w:r>
        <w:lastRenderedPageBreak/>
        <w:t xml:space="preserve">7. Traducción manual del Programa A </w:t>
      </w:r>
      <w:proofErr w:type="spellStart"/>
      <w:r>
        <w:t>a</w:t>
      </w:r>
      <w:proofErr w:type="spellEnd"/>
      <w:r>
        <w:t xml:space="preserve"> JavaScript</w:t>
      </w:r>
      <w:bookmarkEnd w:id="6"/>
      <w:bookmarkEnd w:id="79"/>
    </w:p>
    <w:p w14:paraId="6D07B407" w14:textId="77777777" w:rsidR="008B6FC5" w:rsidRDefault="004409C8">
      <w:pPr>
        <w:pStyle w:val="ReportBody"/>
        <w:keepLines/>
      </w:pPr>
      <w:r>
        <w:t xml:space="preserve">Fuente académica: </w:t>
      </w:r>
      <w:proofErr w:type="spellStart"/>
      <w:r>
        <w:t>examples</w:t>
      </w:r>
      <w:proofErr w:type="spellEnd"/>
      <w:r>
        <w:t>/</w:t>
      </w:r>
      <w:proofErr w:type="spellStart"/>
      <w:r>
        <w:t>A.psc</w:t>
      </w:r>
      <w:proofErr w:type="spellEnd"/>
      <w:r>
        <w:t xml:space="preserve"> y Fase 1, ejercicio A. La traducción conserva el orden de las lecturas, los mensajes y las operaciones del pseudocódigo. El código de abajo es una traducción manual ilustrativa para comparar lenguajes; no es una copia de la salida del generador del compilador.</w:t>
      </w:r>
    </w:p>
    <w:p w14:paraId="5B926295" w14:textId="77777777" w:rsidR="008B6FC5" w:rsidRDefault="004409C8">
      <w:pPr>
        <w:pStyle w:val="ReportFormula"/>
        <w:jc w:val="center"/>
      </w:pPr>
      <w:r>
        <w:rPr>
          <w:b/>
          <w:color w:val="285A48"/>
        </w:rPr>
        <w:t>resultado = ((a + b) * c) - (a / b)</w:t>
      </w:r>
    </w:p>
    <w:p w14:paraId="19DCD9A7" w14:textId="77777777" w:rsidR="008B6FC5" w:rsidRDefault="004409C8">
      <w:pPr>
        <w:pStyle w:val="ReportBody"/>
      </w:pPr>
      <w:r>
        <w:t>La traducción manual usa fs.readSync para consumir exactamente una línea por cada Leer. Si un evaluador envía todas las respuestas juntas por stdin, las líneas permanecen disponibles para las lecturas siguientes; la misma estrategia también permite la entrada interactiva. El validador comprueba el formato decimal y la finitud antes de convertir a Number.</w:t>
      </w:r>
    </w:p>
    <w:p w14:paraId="4896A83F" w14:textId="77777777" w:rsidR="008B6FC5" w:rsidRDefault="004409C8">
      <w:pPr>
        <w:pStyle w:val="ReportCode"/>
        <w:keepLines/>
        <w:widowControl w:val="0"/>
        <w:pBdr>
          <w:left w:val="single" w:sz="18" w:space="5" w:color="4A8066"/>
        </w:pBdr>
        <w:shd w:val="clear" w:color="auto" w:fill="F2F5F2"/>
        <w:spacing w:before="20" w:after="20"/>
        <w:ind w:left="173" w:right="115"/>
      </w:pPr>
      <w:r>
        <w:t>"use strict";</w:t>
        <w:br/>
        <w:br/>
        <w:t>const fs = require("node:fs");</w:t>
        <w:br/>
        <w:br/>
        <w:t>const NUMERO = /^[+-]?(?:[0-9]+(?:\.[0-9]+)?|\.[0-9]+)$/;</w:t>
        <w:br/>
        <w:br/>
        <w:t>function escribir(...valores) {</w:t>
        <w:br/>
        <w:t xml:space="preserve">  // fs.writeSync conserva el orden de Escribir y muestra el prompt antes de Leer.</w:t>
        <w:br/>
        <w:t xml:space="preserve">  fs.writeSync(1, valores.join("") + "\n");</w:t>
        <w:br/>
        <w:t>}</w:t>
        <w:br/>
        <w:br/>
        <w:t>function leerLinea() {</w:t>
        <w:br/>
        <w:t xml:space="preserve">  // Lee una línea por byte: funciona con consola interactiva y stdin enviado en lote.</w:t>
        <w:br/>
        <w:t xml:space="preserve">  const bytes = [];</w:t>
        <w:br/>
        <w:t xml:space="preserve">  const byte = Buffer.alloc(1);</w:t>
        <w:br/>
        <w:t xml:space="preserve">  while (true) {</w:t>
        <w:br/>
        <w:t xml:space="preserve">    const cantidad = fs.readSync(0, byte, 0, 1, null);</w:t>
        <w:br/>
        <w:t xml:space="preserve">    if (cantidad === 0) {</w:t>
        <w:br/>
        <w:t xml:space="preserve">      if (bytes.length === 0) throw new Error("No hay más datos de entrada.");</w:t>
        <w:br/>
        <w:t xml:space="preserve">      break;</w:t>
        <w:br/>
        <w:t xml:space="preserve">    }</w:t>
        <w:br/>
        <w:t xml:space="preserve">    if (byte[0] === 10) break;</w:t>
        <w:br/>
        <w:t xml:space="preserve">    if (byte[0] !== 13) bytes.push(byte[0]);</w:t>
        <w:br/>
        <w:t xml:space="preserve">  }</w:t>
        <w:br/>
        <w:t xml:space="preserve">  return Buffer.from(bytes).toString("utf8");</w:t>
        <w:br/>
        <w:t>}</w:t>
        <w:br/>
        <w:br/>
        <w:t>function leerNumero() {</w:t>
        <w:br/>
        <w:t xml:space="preserve">  // Valida la misma forma decimal y finitud usada por el runtime del compilador.</w:t>
        <w:br/>
        <w:t xml:space="preserve">  const entrada = leerLinea().trim();</w:t>
        <w:br/>
        <w:t xml:space="preserve">  if (!NUMERO.test(entrada)) throw new Error("Se esperaba un número decimal finito.");</w:t>
        <w:br/>
        <w:t xml:space="preserve">  const valor = Number(entrada);</w:t>
        <w:br/>
        <w:t xml:space="preserve">  if (!Number.isFinite(valor)) throw new Error("Se esperaba un número decimal finito.");</w:t>
        <w:br/>
        <w:t xml:space="preserve">  return valor;</w:t>
        <w:br/>
        <w:t>}</w:t>
        <w:br/>
        <w:br/>
        <w:t>function numeroATexto(valor) {</w:t>
        <w:br/>
        <w:t xml:space="preserve">  // JavaScript y el helper del compilador omiten el sufijo .0 de enteros.</w:t>
        <w:br/>
        <w:t xml:space="preserve">  if (Number.isInteger(valor)) return String(valor);</w:t>
        <w:br/>
        <w:t xml:space="preserve">  return String(Number(valor.toPrecision(15)));</w:t>
        <w:br/>
        <w:t>}</w:t>
        <w:br/>
        <w:br/>
        <w:t>// Cada Escribir termina la línea antes de la lectura correspondiente.</w:t>
        <w:br/>
        <w:t>escribir("Ingrese el primer número:");</w:t>
        <w:br/>
        <w:t>const a = leerNumero();</w:t>
        <w:br/>
        <w:t>escribir("Ingrese el segundo número:");</w:t>
        <w:br/>
        <w:t>const b = leerNumero();</w:t>
        <w:br/>
        <w:t>escribir("Ingrese el tercer número:");</w:t>
        <w:br/>
        <w:t>const c = leerNumero();</w:t>
        <w:br/>
        <w:br/>
        <w:t>// Los paréntesis preservan la agrupación del programa A.</w:t>
        <w:br/>
        <w:t>const resultado = ((a + b) * c) - (a / b);</w:t>
        <w:br/>
        <w:br/>
        <w:t>// Se concatena sin agregar un espacio entre los argumentos.</w:t>
        <w:br/>
        <w:t>escribir("El resultado es: ", numeroATexto(resultado));</w:t>
      </w:r>
    </w:p>
    <w:p w14:paraId="56C144CA" w14:textId="77777777" w:rsidR="008B6FC5" w:rsidRDefault="004409C8">
      <w:pPr>
        <w:pStyle w:val="ReportHeading2"/>
      </w:pPr>
      <w:r>
        <w:t>Casos y salidas finales oficiales</w:t>
      </w:r>
    </w:p>
    <w:tbl>
      <w:tblPr>
        <w:tblStyle w:val="TableNormal"/>
        <w:tblW w:w="0" w:type="auto"/>
        <w:jc w:val="center"/>
        <w:tblInd w:w="0" w:type="dxa"/>
        <w:tblLayout w:type="fixed"/>
        <w:tblLook w:val="04A0" w:firstRow="1" w:lastRow="0" w:firstColumn="1" w:lastColumn="0" w:noHBand="0" w:noVBand="1"/>
      </w:tblPr>
      <w:tblGrid>
        <w:gridCol w:w="3120"/>
        <w:gridCol w:w="3456"/>
        <w:gridCol w:w="4464"/>
      </w:tblGrid>
      <w:tr w:rsidR="008B6FC5" w14:paraId="0FD533EB" w14:textId="77777777">
        <w:trPr>
          <w:cantSplit/>
          <w:tblHeader/>
          <w:jc w:val="center"/>
        </w:trPr>
        <w:tc>
          <w:tcPr>
            <w:tcW w:w="1440" w:type="dxa"/>
            <w:tcBorders>
              <w:top w:val="single" w:sz="6" w:space="0" w:color="D4E0D8"/>
              <w:left w:val="single" w:sz="6" w:space="0" w:color="D4E0D8"/>
              <w:bottom w:val="single" w:sz="6" w:space="0" w:color="D4E0D8"/>
              <w:right w:val="single" w:sz="6" w:space="0" w:color="D4E0D8"/>
            </w:tcBorders>
            <w:shd w:val="clear" w:color="auto" w:fill="285A48"/>
            <w:tcMar>
              <w:top w:w="90" w:type="dxa"/>
              <w:left w:w="110" w:type="dxa"/>
              <w:bottom w:w="90" w:type="dxa"/>
              <w:right w:w="110" w:type="dxa"/>
            </w:tcMar>
            <w:vAlign w:val="center"/>
          </w:tcPr>
          <w:p w14:paraId="4F78D34C" w14:textId="77777777" w:rsidR="008B6FC5" w:rsidRDefault="004409C8">
            <w:pPr>
              <w:spacing w:after="0" w:line="240" w:lineRule="auto"/>
              <w:jc w:val="center"/>
            </w:pPr>
            <w:r>
              <w:rPr>
                <w:rFonts w:ascii="Arial" w:eastAsia="Arial" w:hAnsi="Arial"/>
                <w:b/>
                <w:color w:val="FFFFFF"/>
                <w:sz w:val="17"/>
              </w:rPr>
              <w:t>Caso</w:t>
            </w:r>
          </w:p>
        </w:tc>
        <w:tc>
          <w:tcPr>
            <w:tcW w:w="3456" w:type="dxa"/>
            <w:tcBorders>
              <w:top w:val="single" w:sz="6" w:space="0" w:color="D4E0D8"/>
              <w:left w:val="single" w:sz="6" w:space="0" w:color="D4E0D8"/>
              <w:bottom w:val="single" w:sz="6" w:space="0" w:color="D4E0D8"/>
              <w:right w:val="single" w:sz="6" w:space="0" w:color="D4E0D8"/>
            </w:tcBorders>
            <w:shd w:val="clear" w:color="auto" w:fill="285A48"/>
            <w:tcMar>
              <w:top w:w="90" w:type="dxa"/>
              <w:left w:w="110" w:type="dxa"/>
              <w:bottom w:w="90" w:type="dxa"/>
              <w:right w:w="110" w:type="dxa"/>
            </w:tcMar>
            <w:vAlign w:val="center"/>
          </w:tcPr>
          <w:p w14:paraId="694EE33F" w14:textId="77777777" w:rsidR="008B6FC5" w:rsidRDefault="004409C8">
            <w:pPr>
              <w:spacing w:after="0" w:line="240" w:lineRule="auto"/>
              <w:jc w:val="center"/>
            </w:pPr>
            <w:r>
              <w:rPr>
                <w:rFonts w:ascii="Arial" w:eastAsia="Arial" w:hAnsi="Arial"/>
                <w:b/>
                <w:color w:val="FFFFFF"/>
                <w:sz w:val="17"/>
              </w:rPr>
              <w:t>Entradas (orden de Leer)</w:t>
            </w:r>
          </w:p>
        </w:tc>
        <w:tc>
          <w:tcPr>
            <w:tcW w:w="4464" w:type="dxa"/>
            <w:tcBorders>
              <w:top w:val="single" w:sz="6" w:space="0" w:color="D4E0D8"/>
              <w:left w:val="single" w:sz="6" w:space="0" w:color="D4E0D8"/>
              <w:bottom w:val="single" w:sz="6" w:space="0" w:color="D4E0D8"/>
              <w:right w:val="single" w:sz="6" w:space="0" w:color="D4E0D8"/>
            </w:tcBorders>
            <w:shd w:val="clear" w:color="auto" w:fill="285A48"/>
            <w:tcMar>
              <w:top w:w="90" w:type="dxa"/>
              <w:left w:w="110" w:type="dxa"/>
              <w:bottom w:w="90" w:type="dxa"/>
              <w:right w:w="110" w:type="dxa"/>
            </w:tcMar>
            <w:vAlign w:val="center"/>
          </w:tcPr>
          <w:p w14:paraId="1270E386" w14:textId="77777777" w:rsidR="008B6FC5" w:rsidRDefault="004409C8">
            <w:pPr>
              <w:spacing w:after="0" w:line="240" w:lineRule="auto"/>
              <w:jc w:val="center"/>
            </w:pPr>
            <w:r>
              <w:rPr>
                <w:rFonts w:ascii="Arial" w:eastAsia="Arial" w:hAnsi="Arial"/>
                <w:b/>
                <w:color w:val="FFFFFF"/>
                <w:sz w:val="17"/>
              </w:rPr>
              <w:t>Salida final oficial</w:t>
            </w:r>
          </w:p>
        </w:tc>
      </w:tr>
      <w:tr w:rsidR="008B6FC5" w14:paraId="3097D08C" w14:textId="77777777">
        <w:trPr>
          <w:jc w:val="center"/>
        </w:trPr>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0135869B" w14:textId="77777777" w:rsidR="008B6FC5" w:rsidRDefault="004409C8">
            <w:pPr>
              <w:spacing w:after="0" w:line="240" w:lineRule="auto"/>
            </w:pPr>
            <w:r>
              <w:rPr>
                <w:rFonts w:ascii="Arial" w:eastAsia="Arial" w:hAnsi="Arial"/>
                <w:color w:val="263337"/>
                <w:sz w:val="17"/>
              </w:rPr>
              <w:t>A-1</w:t>
            </w:r>
          </w:p>
        </w:tc>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7D799FAD" w14:textId="77777777" w:rsidR="008B6FC5" w:rsidRDefault="004409C8">
            <w:pPr>
              <w:spacing w:after="0" w:line="240" w:lineRule="auto"/>
            </w:pPr>
            <w:r>
              <w:rPr>
                <w:rFonts w:ascii="Arial" w:eastAsia="Arial" w:hAnsi="Arial"/>
                <w:color w:val="263337"/>
                <w:sz w:val="17"/>
              </w:rPr>
              <w:t>a=4, b=2, c=3</w:t>
            </w:r>
          </w:p>
        </w:tc>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3DEFB8F8" w14:textId="77777777" w:rsidR="008B6FC5" w:rsidRDefault="004409C8">
            <w:pPr>
              <w:spacing w:after="0" w:line="240" w:lineRule="auto"/>
            </w:pPr>
            <w:r>
              <w:rPr>
                <w:rFonts w:ascii="Arial" w:eastAsia="Arial" w:hAnsi="Arial"/>
                <w:color w:val="263337"/>
                <w:sz w:val="17"/>
              </w:rPr>
              <w:t>El resultado es: 16</w:t>
            </w:r>
          </w:p>
        </w:tc>
      </w:tr>
      <w:tr w:rsidR="008B6FC5" w14:paraId="53AC25BB" w14:textId="77777777">
        <w:trPr>
          <w:jc w:val="center"/>
        </w:trPr>
        <w:tc>
          <w:tcPr>
            <w:tcW w:w="3120" w:type="dxa"/>
            <w:tcBorders>
              <w:top w:val="single" w:sz="6" w:space="0" w:color="D4E0D8"/>
              <w:left w:val="single" w:sz="6" w:space="0" w:color="D4E0D8"/>
              <w:bottom w:val="single" w:sz="6" w:space="0" w:color="D4E0D8"/>
              <w:right w:val="single" w:sz="6" w:space="0" w:color="D4E0D8"/>
            </w:tcBorders>
            <w:shd w:val="clear" w:color="auto" w:fill="F4F7F3"/>
            <w:tcMar>
              <w:top w:w="90" w:type="dxa"/>
              <w:left w:w="110" w:type="dxa"/>
              <w:bottom w:w="90" w:type="dxa"/>
              <w:right w:w="110" w:type="dxa"/>
            </w:tcMar>
            <w:vAlign w:val="center"/>
          </w:tcPr>
          <w:p w14:paraId="4B284527" w14:textId="77777777" w:rsidR="008B6FC5" w:rsidRDefault="004409C8">
            <w:pPr>
              <w:spacing w:after="0" w:line="240" w:lineRule="auto"/>
            </w:pPr>
            <w:r>
              <w:rPr>
                <w:rFonts w:ascii="Arial" w:eastAsia="Arial" w:hAnsi="Arial"/>
                <w:color w:val="263337"/>
                <w:sz w:val="17"/>
              </w:rPr>
              <w:t>A-2</w:t>
            </w:r>
          </w:p>
        </w:tc>
        <w:tc>
          <w:tcPr>
            <w:tcW w:w="3120" w:type="dxa"/>
            <w:tcBorders>
              <w:top w:val="single" w:sz="6" w:space="0" w:color="D4E0D8"/>
              <w:left w:val="single" w:sz="6" w:space="0" w:color="D4E0D8"/>
              <w:bottom w:val="single" w:sz="6" w:space="0" w:color="D4E0D8"/>
              <w:right w:val="single" w:sz="6" w:space="0" w:color="D4E0D8"/>
            </w:tcBorders>
            <w:shd w:val="clear" w:color="auto" w:fill="F4F7F3"/>
            <w:tcMar>
              <w:top w:w="90" w:type="dxa"/>
              <w:left w:w="110" w:type="dxa"/>
              <w:bottom w:w="90" w:type="dxa"/>
              <w:right w:w="110" w:type="dxa"/>
            </w:tcMar>
            <w:vAlign w:val="center"/>
          </w:tcPr>
          <w:p w14:paraId="62F1CF25" w14:textId="77777777" w:rsidR="008B6FC5" w:rsidRDefault="004409C8">
            <w:pPr>
              <w:spacing w:after="0" w:line="240" w:lineRule="auto"/>
            </w:pPr>
            <w:r>
              <w:rPr>
                <w:rFonts w:ascii="Arial" w:eastAsia="Arial" w:hAnsi="Arial"/>
                <w:color w:val="263337"/>
                <w:sz w:val="17"/>
              </w:rPr>
              <w:t>a=10, b=5, c=2</w:t>
            </w:r>
          </w:p>
        </w:tc>
        <w:tc>
          <w:tcPr>
            <w:tcW w:w="3120" w:type="dxa"/>
            <w:tcBorders>
              <w:top w:val="single" w:sz="6" w:space="0" w:color="D4E0D8"/>
              <w:left w:val="single" w:sz="6" w:space="0" w:color="D4E0D8"/>
              <w:bottom w:val="single" w:sz="6" w:space="0" w:color="D4E0D8"/>
              <w:right w:val="single" w:sz="6" w:space="0" w:color="D4E0D8"/>
            </w:tcBorders>
            <w:shd w:val="clear" w:color="auto" w:fill="F4F7F3"/>
            <w:tcMar>
              <w:top w:w="90" w:type="dxa"/>
              <w:left w:w="110" w:type="dxa"/>
              <w:bottom w:w="90" w:type="dxa"/>
              <w:right w:w="110" w:type="dxa"/>
            </w:tcMar>
            <w:vAlign w:val="center"/>
          </w:tcPr>
          <w:p w14:paraId="71A4A072" w14:textId="77777777" w:rsidR="008B6FC5" w:rsidRDefault="004409C8">
            <w:pPr>
              <w:spacing w:after="0" w:line="240" w:lineRule="auto"/>
            </w:pPr>
            <w:r>
              <w:rPr>
                <w:rFonts w:ascii="Arial" w:eastAsia="Arial" w:hAnsi="Arial"/>
                <w:color w:val="263337"/>
                <w:sz w:val="17"/>
              </w:rPr>
              <w:t>El resultado es: 28</w:t>
            </w:r>
          </w:p>
        </w:tc>
      </w:tr>
      <w:tr w:rsidR="008B6FC5" w14:paraId="12589CBE" w14:textId="77777777">
        <w:trPr>
          <w:jc w:val="center"/>
        </w:trPr>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0E305B91" w14:textId="77777777" w:rsidR="008B6FC5" w:rsidRDefault="004409C8">
            <w:pPr>
              <w:spacing w:after="0" w:line="240" w:lineRule="auto"/>
            </w:pPr>
            <w:r>
              <w:rPr>
                <w:rFonts w:ascii="Arial" w:eastAsia="Arial" w:hAnsi="Arial"/>
                <w:color w:val="263337"/>
                <w:sz w:val="17"/>
              </w:rPr>
              <w:t>A-3</w:t>
            </w:r>
          </w:p>
        </w:tc>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70357AFA" w14:textId="77777777" w:rsidR="008B6FC5" w:rsidRDefault="004409C8">
            <w:pPr>
              <w:spacing w:after="0" w:line="240" w:lineRule="auto"/>
            </w:pPr>
            <w:r>
              <w:rPr>
                <w:rFonts w:ascii="Arial" w:eastAsia="Arial" w:hAnsi="Arial"/>
                <w:color w:val="263337"/>
                <w:sz w:val="17"/>
              </w:rPr>
              <w:t>a=6, b=3, c=4</w:t>
            </w:r>
          </w:p>
        </w:tc>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4EBBB697" w14:textId="77777777" w:rsidR="008B6FC5" w:rsidRDefault="004409C8">
            <w:pPr>
              <w:spacing w:after="0" w:line="240" w:lineRule="auto"/>
            </w:pPr>
            <w:r>
              <w:rPr>
                <w:rFonts w:ascii="Arial" w:eastAsia="Arial" w:hAnsi="Arial"/>
                <w:color w:val="263337"/>
                <w:sz w:val="17"/>
              </w:rPr>
              <w:t>El resultado es: 34</w:t>
            </w:r>
          </w:p>
        </w:tc>
      </w:tr>
    </w:tbl>
    <w:p w14:paraId="6C81EF5A" w14:textId="77777777" w:rsidR="008B6FC5" w:rsidRDefault="004409C8">
      <w:pPr>
        <w:pStyle w:val="ReportBody"/>
      </w:pPr>
      <w:r>
        <w:t>Los valores enteros se convierten a su representación decimal sin sufijo .0 en JavaScript; por ello los tres resultados coinciden literalmente con la tabla oficial. La fórmula y las entradas no se modifican (</w:t>
      </w:r>
      <w:proofErr w:type="spellStart"/>
      <w:r>
        <w:t>Ecma</w:t>
      </w:r>
      <w:proofErr w:type="spellEnd"/>
      <w:r>
        <w:t xml:space="preserve"> International, 2024; </w:t>
      </w:r>
      <w:proofErr w:type="spellStart"/>
      <w:r>
        <w:t>OpenJS</w:t>
      </w:r>
      <w:proofErr w:type="spellEnd"/>
      <w:r>
        <w:t xml:space="preserve"> </w:t>
      </w:r>
      <w:proofErr w:type="spellStart"/>
      <w:r>
        <w:t>Foundation</w:t>
      </w:r>
      <w:proofErr w:type="spellEnd"/>
      <w:r>
        <w:t>, s. f.; Pseudo / Studio, 2026b).</w:t>
      </w:r>
    </w:p>
    <w:p w14:paraId="4FC830BA" w14:textId="77777777" w:rsidR="008B6FC5" w:rsidRDefault="004409C8">
      <w:r>
        <w:br w:type="page"/>
      </w:r>
    </w:p>
    <w:p w14:paraId="4E02321A" w14:textId="77777777" w:rsidR="008B6FC5" w:rsidRDefault="004409C8">
      <w:bookmarkStart w:id="87" w:name="Sec08"/>
      <w:pPr>
        <w:pStyle w:val="ReportHeading1"/>
      </w:pPr>
      <w:bookmarkStart w:id="7" w:name="sec_8"/>
      <w:r>
        <w:lastRenderedPageBreak/>
        <w:t>8. Traducción manual del Programa B a Python</w:t>
      </w:r>
      <w:bookmarkEnd w:id="7"/>
      <w:bookmarkEnd w:id="87"/>
    </w:p>
    <w:p w14:paraId="4548E3D1" w14:textId="77777777" w:rsidR="008B6FC5" w:rsidRDefault="004409C8">
      <w:pPr>
        <w:pStyle w:val="ReportBody"/>
        <w:keepLines/>
      </w:pPr>
      <w:r>
        <w:t xml:space="preserve">Fuente académica: </w:t>
      </w:r>
      <w:proofErr w:type="spellStart"/>
      <w:r>
        <w:t>examples</w:t>
      </w:r>
      <w:proofErr w:type="spellEnd"/>
      <w:r>
        <w:t>/</w:t>
      </w:r>
      <w:proofErr w:type="spellStart"/>
      <w:r>
        <w:t>B.psc</w:t>
      </w:r>
      <w:proofErr w:type="spellEnd"/>
      <w:r>
        <w:t xml:space="preserve"> y Fase 1, ejercicio B. La traducción conserva el orden de las lecturas, los mensajes y las operaciones del pseudocódigo. El código de abajo es una traducción manual ilustrativa para comparar lenguajes; no es una copia de la salida del generador del compilador.</w:t>
      </w:r>
    </w:p>
    <w:p w14:paraId="185890A3" w14:textId="77777777" w:rsidR="008B6FC5" w:rsidRDefault="004409C8">
      <w:pPr>
        <w:pStyle w:val="ReportBody"/>
      </w:pPr>
      <w:r>
        <w:t>La estructura conserva el condicional anidado del pseudocódigo. Primero se evalúa aprobación conjunta por nota y asistencia. Solo en la rama Sino se prueba el segundo Si; si ninguna condición se cumple, se comunica reprobación por nota.</w:t>
      </w:r>
    </w:p>
    <w:p w14:paraId="18B16A2D" w14:textId="77777777" w:rsidR="008B6FC5" w:rsidRDefault="004409C8">
      <w:pPr>
        <w:pStyle w:val="ReportCode"/>
        <w:keepLines/>
        <w:widowControl w:val="0"/>
        <w:pBdr>
          <w:left w:val="single" w:sz="18" w:space="5" w:color="4A8066"/>
        </w:pBdr>
        <w:shd w:val="clear" w:color="auto" w:fill="F2F5F2"/>
        <w:spacing w:before="20" w:after="20"/>
        <w:ind w:left="173" w:right="115"/>
      </w:pPr>
      <w:r>
        <w:t>"""Traducción manual comentada del programa B para Python 3.12."""</w:t>
        <w:br/>
        <w:br/>
        <w:t>import math</w:t>
        <w:br/>
        <w:t>import re</w:t>
        <w:br/>
        <w:br/>
        <w:t>_NUMERO = re.compile(r"[+-]?(?:[0-9]+(?:\.[0-9]+)?|\.[0-9]+)\Z")</w:t>
        <w:br/>
        <w:br/>
        <w:br/>
        <w:t>def leer_numero():</w:t>
        <w:br/>
        <w:t xml:space="preserve">    """Lee un valor finito de una línea de stdin."""</w:t>
        <w:br/>
        <w:t xml:space="preserve">    entrada = input().strip()</w:t>
        <w:br/>
        <w:t xml:space="preserve">    if not _NUMERO.fullmatch(entrada):</w:t>
        <w:br/>
        <w:t xml:space="preserve">        raise ValueError("Se esperaba un número decimal finito.")</w:t>
        <w:br/>
        <w:t xml:space="preserve">    valor = float(entrada)</w:t>
        <w:br/>
        <w:t xml:space="preserve">    if not math.isfinite(valor):</w:t>
        <w:br/>
        <w:t xml:space="preserve">        raise ValueError("Se esperaba un número decimal finito.")</w:t>
        <w:br/>
        <w:t xml:space="preserve">    return valor</w:t>
        <w:br/>
        <w:br/>
        <w:br/>
        <w:t># Los mensajes aparecen en su propia línea, como en el pseudocódigo fuente.</w:t>
        <w:br/>
        <w:t>print("Ingrese su nota final:")</w:t>
        <w:br/>
        <w:t>nota = leer_numero()</w:t>
        <w:br/>
        <w:t>print("Ingrese su porcentaje de asistencia:")</w:t>
        <w:br/>
        <w:t>asistencia = leer_numero()</w:t>
        <w:br/>
        <w:br/>
        <w:t># Se conserva la primera condición y su Si anidado dentro de Sino.</w:t>
        <w:br/>
        <w:t>if nota &gt;= 6 and asistencia &gt;= 75:</w:t>
        <w:br/>
        <w:t xml:space="preserve">    print("Aprobado")</w:t>
        <w:br/>
        <w:t>else:</w:t>
        <w:br/>
        <w:t xml:space="preserve">    if nota &gt;= 6 and asistencia &lt; 75:</w:t>
        <w:br/>
        <w:t xml:space="preserve">        print("Reprobado por asistencia")</w:t>
        <w:br/>
        <w:t xml:space="preserve">    else:</w:t>
        <w:br/>
        <w:t xml:space="preserve">        print("Reprobado por nota")</w:t>
      </w:r>
    </w:p>
    <w:p w14:paraId="6942F339" w14:textId="77777777" w:rsidR="008B6FC5" w:rsidRDefault="004409C8">
      <w:pPr>
        <w:pStyle w:val="ReportHeading2"/>
      </w:pPr>
      <w:r>
        <w:t>Casos y salidas finales oficiales</w:t>
      </w:r>
    </w:p>
    <w:tbl>
      <w:tblPr>
        <w:tblStyle w:val="TableNormal"/>
        <w:tblW w:w="0" w:type="auto"/>
        <w:jc w:val="center"/>
        <w:tblInd w:w="0" w:type="dxa"/>
        <w:tblLayout w:type="fixed"/>
        <w:tblLook w:val="04A0" w:firstRow="1" w:lastRow="0" w:firstColumn="1" w:lastColumn="0" w:noHBand="0" w:noVBand="1"/>
      </w:tblPr>
      <w:tblGrid>
        <w:gridCol w:w="3120"/>
        <w:gridCol w:w="3456"/>
        <w:gridCol w:w="4464"/>
      </w:tblGrid>
      <w:tr w:rsidR="008B6FC5" w14:paraId="76F08801" w14:textId="77777777">
        <w:trPr>
          <w:cantSplit/>
          <w:tblHeader/>
          <w:jc w:val="center"/>
        </w:trPr>
        <w:tc>
          <w:tcPr>
            <w:tcW w:w="1440" w:type="dxa"/>
            <w:tcBorders>
              <w:top w:val="single" w:sz="6" w:space="0" w:color="D4E0D8"/>
              <w:left w:val="single" w:sz="6" w:space="0" w:color="D4E0D8"/>
              <w:bottom w:val="single" w:sz="6" w:space="0" w:color="D4E0D8"/>
              <w:right w:val="single" w:sz="6" w:space="0" w:color="D4E0D8"/>
            </w:tcBorders>
            <w:shd w:val="clear" w:color="auto" w:fill="285A48"/>
            <w:tcMar>
              <w:top w:w="90" w:type="dxa"/>
              <w:left w:w="110" w:type="dxa"/>
              <w:bottom w:w="90" w:type="dxa"/>
              <w:right w:w="110" w:type="dxa"/>
            </w:tcMar>
            <w:vAlign w:val="center"/>
          </w:tcPr>
          <w:p w14:paraId="4879B85C" w14:textId="77777777" w:rsidR="008B6FC5" w:rsidRDefault="004409C8">
            <w:pPr>
              <w:spacing w:after="0" w:line="240" w:lineRule="auto"/>
              <w:jc w:val="center"/>
            </w:pPr>
            <w:r>
              <w:rPr>
                <w:rFonts w:ascii="Arial" w:eastAsia="Arial" w:hAnsi="Arial"/>
                <w:b/>
                <w:color w:val="FFFFFF"/>
                <w:sz w:val="17"/>
              </w:rPr>
              <w:t>Caso</w:t>
            </w:r>
          </w:p>
        </w:tc>
        <w:tc>
          <w:tcPr>
            <w:tcW w:w="3456" w:type="dxa"/>
            <w:tcBorders>
              <w:top w:val="single" w:sz="6" w:space="0" w:color="D4E0D8"/>
              <w:left w:val="single" w:sz="6" w:space="0" w:color="D4E0D8"/>
              <w:bottom w:val="single" w:sz="6" w:space="0" w:color="D4E0D8"/>
              <w:right w:val="single" w:sz="6" w:space="0" w:color="D4E0D8"/>
            </w:tcBorders>
            <w:shd w:val="clear" w:color="auto" w:fill="285A48"/>
            <w:tcMar>
              <w:top w:w="90" w:type="dxa"/>
              <w:left w:w="110" w:type="dxa"/>
              <w:bottom w:w="90" w:type="dxa"/>
              <w:right w:w="110" w:type="dxa"/>
            </w:tcMar>
            <w:vAlign w:val="center"/>
          </w:tcPr>
          <w:p w14:paraId="00A2756C" w14:textId="77777777" w:rsidR="008B6FC5" w:rsidRDefault="004409C8">
            <w:pPr>
              <w:spacing w:after="0" w:line="240" w:lineRule="auto"/>
              <w:jc w:val="center"/>
            </w:pPr>
            <w:r>
              <w:rPr>
                <w:rFonts w:ascii="Arial" w:eastAsia="Arial" w:hAnsi="Arial"/>
                <w:b/>
                <w:color w:val="FFFFFF"/>
                <w:sz w:val="17"/>
              </w:rPr>
              <w:t>Entradas (orden de Leer)</w:t>
            </w:r>
          </w:p>
        </w:tc>
        <w:tc>
          <w:tcPr>
            <w:tcW w:w="4464" w:type="dxa"/>
            <w:tcBorders>
              <w:top w:val="single" w:sz="6" w:space="0" w:color="D4E0D8"/>
              <w:left w:val="single" w:sz="6" w:space="0" w:color="D4E0D8"/>
              <w:bottom w:val="single" w:sz="6" w:space="0" w:color="D4E0D8"/>
              <w:right w:val="single" w:sz="6" w:space="0" w:color="D4E0D8"/>
            </w:tcBorders>
            <w:shd w:val="clear" w:color="auto" w:fill="285A48"/>
            <w:tcMar>
              <w:top w:w="90" w:type="dxa"/>
              <w:left w:w="110" w:type="dxa"/>
              <w:bottom w:w="90" w:type="dxa"/>
              <w:right w:w="110" w:type="dxa"/>
            </w:tcMar>
            <w:vAlign w:val="center"/>
          </w:tcPr>
          <w:p w14:paraId="737F5519" w14:textId="77777777" w:rsidR="008B6FC5" w:rsidRDefault="004409C8">
            <w:pPr>
              <w:spacing w:after="0" w:line="240" w:lineRule="auto"/>
              <w:jc w:val="center"/>
            </w:pPr>
            <w:r>
              <w:rPr>
                <w:rFonts w:ascii="Arial" w:eastAsia="Arial" w:hAnsi="Arial"/>
                <w:b/>
                <w:color w:val="FFFFFF"/>
                <w:sz w:val="17"/>
              </w:rPr>
              <w:t>Salida final oficial</w:t>
            </w:r>
          </w:p>
        </w:tc>
      </w:tr>
      <w:tr w:rsidR="008B6FC5" w14:paraId="1ACEEF10" w14:textId="77777777">
        <w:trPr>
          <w:jc w:val="center"/>
        </w:trPr>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049E97B6" w14:textId="77777777" w:rsidR="008B6FC5" w:rsidRDefault="004409C8">
            <w:pPr>
              <w:spacing w:after="0" w:line="240" w:lineRule="auto"/>
            </w:pPr>
            <w:r>
              <w:rPr>
                <w:rFonts w:ascii="Arial" w:eastAsia="Arial" w:hAnsi="Arial"/>
                <w:color w:val="263337"/>
                <w:sz w:val="17"/>
              </w:rPr>
              <w:t>B-1</w:t>
            </w:r>
          </w:p>
        </w:tc>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532ED2A5" w14:textId="77777777" w:rsidR="008B6FC5" w:rsidRDefault="004409C8">
            <w:pPr>
              <w:spacing w:after="0" w:line="240" w:lineRule="auto"/>
            </w:pPr>
            <w:r>
              <w:rPr>
                <w:rFonts w:ascii="Arial" w:eastAsia="Arial" w:hAnsi="Arial"/>
                <w:color w:val="263337"/>
                <w:sz w:val="17"/>
              </w:rPr>
              <w:t>nota=8, asistencia=80</w:t>
            </w:r>
          </w:p>
        </w:tc>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4653E041" w14:textId="77777777" w:rsidR="008B6FC5" w:rsidRDefault="004409C8">
            <w:pPr>
              <w:spacing w:after="0" w:line="240" w:lineRule="auto"/>
            </w:pPr>
            <w:r>
              <w:rPr>
                <w:rFonts w:ascii="Arial" w:eastAsia="Arial" w:hAnsi="Arial"/>
                <w:color w:val="263337"/>
                <w:sz w:val="17"/>
              </w:rPr>
              <w:t>Aprobado</w:t>
            </w:r>
          </w:p>
        </w:tc>
      </w:tr>
      <w:tr w:rsidR="008B6FC5" w14:paraId="6AFDC712" w14:textId="77777777">
        <w:trPr>
          <w:jc w:val="center"/>
        </w:trPr>
        <w:tc>
          <w:tcPr>
            <w:tcW w:w="3120" w:type="dxa"/>
            <w:tcBorders>
              <w:top w:val="single" w:sz="6" w:space="0" w:color="D4E0D8"/>
              <w:left w:val="single" w:sz="6" w:space="0" w:color="D4E0D8"/>
              <w:bottom w:val="single" w:sz="6" w:space="0" w:color="D4E0D8"/>
              <w:right w:val="single" w:sz="6" w:space="0" w:color="D4E0D8"/>
            </w:tcBorders>
            <w:shd w:val="clear" w:color="auto" w:fill="F4F7F3"/>
            <w:tcMar>
              <w:top w:w="90" w:type="dxa"/>
              <w:left w:w="110" w:type="dxa"/>
              <w:bottom w:w="90" w:type="dxa"/>
              <w:right w:w="110" w:type="dxa"/>
            </w:tcMar>
            <w:vAlign w:val="center"/>
          </w:tcPr>
          <w:p w14:paraId="0FB5FD4D" w14:textId="77777777" w:rsidR="008B6FC5" w:rsidRDefault="004409C8">
            <w:pPr>
              <w:spacing w:after="0" w:line="240" w:lineRule="auto"/>
            </w:pPr>
            <w:r>
              <w:rPr>
                <w:rFonts w:ascii="Arial" w:eastAsia="Arial" w:hAnsi="Arial"/>
                <w:color w:val="263337"/>
                <w:sz w:val="17"/>
              </w:rPr>
              <w:t>B-2</w:t>
            </w:r>
          </w:p>
        </w:tc>
        <w:tc>
          <w:tcPr>
            <w:tcW w:w="3120" w:type="dxa"/>
            <w:tcBorders>
              <w:top w:val="single" w:sz="6" w:space="0" w:color="D4E0D8"/>
              <w:left w:val="single" w:sz="6" w:space="0" w:color="D4E0D8"/>
              <w:bottom w:val="single" w:sz="6" w:space="0" w:color="D4E0D8"/>
              <w:right w:val="single" w:sz="6" w:space="0" w:color="D4E0D8"/>
            </w:tcBorders>
            <w:shd w:val="clear" w:color="auto" w:fill="F4F7F3"/>
            <w:tcMar>
              <w:top w:w="90" w:type="dxa"/>
              <w:left w:w="110" w:type="dxa"/>
              <w:bottom w:w="90" w:type="dxa"/>
              <w:right w:w="110" w:type="dxa"/>
            </w:tcMar>
            <w:vAlign w:val="center"/>
          </w:tcPr>
          <w:p w14:paraId="53C32732" w14:textId="77777777" w:rsidR="008B6FC5" w:rsidRDefault="004409C8">
            <w:pPr>
              <w:spacing w:after="0" w:line="240" w:lineRule="auto"/>
            </w:pPr>
            <w:r>
              <w:rPr>
                <w:rFonts w:ascii="Arial" w:eastAsia="Arial" w:hAnsi="Arial"/>
                <w:color w:val="263337"/>
                <w:sz w:val="17"/>
              </w:rPr>
              <w:t>nota=7, asistencia=60</w:t>
            </w:r>
          </w:p>
        </w:tc>
        <w:tc>
          <w:tcPr>
            <w:tcW w:w="3120" w:type="dxa"/>
            <w:tcBorders>
              <w:top w:val="single" w:sz="6" w:space="0" w:color="D4E0D8"/>
              <w:left w:val="single" w:sz="6" w:space="0" w:color="D4E0D8"/>
              <w:bottom w:val="single" w:sz="6" w:space="0" w:color="D4E0D8"/>
              <w:right w:val="single" w:sz="6" w:space="0" w:color="D4E0D8"/>
            </w:tcBorders>
            <w:shd w:val="clear" w:color="auto" w:fill="F4F7F3"/>
            <w:tcMar>
              <w:top w:w="90" w:type="dxa"/>
              <w:left w:w="110" w:type="dxa"/>
              <w:bottom w:w="90" w:type="dxa"/>
              <w:right w:w="110" w:type="dxa"/>
            </w:tcMar>
            <w:vAlign w:val="center"/>
          </w:tcPr>
          <w:p w14:paraId="00C39A29" w14:textId="77777777" w:rsidR="008B6FC5" w:rsidRDefault="004409C8">
            <w:pPr>
              <w:spacing w:after="0" w:line="240" w:lineRule="auto"/>
            </w:pPr>
            <w:r>
              <w:rPr>
                <w:rFonts w:ascii="Arial" w:eastAsia="Arial" w:hAnsi="Arial"/>
                <w:color w:val="263337"/>
                <w:sz w:val="17"/>
              </w:rPr>
              <w:t>Reprobado por asistencia</w:t>
            </w:r>
          </w:p>
        </w:tc>
      </w:tr>
      <w:tr w:rsidR="008B6FC5" w14:paraId="2C096E2F" w14:textId="77777777">
        <w:trPr>
          <w:jc w:val="center"/>
        </w:trPr>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24CAF5E1" w14:textId="77777777" w:rsidR="008B6FC5" w:rsidRDefault="004409C8">
            <w:pPr>
              <w:spacing w:after="0" w:line="240" w:lineRule="auto"/>
            </w:pPr>
            <w:r>
              <w:rPr>
                <w:rFonts w:ascii="Arial" w:eastAsia="Arial" w:hAnsi="Arial"/>
                <w:color w:val="263337"/>
                <w:sz w:val="17"/>
              </w:rPr>
              <w:t>B-3</w:t>
            </w:r>
          </w:p>
        </w:tc>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19476CD1" w14:textId="77777777" w:rsidR="008B6FC5" w:rsidRDefault="004409C8">
            <w:pPr>
              <w:spacing w:after="0" w:line="240" w:lineRule="auto"/>
            </w:pPr>
            <w:r>
              <w:rPr>
                <w:rFonts w:ascii="Arial" w:eastAsia="Arial" w:hAnsi="Arial"/>
                <w:color w:val="263337"/>
                <w:sz w:val="17"/>
              </w:rPr>
              <w:t>nota=4, asistencia=90</w:t>
            </w:r>
          </w:p>
        </w:tc>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64264A9E" w14:textId="77777777" w:rsidR="008B6FC5" w:rsidRDefault="004409C8">
            <w:pPr>
              <w:spacing w:after="0" w:line="240" w:lineRule="auto"/>
            </w:pPr>
            <w:r>
              <w:rPr>
                <w:rFonts w:ascii="Arial" w:eastAsia="Arial" w:hAnsi="Arial"/>
                <w:color w:val="263337"/>
                <w:sz w:val="17"/>
              </w:rPr>
              <w:t>Reprobado por nota</w:t>
            </w:r>
          </w:p>
        </w:tc>
      </w:tr>
    </w:tbl>
    <w:p w14:paraId="00D4D24D" w14:textId="77777777" w:rsidR="008B6FC5" w:rsidRDefault="004409C8">
      <w:pPr>
        <w:pStyle w:val="ReportBody"/>
      </w:pPr>
      <w:r>
        <w:t>B-1 cumple ambas comparaciones. B-2 cumple nota≥6, pero no asistencia≥75; por eso entra en la rama de asistencia insuficiente. B-3 no cumple nota≥6 y cae en la última rama. Las comparaciones se conservan como condiciones explícitas, sin cambiar los umbrales (Pseudo / Studio, 2026b).</w:t>
      </w:r>
    </w:p>
    <w:p w14:paraId="7F94838C" w14:textId="77777777" w:rsidR="008B6FC5" w:rsidRDefault="004409C8">
      <w:r>
        <w:br w:type="page"/>
      </w:r>
    </w:p>
    <w:p w14:paraId="7F879F2C" w14:textId="77777777" w:rsidR="008B6FC5" w:rsidRDefault="004409C8">
      <w:bookmarkStart w:id="94" w:name="Sec09"/>
      <w:pPr>
        <w:pStyle w:val="ReportHeading1"/>
      </w:pPr>
      <w:bookmarkStart w:id="8" w:name="sec_9"/>
      <w:r>
        <w:lastRenderedPageBreak/>
        <w:t>9. Traducción manual del Programa B a JavaScript</w:t>
      </w:r>
      <w:bookmarkEnd w:id="8"/>
      <w:bookmarkEnd w:id="94"/>
    </w:p>
    <w:p w14:paraId="10F25665" w14:textId="77777777" w:rsidR="008B6FC5" w:rsidRDefault="004409C8">
      <w:pPr>
        <w:pStyle w:val="ReportBody"/>
        <w:keepLines/>
      </w:pPr>
      <w:r>
        <w:t xml:space="preserve">Fuente académica: </w:t>
      </w:r>
      <w:proofErr w:type="spellStart"/>
      <w:r>
        <w:t>examples</w:t>
      </w:r>
      <w:proofErr w:type="spellEnd"/>
      <w:r>
        <w:t>/</w:t>
      </w:r>
      <w:proofErr w:type="spellStart"/>
      <w:r>
        <w:t>B.psc</w:t>
      </w:r>
      <w:proofErr w:type="spellEnd"/>
      <w:r>
        <w:t xml:space="preserve"> y Fase 1, ejercicio B. La traducción conserva el orden de las lecturas, los mensajes y las operaciones del pseudocódigo. El código de abajo es una traducción manual ilustrativa para comparar lenguajes; no es una copia de la salida del generador del compilador.</w:t>
      </w:r>
    </w:p>
    <w:p w14:paraId="3BE91A76" w14:textId="77777777" w:rsidR="008B6FC5" w:rsidRDefault="004409C8">
      <w:pPr>
        <w:pStyle w:val="ReportBody"/>
      </w:pPr>
      <w:r>
        <w:t>En JavaScript, Y se representa con &amp;&amp;. Se conservan las llaves de cada rama y el segundo condicional dentro de else. Las entradas numéricas se leen de una línea cada vez, incluso cuando el proceso recibe el lote completo antes de comenzar.</w:t>
      </w:r>
    </w:p>
    <w:p w14:paraId="78A8FC6D" w14:textId="77777777" w:rsidR="008B6FC5" w:rsidRDefault="004409C8">
      <w:pPr>
        <w:pStyle w:val="ReportCode"/>
        <w:keepLines/>
        <w:widowControl w:val="0"/>
        <w:pBdr>
          <w:left w:val="single" w:sz="18" w:space="5" w:color="4A8066"/>
        </w:pBdr>
        <w:shd w:val="clear" w:color="auto" w:fill="F2F5F2"/>
        <w:spacing w:before="20" w:after="20"/>
        <w:ind w:left="173" w:right="115"/>
      </w:pPr>
      <w:r>
        <w:t>"use strict";</w:t>
        <w:br/>
        <w:br/>
        <w:t>const fs = require("node:fs");</w:t>
        <w:br/>
        <w:br/>
        <w:t>const NUMERO = /^[+-]?(?:[0-9]+(?:\.[0-9]+)?|\.[0-9]+)$/;</w:t>
        <w:br/>
        <w:br/>
        <w:t>function escribir(...valores) {</w:t>
        <w:br/>
        <w:t xml:space="preserve">  // La escritura síncrona evita que la lectura bloqueante esconda el prompt.</w:t>
        <w:br/>
        <w:t xml:space="preserve">  fs.writeSync(1, valores.join("") + "\n");</w:t>
        <w:br/>
        <w:t>}</w:t>
        <w:br/>
        <w:br/>
        <w:t>function leerLinea() {</w:t>
        <w:br/>
        <w:t xml:space="preserve">  // Consume una línea; las demás entradas quedan disponibles para la siguiente lectura.</w:t>
        <w:br/>
        <w:t xml:space="preserve">  const bytes = [];</w:t>
        <w:br/>
        <w:t xml:space="preserve">  const byte = Buffer.alloc(1);</w:t>
        <w:br/>
        <w:t xml:space="preserve">  while (true) {</w:t>
        <w:br/>
        <w:t xml:space="preserve">    const cantidad = fs.readSync(0, byte, 0, 1, null);</w:t>
        <w:br/>
        <w:t xml:space="preserve">    if (cantidad === 0) {</w:t>
        <w:br/>
        <w:t xml:space="preserve">      if (bytes.length === 0) throw new Error("No hay más datos de entrada.");</w:t>
        <w:br/>
        <w:t xml:space="preserve">      break;</w:t>
        <w:br/>
        <w:t xml:space="preserve">    }</w:t>
        <w:br/>
        <w:t xml:space="preserve">    if (byte[0] === 10) break;</w:t>
        <w:br/>
        <w:t xml:space="preserve">    if (byte[0] !== 13) bytes.push(byte[0]);</w:t>
        <w:br/>
        <w:t xml:space="preserve">  }</w:t>
        <w:br/>
        <w:t xml:space="preserve">  return Buffer.from(bytes).toString("utf8");</w:t>
        <w:br/>
        <w:t>}</w:t>
        <w:br/>
        <w:br/>
        <w:t>function leerNumero() {</w:t>
        <w:br/>
        <w:t xml:space="preserve">  // Number acepta más formatos; la expresión mantiene la sintaxis del compilador.</w:t>
        <w:br/>
        <w:t xml:space="preserve">  const entrada = leerLinea().trim();</w:t>
        <w:br/>
        <w:t xml:space="preserve">  if (!NUMERO.test(entrada)) throw new Error("Se esperaba un número decimal finito.");</w:t>
        <w:br/>
        <w:t xml:space="preserve">  const valor = Number(entrada);</w:t>
        <w:br/>
        <w:t xml:space="preserve">  if (!Number.isFinite(valor)) throw new Error("Se esperaba un número decimal finito.");</w:t>
        <w:br/>
        <w:t xml:space="preserve">  return valor;</w:t>
        <w:br/>
        <w:t>}</w:t>
        <w:br/>
        <w:br/>
        <w:t>// Los mensajes de Escribir se conservan antes de leer sus valores.</w:t>
        <w:br/>
        <w:t>escribir("Ingrese su nota final:");</w:t>
        <w:br/>
        <w:t>const nota = leerNumero();</w:t>
        <w:br/>
        <w:t>escribir("Ingrese su porcentaje de asistencia:");</w:t>
        <w:br/>
        <w:t>const asistencia = leerNumero();</w:t>
        <w:br/>
        <w:br/>
        <w:t>// Se mantienen el mayor o igual y la estructura de Si/Sino anidada.</w:t>
        <w:br/>
        <w:t>if (nota &gt;= 6 &amp;&amp; asistencia &gt;= 75) {</w:t>
        <w:br/>
        <w:t xml:space="preserve">  escribir("Aprobado");</w:t>
        <w:br/>
        <w:t>} else {</w:t>
        <w:br/>
        <w:t xml:space="preserve">  if (nota &gt;= 6 &amp;&amp; asistencia &lt; 75) {</w:t>
        <w:br/>
        <w:t xml:space="preserve">    escribir("Reprobado por asistencia");</w:t>
        <w:br/>
        <w:t xml:space="preserve">  } else {</w:t>
        <w:br/>
        <w:t xml:space="preserve">    escribir("Reprobado por nota");</w:t>
        <w:br/>
        <w:t xml:space="preserve">  }</w:t>
        <w:br/>
        <w:t>}</w:t>
      </w:r>
    </w:p>
    <w:p w14:paraId="05E8E075" w14:textId="77777777" w:rsidR="008B6FC5" w:rsidRDefault="004409C8">
      <w:pPr>
        <w:pStyle w:val="ReportHeading2"/>
      </w:pPr>
      <w:r>
        <w:t>Casos y salidas finales oficiales</w:t>
      </w:r>
    </w:p>
    <w:tbl>
      <w:tblPr>
        <w:tblStyle w:val="TableNormal"/>
        <w:tblW w:w="0" w:type="auto"/>
        <w:jc w:val="center"/>
        <w:tblInd w:w="0" w:type="dxa"/>
        <w:tblLayout w:type="fixed"/>
        <w:tblLook w:val="04A0" w:firstRow="1" w:lastRow="0" w:firstColumn="1" w:lastColumn="0" w:noHBand="0" w:noVBand="1"/>
      </w:tblPr>
      <w:tblGrid>
        <w:gridCol w:w="3120"/>
        <w:gridCol w:w="3456"/>
        <w:gridCol w:w="4464"/>
      </w:tblGrid>
      <w:tr w:rsidR="008B6FC5" w14:paraId="0A6B4DA0" w14:textId="77777777">
        <w:trPr>
          <w:cantSplit/>
          <w:tblHeader/>
          <w:jc w:val="center"/>
        </w:trPr>
        <w:tc>
          <w:tcPr>
            <w:tcW w:w="1440" w:type="dxa"/>
            <w:tcBorders>
              <w:top w:val="single" w:sz="6" w:space="0" w:color="D4E0D8"/>
              <w:left w:val="single" w:sz="6" w:space="0" w:color="D4E0D8"/>
              <w:bottom w:val="single" w:sz="6" w:space="0" w:color="D4E0D8"/>
              <w:right w:val="single" w:sz="6" w:space="0" w:color="D4E0D8"/>
            </w:tcBorders>
            <w:shd w:val="clear" w:color="auto" w:fill="285A48"/>
            <w:tcMar>
              <w:top w:w="90" w:type="dxa"/>
              <w:left w:w="110" w:type="dxa"/>
              <w:bottom w:w="90" w:type="dxa"/>
              <w:right w:w="110" w:type="dxa"/>
            </w:tcMar>
            <w:vAlign w:val="center"/>
          </w:tcPr>
          <w:p w14:paraId="51F7898C" w14:textId="77777777" w:rsidR="008B6FC5" w:rsidRDefault="004409C8">
            <w:pPr>
              <w:spacing w:after="0" w:line="240" w:lineRule="auto"/>
              <w:jc w:val="center"/>
            </w:pPr>
            <w:r>
              <w:rPr>
                <w:rFonts w:ascii="Arial" w:eastAsia="Arial" w:hAnsi="Arial"/>
                <w:b/>
                <w:color w:val="FFFFFF"/>
                <w:sz w:val="17"/>
              </w:rPr>
              <w:t>Caso</w:t>
            </w:r>
          </w:p>
        </w:tc>
        <w:tc>
          <w:tcPr>
            <w:tcW w:w="3456" w:type="dxa"/>
            <w:tcBorders>
              <w:top w:val="single" w:sz="6" w:space="0" w:color="D4E0D8"/>
              <w:left w:val="single" w:sz="6" w:space="0" w:color="D4E0D8"/>
              <w:bottom w:val="single" w:sz="6" w:space="0" w:color="D4E0D8"/>
              <w:right w:val="single" w:sz="6" w:space="0" w:color="D4E0D8"/>
            </w:tcBorders>
            <w:shd w:val="clear" w:color="auto" w:fill="285A48"/>
            <w:tcMar>
              <w:top w:w="90" w:type="dxa"/>
              <w:left w:w="110" w:type="dxa"/>
              <w:bottom w:w="90" w:type="dxa"/>
              <w:right w:w="110" w:type="dxa"/>
            </w:tcMar>
            <w:vAlign w:val="center"/>
          </w:tcPr>
          <w:p w14:paraId="20649DAC" w14:textId="77777777" w:rsidR="008B6FC5" w:rsidRDefault="004409C8">
            <w:pPr>
              <w:spacing w:after="0" w:line="240" w:lineRule="auto"/>
              <w:jc w:val="center"/>
            </w:pPr>
            <w:r>
              <w:rPr>
                <w:rFonts w:ascii="Arial" w:eastAsia="Arial" w:hAnsi="Arial"/>
                <w:b/>
                <w:color w:val="FFFFFF"/>
                <w:sz w:val="17"/>
              </w:rPr>
              <w:t>Entradas (orden de Leer)</w:t>
            </w:r>
          </w:p>
        </w:tc>
        <w:tc>
          <w:tcPr>
            <w:tcW w:w="4464" w:type="dxa"/>
            <w:tcBorders>
              <w:top w:val="single" w:sz="6" w:space="0" w:color="D4E0D8"/>
              <w:left w:val="single" w:sz="6" w:space="0" w:color="D4E0D8"/>
              <w:bottom w:val="single" w:sz="6" w:space="0" w:color="D4E0D8"/>
              <w:right w:val="single" w:sz="6" w:space="0" w:color="D4E0D8"/>
            </w:tcBorders>
            <w:shd w:val="clear" w:color="auto" w:fill="285A48"/>
            <w:tcMar>
              <w:top w:w="90" w:type="dxa"/>
              <w:left w:w="110" w:type="dxa"/>
              <w:bottom w:w="90" w:type="dxa"/>
              <w:right w:w="110" w:type="dxa"/>
            </w:tcMar>
            <w:vAlign w:val="center"/>
          </w:tcPr>
          <w:p w14:paraId="4F0192D8" w14:textId="77777777" w:rsidR="008B6FC5" w:rsidRDefault="004409C8">
            <w:pPr>
              <w:spacing w:after="0" w:line="240" w:lineRule="auto"/>
              <w:jc w:val="center"/>
            </w:pPr>
            <w:r>
              <w:rPr>
                <w:rFonts w:ascii="Arial" w:eastAsia="Arial" w:hAnsi="Arial"/>
                <w:b/>
                <w:color w:val="FFFFFF"/>
                <w:sz w:val="17"/>
              </w:rPr>
              <w:t>Salida final oficial</w:t>
            </w:r>
          </w:p>
        </w:tc>
      </w:tr>
      <w:tr w:rsidR="008B6FC5" w14:paraId="0BD242EA" w14:textId="77777777">
        <w:trPr>
          <w:jc w:val="center"/>
        </w:trPr>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518DAED8" w14:textId="77777777" w:rsidR="008B6FC5" w:rsidRDefault="004409C8">
            <w:pPr>
              <w:spacing w:after="0" w:line="240" w:lineRule="auto"/>
            </w:pPr>
            <w:r>
              <w:rPr>
                <w:rFonts w:ascii="Arial" w:eastAsia="Arial" w:hAnsi="Arial"/>
                <w:color w:val="263337"/>
                <w:sz w:val="17"/>
              </w:rPr>
              <w:t>B-1</w:t>
            </w:r>
          </w:p>
        </w:tc>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43796564" w14:textId="77777777" w:rsidR="008B6FC5" w:rsidRDefault="004409C8">
            <w:pPr>
              <w:spacing w:after="0" w:line="240" w:lineRule="auto"/>
            </w:pPr>
            <w:r>
              <w:rPr>
                <w:rFonts w:ascii="Arial" w:eastAsia="Arial" w:hAnsi="Arial"/>
                <w:color w:val="263337"/>
                <w:sz w:val="17"/>
              </w:rPr>
              <w:t>nota=8, asistencia=80</w:t>
            </w:r>
          </w:p>
        </w:tc>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23338DC3" w14:textId="77777777" w:rsidR="008B6FC5" w:rsidRDefault="004409C8">
            <w:pPr>
              <w:spacing w:after="0" w:line="240" w:lineRule="auto"/>
            </w:pPr>
            <w:r>
              <w:rPr>
                <w:rFonts w:ascii="Arial" w:eastAsia="Arial" w:hAnsi="Arial"/>
                <w:color w:val="263337"/>
                <w:sz w:val="17"/>
              </w:rPr>
              <w:t>Aprobado</w:t>
            </w:r>
          </w:p>
        </w:tc>
      </w:tr>
      <w:tr w:rsidR="008B6FC5" w14:paraId="78B4AB94" w14:textId="77777777">
        <w:trPr>
          <w:jc w:val="center"/>
        </w:trPr>
        <w:tc>
          <w:tcPr>
            <w:tcW w:w="3120" w:type="dxa"/>
            <w:tcBorders>
              <w:top w:val="single" w:sz="6" w:space="0" w:color="D4E0D8"/>
              <w:left w:val="single" w:sz="6" w:space="0" w:color="D4E0D8"/>
              <w:bottom w:val="single" w:sz="6" w:space="0" w:color="D4E0D8"/>
              <w:right w:val="single" w:sz="6" w:space="0" w:color="D4E0D8"/>
            </w:tcBorders>
            <w:shd w:val="clear" w:color="auto" w:fill="F4F7F3"/>
            <w:tcMar>
              <w:top w:w="90" w:type="dxa"/>
              <w:left w:w="110" w:type="dxa"/>
              <w:bottom w:w="90" w:type="dxa"/>
              <w:right w:w="110" w:type="dxa"/>
            </w:tcMar>
            <w:vAlign w:val="center"/>
          </w:tcPr>
          <w:p w14:paraId="1C5DD304" w14:textId="77777777" w:rsidR="008B6FC5" w:rsidRDefault="004409C8">
            <w:pPr>
              <w:spacing w:after="0" w:line="240" w:lineRule="auto"/>
            </w:pPr>
            <w:r>
              <w:rPr>
                <w:rFonts w:ascii="Arial" w:eastAsia="Arial" w:hAnsi="Arial"/>
                <w:color w:val="263337"/>
                <w:sz w:val="17"/>
              </w:rPr>
              <w:t>B-2</w:t>
            </w:r>
          </w:p>
        </w:tc>
        <w:tc>
          <w:tcPr>
            <w:tcW w:w="3120" w:type="dxa"/>
            <w:tcBorders>
              <w:top w:val="single" w:sz="6" w:space="0" w:color="D4E0D8"/>
              <w:left w:val="single" w:sz="6" w:space="0" w:color="D4E0D8"/>
              <w:bottom w:val="single" w:sz="6" w:space="0" w:color="D4E0D8"/>
              <w:right w:val="single" w:sz="6" w:space="0" w:color="D4E0D8"/>
            </w:tcBorders>
            <w:shd w:val="clear" w:color="auto" w:fill="F4F7F3"/>
            <w:tcMar>
              <w:top w:w="90" w:type="dxa"/>
              <w:left w:w="110" w:type="dxa"/>
              <w:bottom w:w="90" w:type="dxa"/>
              <w:right w:w="110" w:type="dxa"/>
            </w:tcMar>
            <w:vAlign w:val="center"/>
          </w:tcPr>
          <w:p w14:paraId="56750948" w14:textId="77777777" w:rsidR="008B6FC5" w:rsidRDefault="004409C8">
            <w:pPr>
              <w:spacing w:after="0" w:line="240" w:lineRule="auto"/>
            </w:pPr>
            <w:r>
              <w:rPr>
                <w:rFonts w:ascii="Arial" w:eastAsia="Arial" w:hAnsi="Arial"/>
                <w:color w:val="263337"/>
                <w:sz w:val="17"/>
              </w:rPr>
              <w:t>nota=7, asistencia=60</w:t>
            </w:r>
          </w:p>
        </w:tc>
        <w:tc>
          <w:tcPr>
            <w:tcW w:w="3120" w:type="dxa"/>
            <w:tcBorders>
              <w:top w:val="single" w:sz="6" w:space="0" w:color="D4E0D8"/>
              <w:left w:val="single" w:sz="6" w:space="0" w:color="D4E0D8"/>
              <w:bottom w:val="single" w:sz="6" w:space="0" w:color="D4E0D8"/>
              <w:right w:val="single" w:sz="6" w:space="0" w:color="D4E0D8"/>
            </w:tcBorders>
            <w:shd w:val="clear" w:color="auto" w:fill="F4F7F3"/>
            <w:tcMar>
              <w:top w:w="90" w:type="dxa"/>
              <w:left w:w="110" w:type="dxa"/>
              <w:bottom w:w="90" w:type="dxa"/>
              <w:right w:w="110" w:type="dxa"/>
            </w:tcMar>
            <w:vAlign w:val="center"/>
          </w:tcPr>
          <w:p w14:paraId="62F1FE46" w14:textId="77777777" w:rsidR="008B6FC5" w:rsidRDefault="004409C8">
            <w:pPr>
              <w:spacing w:after="0" w:line="240" w:lineRule="auto"/>
            </w:pPr>
            <w:r>
              <w:rPr>
                <w:rFonts w:ascii="Arial" w:eastAsia="Arial" w:hAnsi="Arial"/>
                <w:color w:val="263337"/>
                <w:sz w:val="17"/>
              </w:rPr>
              <w:t>Reprobado por asistencia</w:t>
            </w:r>
          </w:p>
        </w:tc>
      </w:tr>
      <w:tr w:rsidR="008B6FC5" w14:paraId="7A769065" w14:textId="77777777">
        <w:trPr>
          <w:jc w:val="center"/>
        </w:trPr>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46273909" w14:textId="77777777" w:rsidR="008B6FC5" w:rsidRDefault="004409C8">
            <w:pPr>
              <w:spacing w:after="0" w:line="240" w:lineRule="auto"/>
            </w:pPr>
            <w:r>
              <w:rPr>
                <w:rFonts w:ascii="Arial" w:eastAsia="Arial" w:hAnsi="Arial"/>
                <w:color w:val="263337"/>
                <w:sz w:val="17"/>
              </w:rPr>
              <w:t>B-3</w:t>
            </w:r>
          </w:p>
        </w:tc>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69C3FA3D" w14:textId="77777777" w:rsidR="008B6FC5" w:rsidRDefault="004409C8">
            <w:pPr>
              <w:spacing w:after="0" w:line="240" w:lineRule="auto"/>
            </w:pPr>
            <w:r>
              <w:rPr>
                <w:rFonts w:ascii="Arial" w:eastAsia="Arial" w:hAnsi="Arial"/>
                <w:color w:val="263337"/>
                <w:sz w:val="17"/>
              </w:rPr>
              <w:t>nota=4, asistencia=90</w:t>
            </w:r>
          </w:p>
        </w:tc>
        <w:tc>
          <w:tcPr>
            <w:tcW w:w="3120" w:type="dxa"/>
            <w:tcBorders>
              <w:top w:val="single" w:sz="6" w:space="0" w:color="D4E0D8"/>
              <w:left w:val="single" w:sz="6" w:space="0" w:color="D4E0D8"/>
              <w:bottom w:val="single" w:sz="6" w:space="0" w:color="D4E0D8"/>
              <w:right w:val="single" w:sz="6" w:space="0" w:color="D4E0D8"/>
            </w:tcBorders>
            <w:shd w:val="clear" w:color="auto" w:fill="FFFFFF"/>
            <w:tcMar>
              <w:top w:w="90" w:type="dxa"/>
              <w:left w:w="110" w:type="dxa"/>
              <w:bottom w:w="90" w:type="dxa"/>
              <w:right w:w="110" w:type="dxa"/>
            </w:tcMar>
            <w:vAlign w:val="center"/>
          </w:tcPr>
          <w:p w14:paraId="1E63EC8D" w14:textId="77777777" w:rsidR="008B6FC5" w:rsidRDefault="004409C8">
            <w:pPr>
              <w:spacing w:after="0" w:line="240" w:lineRule="auto"/>
            </w:pPr>
            <w:r>
              <w:rPr>
                <w:rFonts w:ascii="Arial" w:eastAsia="Arial" w:hAnsi="Arial"/>
                <w:color w:val="263337"/>
                <w:sz w:val="17"/>
              </w:rPr>
              <w:t>Reprobado por nota</w:t>
            </w:r>
          </w:p>
        </w:tc>
      </w:tr>
    </w:tbl>
    <w:p w14:paraId="318E7538" w14:textId="77777777" w:rsidR="008B6FC5" w:rsidRDefault="004409C8">
      <w:pPr>
        <w:pStyle w:val="ReportBody"/>
      </w:pPr>
      <w:r>
        <w:t xml:space="preserve">La tabla recoge las tres ramas relevantes del programa: aprobación, reprobación por asistencia y reprobación por nota. En la aplicación, estos datos se comparan en Python y </w:t>
      </w:r>
      <w:proofErr w:type="spellStart"/>
      <w:r>
        <w:t>Node</w:t>
      </w:r>
      <w:proofErr w:type="spellEnd"/>
      <w:r>
        <w:t xml:space="preserve"> mediante los casos oficiales A–E (</w:t>
      </w:r>
      <w:proofErr w:type="spellStart"/>
      <w:r>
        <w:t>Ecma</w:t>
      </w:r>
      <w:proofErr w:type="spellEnd"/>
      <w:r>
        <w:t xml:space="preserve"> International, 2024; </w:t>
      </w:r>
      <w:proofErr w:type="spellStart"/>
      <w:r>
        <w:t>OpenJS</w:t>
      </w:r>
      <w:proofErr w:type="spellEnd"/>
      <w:r>
        <w:t xml:space="preserve"> </w:t>
      </w:r>
      <w:proofErr w:type="spellStart"/>
      <w:r>
        <w:t>Foundation</w:t>
      </w:r>
      <w:proofErr w:type="spellEnd"/>
      <w:r>
        <w:t>, s. f.; Pseudo / Studio, 2026b).</w:t>
      </w:r>
    </w:p>
    <w:p w14:paraId="4133A901" w14:textId="77777777" w:rsidR="008B6FC5" w:rsidRDefault="004409C8">
      <w:r>
        <w:br w:type="page"/>
      </w:r>
    </w:p>
    <w:p>
      <w:bookmarkStart w:id="101" w:name="Sec10"/>
      <w:pPr>
        <w:pStyle w:val="ReportHeading1"/>
      </w:pPr>
      <w:r>
        <w:t>10. Evidencia de ejecución real en ambos runtimes</w:t>
      </w:r>
      <w:bookmarkEnd w:id="101"/>
    </w:p>
    <w:p>
      <w:pPr>
        <w:pStyle w:val="ReportBody"/>
      </w:pPr>
      <w:r>
        <w:t>Las figuras siguientes son transcripciones visuales del stdout capturado al ejecutar las traducciones manuales con los casos oficiales A-1 y B-2. Cada entrada se envió completa por stdin en un solo lote. Python 3.12.3 y Node.js v22.22.2 terminaron con código 0, stderr vacío y salida exacta. El reporte de aceptación registra los seis casos A/B en ambos destinos.</w:t>
      </w:r>
    </w:p>
    <w:p>
      <w:pPr>
        <w:jc w:val="center"/>
      </w:pPr>
      <w:r>
        <w:drawing>
          <wp:inline xmlns:a="http://schemas.openxmlformats.org/drawingml/2006/main" xmlns:pic="http://schemas.openxmlformats.org/drawingml/2006/picture">
            <wp:extent cx="5577840" cy="4401264"/>
            <wp:docPr id="2" name="Picture 2"/>
            <wp:cNvGraphicFramePr>
              <a:graphicFrameLocks noChangeAspect="1"/>
            </wp:cNvGraphicFramePr>
            <a:graphic>
              <a:graphicData uri="http://schemas.openxmlformats.org/drawingml/2006/picture">
                <pic:pic>
                  <pic:nvPicPr>
                    <pic:cNvPr id="0" name="phase1-execution-python.png"/>
                    <pic:cNvPicPr/>
                  </pic:nvPicPr>
                  <pic:blipFill>
                    <a:blip r:embed="rId18"/>
                    <a:stretch>
                      <a:fillRect/>
                    </a:stretch>
                  </pic:blipFill>
                  <pic:spPr>
                    <a:xfrm>
                      <a:off x="0" y="0"/>
                      <a:ext cx="5577840" cy="4401264"/>
                    </a:xfrm>
                    <a:prstGeom prst="rect"/>
                  </pic:spPr>
                </pic:pic>
              </a:graphicData>
            </a:graphic>
          </wp:inline>
        </w:drawing>
      </w:r>
    </w:p>
    <w:p>
      <w:pPr>
        <w:pStyle w:val="ReportCaption"/>
      </w:pPr>
      <w:r>
        <w:t>Figura 2. Salida real de los programas A-1 y B-2 ejecutados con Python 3.12.3.</w:t>
      </w:r>
    </w:p>
    <w:p>
      <w:pPr>
        <w:pageBreakBefore/>
        <w:jc w:val="center"/>
      </w:pPr>
      <w:r>
        <w:drawing>
          <wp:inline xmlns:a="http://schemas.openxmlformats.org/drawingml/2006/main" xmlns:pic="http://schemas.openxmlformats.org/drawingml/2006/picture">
            <wp:extent cx="5577840" cy="4401264"/>
            <wp:docPr id="3" name="Picture 3"/>
            <wp:cNvGraphicFramePr>
              <a:graphicFrameLocks noChangeAspect="1"/>
            </wp:cNvGraphicFramePr>
            <a:graphic>
              <a:graphicData uri="http://schemas.openxmlformats.org/drawingml/2006/picture">
                <pic:pic>
                  <pic:nvPicPr>
                    <pic:cNvPr id="0" name="phase1-execution-javascript.png"/>
                    <pic:cNvPicPr/>
                  </pic:nvPicPr>
                  <pic:blipFill>
                    <a:blip r:embed="rId19"/>
                    <a:stretch>
                      <a:fillRect/>
                    </a:stretch>
                  </pic:blipFill>
                  <pic:spPr>
                    <a:xfrm>
                      <a:off x="0" y="0"/>
                      <a:ext cx="5577840" cy="4401264"/>
                    </a:xfrm>
                    <a:prstGeom prst="rect"/>
                  </pic:spPr>
                </pic:pic>
              </a:graphicData>
            </a:graphic>
          </wp:inline>
        </w:drawing>
      </w:r>
    </w:p>
    <w:p>
      <w:pPr>
        <w:pStyle w:val="ReportCaption"/>
      </w:pPr>
      <w:r>
        <w:t>Figura 3. Salida real de los programas A-1 y B-2 ejecutados con Node.js v22.22.2; las entradas en lote ya no se pierden entre preguntas.</w:t>
      </w:r>
    </w:p>
    <w:p w14:paraId="75E76606" w14:textId="77777777" w:rsidR="008B6FC5" w:rsidRDefault="004409C8">
      <w:bookmarkStart w:id="107" w:name="Sec11"/>
      <w:pPr>
        <w:pStyle w:val="ReportHeading1"/>
      </w:pPr>
      <w:r>
        <w:t>11. Conclusiones</w:t>
      </w:r>
      <w:bookmarkEnd w:id="107"/>
    </w:p>
    <w:p w14:paraId="4941EC24" w14:textId="77777777" w:rsidR="008B6FC5" w:rsidRDefault="004409C8">
      <w:pPr>
        <w:pStyle w:val="ReportBullet"/>
      </w:pPr>
      <w:r>
        <w:rPr>
          <w:sz w:val="20"/>
        </w:rPr>
        <w:t xml:space="preserve">Separar </w:t>
      </w:r>
      <w:proofErr w:type="spellStart"/>
      <w:r>
        <w:rPr>
          <w:sz w:val="20"/>
        </w:rPr>
        <w:t>lexer</w:t>
      </w:r>
      <w:proofErr w:type="spellEnd"/>
      <w:r>
        <w:rPr>
          <w:sz w:val="20"/>
        </w:rPr>
        <w:t xml:space="preserve">, </w:t>
      </w:r>
      <w:proofErr w:type="spellStart"/>
      <w:r>
        <w:rPr>
          <w:sz w:val="20"/>
        </w:rPr>
        <w:t>parser</w:t>
      </w:r>
      <w:proofErr w:type="spellEnd"/>
      <w:r>
        <w:rPr>
          <w:sz w:val="20"/>
        </w:rPr>
        <w:t>, AST, análisis semántico y síntesis hace que cada error tenga una fase y una ubicación identificables. El AST compartido reduce el riesgo de que Python y JavaScript interpreten de forma diferente la misma fuente.</w:t>
      </w:r>
    </w:p>
    <w:p w14:paraId="010CF394" w14:textId="77777777" w:rsidR="008B6FC5" w:rsidRDefault="004409C8">
      <w:pPr>
        <w:pStyle w:val="ReportBullet"/>
      </w:pPr>
      <w:r>
        <w:rPr>
          <w:sz w:val="20"/>
        </w:rPr>
        <w:t>La gramática EBNF convierte las reglas de Pseudo en una especificación revisable: determina los bloques, la precedencia de expresiones, las llamadas, los arreglos y las sentencias de control. También ofrece una base para pruebas de conformidad.</w:t>
      </w:r>
    </w:p>
    <w:p w14:paraId="68E927B7" w14:textId="77777777" w:rsidR="008B6FC5" w:rsidRDefault="004409C8">
      <w:pPr>
        <w:pStyle w:val="ReportBullet"/>
      </w:pPr>
      <w:r>
        <w:rPr>
          <w:sz w:val="20"/>
        </w:rPr>
        <w:t xml:space="preserve">Python y JavaScript difieren en sintaxis y </w:t>
      </w:r>
      <w:proofErr w:type="spellStart"/>
      <w:r>
        <w:rPr>
          <w:sz w:val="20"/>
        </w:rPr>
        <w:t>APIs</w:t>
      </w:r>
      <w:proofErr w:type="spellEnd"/>
      <w:r>
        <w:rPr>
          <w:sz w:val="20"/>
        </w:rPr>
        <w:t xml:space="preserve"> de entrada/salida, pero las políticas explícitas de números, booleanos, límites inclusivos, arreglos 1-based y concatenación de Escribir permiten mantener el comportamiento del pseudocódigo.</w:t>
      </w:r>
    </w:p>
    <w:p w14:paraId="53A5851A" w14:textId="77777777" w:rsidR="008B6FC5" w:rsidRDefault="004409C8">
      <w:pPr>
        <w:pStyle w:val="ReportBullet"/>
      </w:pPr>
      <w:r>
        <w:rPr>
          <w:sz w:val="20"/>
        </w:rPr>
        <w:t xml:space="preserve">Las traducciones manuales A y B conservan sus agrupaciones y ramas. Los seis resultados oficiales presentados cubren los tres conjuntos de entradas de A y las tres rutas lógicas de B; las fuentes y </w:t>
      </w:r>
      <w:proofErr w:type="spellStart"/>
      <w:r>
        <w:rPr>
          <w:sz w:val="20"/>
        </w:rPr>
        <w:t>datasets</w:t>
      </w:r>
      <w:proofErr w:type="spellEnd"/>
      <w:r>
        <w:rPr>
          <w:sz w:val="20"/>
        </w:rPr>
        <w:t xml:space="preserve"> se mantienen como autoridad para la evaluación.</w:t>
      </w:r>
    </w:p>
    <w:p w14:paraId="0FF011C9" w14:textId="77777777" w:rsidR="008B6FC5" w:rsidRDefault="004409C8">
      <w:pPr>
        <w:pStyle w:val="ReportBullet"/>
      </w:pPr>
      <w:r>
        <w:rPr>
          <w:sz w:val="20"/>
        </w:rPr>
        <w:t xml:space="preserve">La generación de código es solo una parte del producto. Ejecutar cada destino en su propio </w:t>
      </w:r>
      <w:proofErr w:type="spellStart"/>
      <w:r>
        <w:rPr>
          <w:sz w:val="20"/>
        </w:rPr>
        <w:t>runtime</w:t>
      </w:r>
      <w:proofErr w:type="spellEnd"/>
      <w:r>
        <w:rPr>
          <w:sz w:val="20"/>
        </w:rPr>
        <w:t xml:space="preserve"> aislado y comparar </w:t>
      </w:r>
      <w:proofErr w:type="spellStart"/>
      <w:r>
        <w:rPr>
          <w:sz w:val="20"/>
        </w:rPr>
        <w:t>stdout</w:t>
      </w:r>
      <w:proofErr w:type="spellEnd"/>
      <w:r>
        <w:rPr>
          <w:sz w:val="20"/>
        </w:rPr>
        <w:t xml:space="preserve">, </w:t>
      </w:r>
      <w:proofErr w:type="spellStart"/>
      <w:r>
        <w:rPr>
          <w:sz w:val="20"/>
        </w:rPr>
        <w:t>stderr</w:t>
      </w:r>
      <w:proofErr w:type="spellEnd"/>
      <w:r>
        <w:rPr>
          <w:sz w:val="20"/>
        </w:rPr>
        <w:t xml:space="preserve"> y estado permite inspeccionar la equivalencia sin ejecutar código de usuario dentro del servidor de la API.</w:t>
      </w:r>
    </w:p>
    <w:p w14:paraId="07E70F9C" w14:textId="77777777" w:rsidR="008B6FC5" w:rsidRDefault="004409C8">
      <w:pPr>
        <w:pStyle w:val="ReportBody"/>
      </w:pPr>
      <w:r>
        <w:t>En conjunto, Pseudo / Studio muestra una ruta verificable desde pseudocódigo en español hasta artefactos ejecutables, conservando la semántica de origen y haciendo observables tanto los errores de análisis como los resultados de ejecución (Aho et al., 2012; Pseudo / Studio, 2026a, 2026c).</w:t>
      </w:r>
    </w:p>
    <w:p w14:paraId="464E8101" w14:textId="77777777" w:rsidR="008B6FC5" w:rsidRDefault="004409C8">
      <w:r>
        <w:br w:type="page"/>
      </w:r>
    </w:p>
    <w:p w14:paraId="4CB7D915" w14:textId="77777777" w:rsidR="008B6FC5" w:rsidRDefault="004409C8">
      <w:bookmarkStart w:id="115" w:name="Sec12"/>
      <w:pPr>
        <w:pStyle w:val="ReportHeading1"/>
      </w:pPr>
      <w:r>
        <w:t>12. Referencias</w:t>
      </w:r>
      <w:bookmarkEnd w:id="115"/>
    </w:p>
    <w:p w14:paraId="440FCCAD" w14:textId="77777777" w:rsidR="008B6FC5" w:rsidRDefault="004409C8">
      <w:pPr>
        <w:pStyle w:val="ReportBody"/>
      </w:pPr>
      <w:r>
        <w:t>Referencias en estilo APA 7. Los documentos locales de curso se identifican como material no publicado; los enlaces públicos conducen a documentación primaria y a los archivos fuente del proyecto.</w:t>
      </w:r>
    </w:p>
    <w:p w14:paraId="2D2BDEB8" w14:textId="77777777" w:rsidR="008B6FC5" w:rsidRDefault="004409C8">
      <w:pPr>
        <w:pStyle w:val="ReportReference"/>
      </w:pPr>
      <w:r>
        <w:rPr>
          <w:sz w:val="19"/>
        </w:rPr>
        <w:t xml:space="preserve">Aho, A. V., Lam, M. S., Sethi, R., &amp; Ullman, J. D. (2012). </w:t>
      </w:r>
      <w:proofErr w:type="spellStart"/>
      <w:r>
        <w:rPr>
          <w:sz w:val="19"/>
        </w:rPr>
        <w:t>Compilers</w:t>
      </w:r>
      <w:proofErr w:type="spellEnd"/>
      <w:r>
        <w:rPr>
          <w:sz w:val="19"/>
        </w:rPr>
        <w:t xml:space="preserve">: </w:t>
      </w:r>
      <w:proofErr w:type="spellStart"/>
      <w:r>
        <w:rPr>
          <w:sz w:val="19"/>
        </w:rPr>
        <w:t>Principles</w:t>
      </w:r>
      <w:proofErr w:type="spellEnd"/>
      <w:r>
        <w:rPr>
          <w:sz w:val="19"/>
        </w:rPr>
        <w:t xml:space="preserve">, </w:t>
      </w:r>
      <w:proofErr w:type="spellStart"/>
      <w:r>
        <w:rPr>
          <w:sz w:val="19"/>
        </w:rPr>
        <w:t>techniques</w:t>
      </w:r>
      <w:proofErr w:type="spellEnd"/>
      <w:r>
        <w:rPr>
          <w:sz w:val="19"/>
        </w:rPr>
        <w:t xml:space="preserve">, and </w:t>
      </w:r>
      <w:proofErr w:type="spellStart"/>
      <w:r>
        <w:rPr>
          <w:sz w:val="19"/>
        </w:rPr>
        <w:t>tools</w:t>
      </w:r>
      <w:proofErr w:type="spellEnd"/>
      <w:r>
        <w:rPr>
          <w:sz w:val="19"/>
        </w:rPr>
        <w:t xml:space="preserve"> (2nd ed.). Pearson. </w:t>
      </w:r>
      <w:r>
        <w:br/>
      </w:r>
      <w:hyperlink r:id="rId7">
        <w:r>
          <w:rPr>
            <w:color w:val="0563C1"/>
            <w:u w:val="single"/>
          </w:rPr>
          <w:t>https://www.pearson.com/en-us/subject-catalog/p/compilers-principles-techniques-and-tools/P200000003472/9780133002140</w:t>
        </w:r>
      </w:hyperlink>
    </w:p>
    <w:p w14:paraId="070BF278" w14:textId="77777777" w:rsidR="008B6FC5" w:rsidRDefault="004409C8">
      <w:pPr>
        <w:pStyle w:val="ReportReference"/>
      </w:pPr>
      <w:proofErr w:type="spellStart"/>
      <w:r>
        <w:rPr>
          <w:sz w:val="19"/>
        </w:rPr>
        <w:t>Ecma</w:t>
      </w:r>
      <w:proofErr w:type="spellEnd"/>
      <w:r>
        <w:rPr>
          <w:sz w:val="19"/>
        </w:rPr>
        <w:t xml:space="preserve"> International. (2024). ECMA-262: ECMAScript 2024 </w:t>
      </w:r>
      <w:proofErr w:type="spellStart"/>
      <w:r>
        <w:rPr>
          <w:sz w:val="19"/>
        </w:rPr>
        <w:t>language</w:t>
      </w:r>
      <w:proofErr w:type="spellEnd"/>
      <w:r>
        <w:rPr>
          <w:sz w:val="19"/>
        </w:rPr>
        <w:t xml:space="preserve"> </w:t>
      </w:r>
      <w:proofErr w:type="spellStart"/>
      <w:r>
        <w:rPr>
          <w:sz w:val="19"/>
        </w:rPr>
        <w:t>specification</w:t>
      </w:r>
      <w:proofErr w:type="spellEnd"/>
      <w:r>
        <w:rPr>
          <w:sz w:val="19"/>
        </w:rPr>
        <w:t xml:space="preserve"> (15th ed.). </w:t>
      </w:r>
      <w:r>
        <w:br/>
      </w:r>
      <w:hyperlink r:id="rId8">
        <w:r>
          <w:rPr>
            <w:color w:val="0563C1"/>
            <w:u w:val="single"/>
          </w:rPr>
          <w:t>https://tc39.es/ecma262/2024/</w:t>
        </w:r>
      </w:hyperlink>
    </w:p>
    <w:p w14:paraId="70618CDB" w14:textId="77777777" w:rsidR="008B6FC5" w:rsidRDefault="004409C8">
      <w:pPr>
        <w:pStyle w:val="ReportReference"/>
      </w:pPr>
      <w:r>
        <w:rPr>
          <w:sz w:val="19"/>
        </w:rPr>
        <w:t>Fase 1: Programas académicos A–E. (s. f.). [Material de curso no publicado, AYC941 Autómatas y Compiladores]. Archivo PDF proporcionado para el proyecto (</w:t>
      </w:r>
      <w:proofErr w:type="spellStart"/>
      <w:r>
        <w:rPr>
          <w:sz w:val="19"/>
        </w:rPr>
        <w:t>Context</w:t>
      </w:r>
      <w:proofErr w:type="spellEnd"/>
      <w:r>
        <w:rPr>
          <w:sz w:val="19"/>
        </w:rPr>
        <w:t>/fase_1.pdf).</w:t>
      </w:r>
    </w:p>
    <w:p w14:paraId="69658E4A" w14:textId="77777777" w:rsidR="008B6FC5" w:rsidRDefault="004409C8">
      <w:pPr>
        <w:pStyle w:val="ReportReference"/>
      </w:pPr>
      <w:proofErr w:type="spellStart"/>
      <w:r>
        <w:rPr>
          <w:sz w:val="19"/>
        </w:rPr>
        <w:t>OpenJS</w:t>
      </w:r>
      <w:proofErr w:type="spellEnd"/>
      <w:r>
        <w:rPr>
          <w:sz w:val="19"/>
        </w:rPr>
        <w:t xml:space="preserve"> </w:t>
      </w:r>
      <w:proofErr w:type="spellStart"/>
      <w:r>
        <w:rPr>
          <w:sz w:val="19"/>
        </w:rPr>
        <w:t>Foundation</w:t>
      </w:r>
      <w:proofErr w:type="spellEnd"/>
      <w:r>
        <w:rPr>
          <w:sz w:val="19"/>
        </w:rPr>
        <w:t xml:space="preserve">. (s. f.). </w:t>
      </w:r>
      <w:proofErr w:type="spellStart"/>
      <w:r>
        <w:rPr>
          <w:sz w:val="19"/>
        </w:rPr>
        <w:t>Readline</w:t>
      </w:r>
      <w:proofErr w:type="spellEnd"/>
      <w:r>
        <w:rPr>
          <w:sz w:val="19"/>
        </w:rPr>
        <w:t xml:space="preserve">: Node.js v22 </w:t>
      </w:r>
      <w:proofErr w:type="spellStart"/>
      <w:r>
        <w:rPr>
          <w:sz w:val="19"/>
        </w:rPr>
        <w:t>documentation</w:t>
      </w:r>
      <w:proofErr w:type="spellEnd"/>
      <w:r>
        <w:rPr>
          <w:sz w:val="19"/>
        </w:rPr>
        <w:t xml:space="preserve">. Recuperado el 10 de octubre de 2026, de </w:t>
      </w:r>
      <w:r>
        <w:br/>
      </w:r>
      <w:hyperlink r:id="rId9">
        <w:r>
          <w:rPr>
            <w:color w:val="0563C1"/>
            <w:u w:val="single"/>
          </w:rPr>
          <w:t>https://nodejs.org/download/release/v22.17.0/docs/api/readline.html</w:t>
        </w:r>
      </w:hyperlink>
    </w:p>
    <w:p w14:paraId="781099E6" w14:textId="77777777" w:rsidR="008B6FC5" w:rsidRDefault="004409C8">
      <w:pPr>
        <w:pStyle w:val="ReportReference"/>
      </w:pPr>
      <w:r>
        <w:rPr>
          <w:sz w:val="19"/>
        </w:rPr>
        <w:t xml:space="preserve">Pseudo / Studio. (2026a). Decisiones de arquitectura y semántica [Documento del proyecto]. GitHub. </w:t>
      </w:r>
      <w:r>
        <w:br/>
      </w:r>
      <w:hyperlink r:id="rId10">
        <w:r>
          <w:rPr>
            <w:color w:val="0563C1"/>
            <w:u w:val="single"/>
          </w:rPr>
          <w:t>https://github.com/B-caro/Pseudo-studio/blob/main/docs/DECISIONS.md</w:t>
        </w:r>
      </w:hyperlink>
    </w:p>
    <w:p w14:paraId="2FED17C6" w14:textId="77777777" w:rsidR="008B6FC5" w:rsidRDefault="004409C8">
      <w:pPr>
        <w:pStyle w:val="ReportReference"/>
      </w:pPr>
      <w:r>
        <w:rPr>
          <w:sz w:val="19"/>
        </w:rPr>
        <w:t xml:space="preserve">Pseudo / Studio. (2026b). Fuentes y casos oficiales A–E [Archivos de código y datos]. GitHub. </w:t>
      </w:r>
      <w:r>
        <w:br/>
      </w:r>
      <w:hyperlink r:id="rId11">
        <w:r>
          <w:rPr>
            <w:color w:val="0563C1"/>
            <w:u w:val="single"/>
          </w:rPr>
          <w:t>https://github.com/B-caro/Pseudo-studio/tree/main/examples</w:t>
        </w:r>
      </w:hyperlink>
    </w:p>
    <w:p w14:paraId="35B5CD4A" w14:textId="77777777" w:rsidR="008B6FC5" w:rsidRDefault="004409C8">
      <w:pPr>
        <w:pStyle w:val="ReportReference"/>
      </w:pPr>
      <w:r>
        <w:rPr>
          <w:sz w:val="19"/>
        </w:rPr>
        <w:t xml:space="preserve">Pseudo / Studio. (2026c). Gramática del lenguaje fuente [Archivo EBNF]. GitHub. </w:t>
      </w:r>
      <w:r>
        <w:br/>
      </w:r>
      <w:hyperlink r:id="rId12">
        <w:r>
          <w:rPr>
            <w:color w:val="0563C1"/>
            <w:u w:val="single"/>
          </w:rPr>
          <w:t>https://github.com/B-caro/Pseudo-studio/blob/main/docs/gramatica.ebnf</w:t>
        </w:r>
      </w:hyperlink>
    </w:p>
    <w:p w14:paraId="1A9158DE" w14:textId="77777777" w:rsidR="008B6FC5" w:rsidRDefault="004409C8">
      <w:pPr>
        <w:pStyle w:val="ReportReference"/>
      </w:pPr>
      <w:r>
        <w:rPr>
          <w:sz w:val="19"/>
        </w:rPr>
        <w:t xml:space="preserve">Python Software </w:t>
      </w:r>
      <w:proofErr w:type="spellStart"/>
      <w:r>
        <w:rPr>
          <w:sz w:val="19"/>
        </w:rPr>
        <w:t>Foundation</w:t>
      </w:r>
      <w:proofErr w:type="spellEnd"/>
      <w:r>
        <w:rPr>
          <w:sz w:val="19"/>
        </w:rPr>
        <w:t xml:space="preserve">. (s. f.). The Python </w:t>
      </w:r>
      <w:proofErr w:type="spellStart"/>
      <w:r>
        <w:rPr>
          <w:sz w:val="19"/>
        </w:rPr>
        <w:t>language</w:t>
      </w:r>
      <w:proofErr w:type="spellEnd"/>
      <w:r>
        <w:rPr>
          <w:sz w:val="19"/>
        </w:rPr>
        <w:t xml:space="preserve"> </w:t>
      </w:r>
      <w:proofErr w:type="spellStart"/>
      <w:r>
        <w:rPr>
          <w:sz w:val="19"/>
        </w:rPr>
        <w:t>reference</w:t>
      </w:r>
      <w:proofErr w:type="spellEnd"/>
      <w:r>
        <w:rPr>
          <w:sz w:val="19"/>
        </w:rPr>
        <w:t xml:space="preserve"> (Python 3.12). Recuperado el 10 de octubre de 2026, de </w:t>
      </w:r>
      <w:r>
        <w:br/>
      </w:r>
      <w:hyperlink r:id="rId13">
        <w:r>
          <w:rPr>
            <w:color w:val="0563C1"/>
            <w:u w:val="single"/>
          </w:rPr>
          <w:t>https://docs.python.org/3.12/reference/</w:t>
        </w:r>
      </w:hyperlink>
    </w:p>
    <w:sectPr w:rsidR="008B6FC5">
      <w:headerReference w:type="default" r:id="rId14"/>
      <w:footerReference w:type="default" r:id="rId1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ECF5C" w14:textId="77777777" w:rsidR="004409C8" w:rsidRDefault="004409C8">
      <w:pPr>
        <w:spacing w:after="0" w:line="240" w:lineRule="auto"/>
      </w:pPr>
      <w:r>
        <w:separator/>
      </w:r>
    </w:p>
  </w:endnote>
  <w:endnote w:type="continuationSeparator" w:id="0">
    <w:p w14:paraId="7C215791" w14:textId="77777777" w:rsidR="004409C8" w:rsidRDefault="004409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ED8659C-61C9-43D6-8B93-5A9D50B79EAF}"/>
    <w:embedBold r:id="rId2" w:fontKey="{86CE28DA-FC1B-4340-800C-7FACAADF9F55}"/>
    <w:embedItalic r:id="rId3" w:fontKey="{D58D1C4B-1D48-489C-9155-553055A94AF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EC6E920F-9FD4-4B1A-AF14-245C951DCBDB}"/>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C94B5C73-3367-4EFA-8B24-B6DDBF8D61F4}"/>
  </w:font>
  <w:font w:name="Cambria">
    <w:panose1 w:val="02040503050406030204"/>
    <w:charset w:val="00"/>
    <w:family w:val="roman"/>
    <w:pitch w:val="variable"/>
    <w:sig w:usb0="E00006FF" w:usb1="420024FF" w:usb2="02000000" w:usb3="00000000" w:csb0="0000019F" w:csb1="00000000"/>
    <w:embedRegular r:id="rId6" w:fontKey="{F1EBC5B1-2787-4FBD-91EB-818319795BF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5AF70" w14:textId="77777777" w:rsidR="008B6FC5" w:rsidRDefault="004409C8">
    <w:pPr>
      <w:spacing w:before="60"/>
      <w:jc w:val="center"/>
    </w:pPr>
    <w:r>
      <w:t xml:space="preserve">Página </w:t>
    </w:r>
    <w:fldSimple w:instr="PAGE">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59E07" w14:textId="77777777" w:rsidR="004409C8" w:rsidRDefault="004409C8">
      <w:pPr>
        <w:spacing w:after="0" w:line="240" w:lineRule="auto"/>
      </w:pPr>
      <w:r>
        <w:separator/>
      </w:r>
    </w:p>
  </w:footnote>
  <w:footnote w:type="continuationSeparator" w:id="0">
    <w:p w14:paraId="1BA75B5B" w14:textId="77777777" w:rsidR="004409C8" w:rsidRDefault="004409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BBFCC" w14:textId="77777777" w:rsidR="008B6FC5" w:rsidRDefault="004409C8">
    <w:pPr>
      <w:spacing w:after="40"/>
      <w:jc w:val="right"/>
    </w:pPr>
    <w:r>
      <w:rPr>
        <w:rFonts w:ascii="Arial" w:eastAsia="Arial" w:hAnsi="Arial"/>
        <w:color w:val="58665F"/>
        <w:sz w:val="16"/>
      </w:rPr>
      <w:t xml:space="preserve">AYC941 · AUTÓMATAS Y </w:t>
    </w:r>
    <w:proofErr w:type="gramStart"/>
    <w:r>
      <w:rPr>
        <w:rFonts w:ascii="Arial" w:eastAsia="Arial" w:hAnsi="Arial"/>
        <w:color w:val="58665F"/>
        <w:sz w:val="16"/>
      </w:rPr>
      <w:t>COMPILADORES  |</w:t>
    </w:r>
    <w:proofErr w:type="gramEnd"/>
    <w:r>
      <w:rPr>
        <w:rFonts w:ascii="Arial" w:eastAsia="Arial" w:hAnsi="Arial"/>
        <w:color w:val="58665F"/>
        <w:sz w:val="16"/>
      </w:rPr>
      <w:t xml:space="preserve">  PSEUDO / STUDIO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FC5"/>
    <w:rsid w:val="00301282"/>
    <w:rsid w:val="004409C8"/>
    <w:rsid w:val="007D4B5B"/>
    <w:rsid w:val="008B6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521DF"/>
  <w15:docId w15:val="{6C442B1E-2E52-4EFE-B144-8822B4EF7B9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F5496"/>
      <w:sz w:val="32"/>
      <w:szCs w:val="32"/>
    </w:rPr>
  </w:style>
  <w:style w:type="paragraph" w:styleId="Ttulo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Ttulo4">
    <w:name w:val="heading 4"/>
    <w:basedOn w:val="Normal"/>
    <w:next w:val="Normal"/>
    <w:uiPriority w:val="9"/>
    <w:semiHidden/>
    <w:unhideWhenUsed/>
    <w:qFormat/>
    <w:pPr>
      <w:keepNext/>
      <w:keepLines/>
      <w:spacing w:before="40" w:after="0"/>
      <w:outlineLvl w:val="3"/>
    </w:pPr>
    <w:rPr>
      <w:i/>
      <w:iCs/>
      <w:color w:val="2F5496"/>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paragraph" w:customStyle="1" w:styleId="ReportBody">
    <w:name w:val="ReportBody"/>
    <w:basedOn w:val="Normal"/>
    <w:pPr>
      <w:spacing w:after="120" w:line="288" w:lineRule="auto"/>
      <w:jc w:val="both"/>
    </w:pPr>
    <w:rPr>
      <w:rFonts w:ascii="Arial" w:eastAsia="Arial" w:hAnsi="Arial"/>
      <w:color w:val="263337"/>
      <w:sz w:val="21"/>
    </w:rPr>
  </w:style>
  <w:style w:type="paragraph" w:customStyle="1" w:styleId="ReportHeading1">
    <w:name w:val="ReportHeading1"/>
    <w:basedOn w:val="ReportBody"/>
    <w:pPr>
      <w:keepNext/>
      <w:keepLines/>
      <w:spacing w:before="220" w:after="100"/>
    </w:pPr>
    <w:rPr>
      <w:b/>
      <w:color w:val="285A48"/>
      <w:sz w:val="28"/>
    </w:rPr>
  </w:style>
  <w:style w:type="paragraph" w:customStyle="1" w:styleId="ReportHeading2">
    <w:name w:val="ReportHeading2"/>
    <w:basedOn w:val="ReportBody"/>
    <w:pPr>
      <w:keepNext/>
      <w:keepLines/>
      <w:spacing w:before="140" w:after="100"/>
    </w:pPr>
    <w:rPr>
      <w:b/>
      <w:color w:val="1F3948"/>
      <w:sz w:val="23"/>
    </w:rPr>
  </w:style>
  <w:style w:type="paragraph" w:customStyle="1" w:styleId="ReportBullet">
    <w:name w:val="ReportBullet"/>
    <w:basedOn w:val="ReportBody"/>
    <w:pPr>
      <w:spacing w:after="60" w:line="269" w:lineRule="auto"/>
      <w:ind w:left="403" w:hanging="230"/>
    </w:pPr>
  </w:style>
  <w:style w:type="paragraph" w:customStyle="1" w:styleId="ReportCode">
    <w:name w:val="ReportCode"/>
    <w:basedOn w:val="Normal"/>
    <w:pPr>
      <w:spacing w:line="240" w:lineRule="auto"/>
    </w:pPr>
    <w:rPr>
      <w:rFonts w:ascii="Consolas" w:eastAsia="Consolas" w:hAnsi="Consolas"/>
      <w:sz w:val="16"/>
    </w:rPr>
  </w:style>
  <w:style w:type="paragraph" w:customStyle="1" w:styleId="ReportCaption">
    <w:name w:val="ReportCaption"/>
    <w:basedOn w:val="ReportBody"/>
    <w:pPr>
      <w:spacing w:after="80" w:line="240" w:lineRule="auto"/>
    </w:pPr>
  </w:style>
  <w:style w:type="paragraph" w:customStyle="1" w:styleId="ReportDiagramArrow">
    <w:name w:val="ReportDiagramArrow"/>
    <w:basedOn w:val="ReportBody"/>
    <w:pPr>
      <w:keepLines/>
      <w:spacing w:after="80" w:line="240" w:lineRule="auto"/>
    </w:pPr>
  </w:style>
  <w:style w:type="paragraph" w:customStyle="1" w:styleId="ReportFormula">
    <w:name w:val="ReportFormula"/>
    <w:basedOn w:val="ReportBody"/>
    <w:pPr>
      <w:spacing w:after="80" w:line="240" w:lineRule="auto"/>
    </w:pPr>
  </w:style>
  <w:style w:type="paragraph" w:customStyle="1" w:styleId="ReportReference">
    <w:name w:val="ReportReference"/>
    <w:basedOn w:val="ReportBody"/>
    <w:pPr>
      <w:spacing w:after="16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c39.es/ecma262/2024/" TargetMode="External"/><Relationship Id="rId13" Type="http://schemas.openxmlformats.org/officeDocument/2006/relationships/hyperlink" Target="https://docs.python.org/3.12/reference/" TargetMode="External"/><Relationship Id="rId3" Type="http://schemas.openxmlformats.org/officeDocument/2006/relationships/webSettings" Target="webSettings.xml"/><Relationship Id="rId7" Type="http://schemas.openxmlformats.org/officeDocument/2006/relationships/hyperlink" Target="https://www.pearson.com/en-us/subject-catalog/p/compilers-principles-techniques-and-tools/P200000003472/9780133002140" TargetMode="External"/><Relationship Id="rId12" Type="http://schemas.openxmlformats.org/officeDocument/2006/relationships/hyperlink" Target="https://github.com/B-caro/Pseudo-studio/blob/main/docs/gramatica.ebnf"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github.com/B-caro/Pseudo-studio/tree/main/examples" TargetMode="External"/><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hyperlink" Target="https://github.com/B-caro/Pseudo-studio/blob/main/docs/DECISIONS.md" TargetMode="External"/><Relationship Id="rId4" Type="http://schemas.openxmlformats.org/officeDocument/2006/relationships/footnotes" Target="footnotes.xml"/><Relationship Id="rId9" Type="http://schemas.openxmlformats.org/officeDocument/2006/relationships/hyperlink" Target="https://nodejs.org/download/release/v22.17.0/docs/api/readline.html" TargetMode="External"/><Relationship Id="rId14" Type="http://schemas.openxmlformats.org/officeDocument/2006/relationships/header" Target="header1.xml"/><Relationship Id="rId18" Type="http://schemas.openxmlformats.org/officeDocument/2006/relationships/image" Target="media/image2.png"/><Relationship Id="rId1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3321</Words>
  <Characters>18935</Characters>
  <Application>Microsoft Office Word</Application>
  <DocSecurity>0</DocSecurity>
  <Lines>157</Lines>
  <Paragraphs>44</Paragraphs>
  <ScaleCrop>false</ScaleCrop>
  <Company/>
  <LinksUpToDate>false</LinksUpToDate>
  <CharactersWithSpaces>22212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investigación: Pseudo / Studio</dc:title>
  <dc:subject>Definición formal, lenguajes destino y traducciones manuales A/B</dc:subject>
  <cp:keywords>autómatas, compiladores, pseudocódigo, Python, JavaScript, EBNF</cp:keywords>
  <cp:lastModifiedBy>Jonathan Guillermo Henriquez</cp:lastModifiedBy>
  <cp:revision>2</cp:revision>
  <dcterms:created xsi:type="dcterms:W3CDTF">2026-10-10T20:12:00Z</dcterms:created>
  <dcterms:modified xsi:type="dcterms:W3CDTF">2026-10-10T20:13:00Z</dcterms:modified>
</cp:coreProperties>
</file>