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43F57144" w14:textId="5F47D7F5" w:rsidR="000F3B6C" w:rsidRDefault="000F3B6C" w:rsidP="004712C9">
      <w:pPr>
        <w:suppressLineNumbers/>
        <w:jc w:val="center"/>
        <w:rPr>
          <w:rFonts w:ascii="Garamond" w:hAnsi="Garamond"/>
          <w:b/>
          <w:bCs/>
          <w:sz w:val="32"/>
          <w:szCs w:val="32"/>
        </w:rPr>
      </w:pPr>
      <w:r>
        <w:rPr>
          <w:rFonts w:ascii="Garamond" w:hAnsi="Garamond"/>
          <w:b/>
          <w:bCs/>
          <w:sz w:val="32"/>
          <w:szCs w:val="32"/>
        </w:rPr>
        <w:t xml:space="preserve">Timed fishery closures protect stock diversity and increase resource stability </w:t>
      </w:r>
      <w:r w:rsidR="0016395C">
        <w:rPr>
          <w:rFonts w:ascii="Garamond" w:hAnsi="Garamond"/>
          <w:b/>
          <w:bCs/>
          <w:sz w:val="32"/>
          <w:szCs w:val="32"/>
        </w:rPr>
        <w:t>across</w:t>
      </w:r>
      <w:r>
        <w:rPr>
          <w:rFonts w:ascii="Garamond" w:hAnsi="Garamond"/>
          <w:b/>
          <w:bCs/>
          <w:sz w:val="32"/>
          <w:szCs w:val="32"/>
        </w:rPr>
        <w:t xml:space="preserve"> a large river-basin.</w:t>
      </w:r>
    </w:p>
    <w:p w14:paraId="0C7925DE" w14:textId="1335A62D" w:rsidR="000F3B6C" w:rsidRPr="0016395C" w:rsidRDefault="000F3B6C" w:rsidP="004712C9">
      <w:pPr>
        <w:suppressLineNumbers/>
        <w:jc w:val="center"/>
        <w:rPr>
          <w:rFonts w:ascii="Garamond" w:hAnsi="Garamond"/>
          <w:b/>
          <w:bCs/>
          <w:sz w:val="20"/>
          <w:szCs w:val="20"/>
        </w:rPr>
      </w:pPr>
      <w:commentRangeStart w:id="0"/>
      <w:r>
        <w:rPr>
          <w:rFonts w:ascii="Garamond" w:hAnsi="Garamond"/>
          <w:b/>
          <w:bCs/>
          <w:sz w:val="20"/>
          <w:szCs w:val="20"/>
        </w:rPr>
        <w:t>Ben Makhlouf, Daniel Schindler, Tim Cline, Zach Liller, Sean Larson</w:t>
      </w:r>
      <w:commentRangeEnd w:id="0"/>
      <w:r>
        <w:rPr>
          <w:rStyle w:val="CommentReference"/>
        </w:rPr>
        <w:commentReference w:id="0"/>
      </w:r>
    </w:p>
    <w:p w14:paraId="3B7D4E61" w14:textId="77777777" w:rsidR="00676513" w:rsidRDefault="00676513"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commentRangeStart w:id="1"/>
      <w:commentRangeStart w:id="2"/>
      <w:r w:rsidRPr="006D1917">
        <w:rPr>
          <w:rFonts w:ascii="Garamond" w:hAnsi="Garamond"/>
          <w:b/>
          <w:bCs/>
          <w:sz w:val="22"/>
          <w:szCs w:val="22"/>
          <w:u w:val="single"/>
        </w:rPr>
        <w:t>Introduction</w:t>
      </w:r>
      <w:commentRangeEnd w:id="1"/>
      <w:r w:rsidR="00367B6D">
        <w:rPr>
          <w:rStyle w:val="CommentReference"/>
        </w:rPr>
        <w:commentReference w:id="1"/>
      </w:r>
      <w:commentRangeEnd w:id="2"/>
      <w:r w:rsidR="00313CB8">
        <w:rPr>
          <w:rStyle w:val="CommentReference"/>
        </w:rPr>
        <w:commentReference w:id="2"/>
      </w:r>
      <w:r w:rsidRPr="006D1917">
        <w:rPr>
          <w:rFonts w:ascii="Garamond" w:hAnsi="Garamond"/>
          <w:b/>
          <w:bCs/>
          <w:sz w:val="22"/>
          <w:szCs w:val="22"/>
          <w:u w:val="single"/>
        </w:rPr>
        <w:t xml:space="preserve">: </w:t>
      </w:r>
      <w:r w:rsidRPr="006D1917">
        <w:rPr>
          <w:rFonts w:ascii="Garamond" w:hAnsi="Garamond"/>
          <w:sz w:val="22"/>
          <w:szCs w:val="22"/>
        </w:rPr>
        <w:t xml:space="preserve"> </w:t>
      </w:r>
    </w:p>
    <w:p w14:paraId="54053AD6" w14:textId="549216BA" w:rsidR="00F552CD" w:rsidRPr="006D1917" w:rsidRDefault="00F552CD" w:rsidP="00F552CD">
      <w:pPr>
        <w:spacing w:line="480" w:lineRule="auto"/>
        <w:ind w:firstLine="720"/>
        <w:rPr>
          <w:rFonts w:ascii="Garamond" w:hAnsi="Garamond"/>
          <w:sz w:val="22"/>
          <w:szCs w:val="22"/>
        </w:rPr>
      </w:pPr>
      <w:r w:rsidRPr="006D1917">
        <w:rPr>
          <w:rFonts w:ascii="Garamond" w:hAnsi="Garamond"/>
          <w:sz w:val="22"/>
          <w:szCs w:val="22"/>
        </w:rPr>
        <w:t>Chinook salmon populations are experiencing unprecedented declines across much of their range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{"citationID":"lr8eoJO9","properties":{"formattedCitation":"(Atlas et al., 2023; Ohlberger et al., 2018)","plainCitation":"(Atlas et al., 2023; Ohlberger et al., 2018)","noteIndex":0},"citationItems":[{"id":5384,"uris":["http://zotero.org/users/8421274/items/YYBUBGXV"],"itemData":{"id":5384,"type":"article-journal","abstract":"Chinook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(Atlas et al., 2023; Ohlberger et al., 2018)</w:t>
      </w:r>
      <w:r>
        <w:rPr>
          <w:rFonts w:ascii="Garamond" w:hAnsi="Garamond"/>
          <w:sz w:val="22"/>
          <w:szCs w:val="22"/>
        </w:rPr>
        <w:fldChar w:fldCharType="end"/>
      </w:r>
      <w:r w:rsidRPr="006D1917">
        <w:rPr>
          <w:rFonts w:ascii="Garamond" w:hAnsi="Garamond"/>
          <w:sz w:val="22"/>
          <w:szCs w:val="22"/>
        </w:rPr>
        <w:t xml:space="preserve">. This trend is especially severe in </w:t>
      </w:r>
      <w:r>
        <w:rPr>
          <w:rFonts w:ascii="Garamond" w:hAnsi="Garamond"/>
          <w:sz w:val="22"/>
          <w:szCs w:val="22"/>
        </w:rPr>
        <w:t>w</w:t>
      </w:r>
      <w:r w:rsidRPr="006D1917">
        <w:rPr>
          <w:rFonts w:ascii="Garamond" w:hAnsi="Garamond"/>
          <w:sz w:val="22"/>
          <w:szCs w:val="22"/>
        </w:rPr>
        <w:t xml:space="preserve">estern Alaska watersheds, which contain some of the world's last pristine Chinook </w:t>
      </w:r>
      <w:r>
        <w:rPr>
          <w:rFonts w:ascii="Garamond" w:hAnsi="Garamond"/>
          <w:sz w:val="22"/>
          <w:szCs w:val="22"/>
        </w:rPr>
        <w:t xml:space="preserve">salmon </w:t>
      </w:r>
      <w:r w:rsidRPr="006D1917">
        <w:rPr>
          <w:rFonts w:ascii="Garamond" w:hAnsi="Garamond"/>
          <w:sz w:val="22"/>
          <w:szCs w:val="22"/>
        </w:rPr>
        <w:t xml:space="preserve">habitat but have seen steep declines in returning Chinook and </w:t>
      </w:r>
      <w:r>
        <w:rPr>
          <w:rFonts w:ascii="Garamond" w:hAnsi="Garamond"/>
          <w:sz w:val="22"/>
          <w:szCs w:val="22"/>
        </w:rPr>
        <w:t>c</w:t>
      </w:r>
      <w:r w:rsidRPr="006D1917">
        <w:rPr>
          <w:rFonts w:ascii="Garamond" w:hAnsi="Garamond"/>
          <w:sz w:val="22"/>
          <w:szCs w:val="22"/>
        </w:rPr>
        <w:t>hum salmon in recent years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{"citationID":"MP9B29WU","properties":{"formattedCitation":"(Lamborn et al., 2025; Murdoch et al., 2024)","plainCitation":"(Lamborn et al., 2025; Murdoch et al., 2024)","noteIndex":0},"citationItems":[{"id":5379,"uris":["http://zotero.org/users/8421274/items/6TRPLVW4"],"itemData":{"id":5379,"type":"article-journal","abstract":"Across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W."}],"accessed":{"date-parts":[["2025",6,4]]},"issued":{"date-parts":[["2025"]]}}},{"id":5327,"uris":["http://zotero.org/users/8421274/items/QJJ96GUP"],"itemData":{"id":5327,"type":"article-journal","abstract":"Recent declines of Yukon River Chinook salmon (Oncorhynchus tshawytscha) populations have severely impacted people residing in the Yukon and Alaska. Evidence-based conservation strategies focused on stock recovery and adaptation are urgently needed but are limited by our understanding of what is driving declines, particularly in Canadian portions of the Yukon River basin. We examined how multiple environmental drivers may be influencing Canadian-origin Yukon River Chinook salmon productivity for eight populations over a 28-year period. We found that productivity was related to various environmental and ecosystem processes acting cumulatively over multiple life stages and across broad geographic scales. Productivity decreased in association with warmer upriver migration temperatures, wetter freshwater juvenile rearing habitats, and increasing abundances of potential marine competitors. In contrast, productivity increased in years with warmer and snowier winters and earlier spring onset. We found that different populations had similar relationships with environmental drivers, with potentially negative implications for regional fisheries stability. Our findings provide insight into how Chinook salmon are responding to rapid environmental change and can help inform salmon conservation initiatives and sustainable harvest strategies.","container-title":"CANADIAN JOURNAL OF FISHERIES AND AQUATIC SCIENCES","DOI":"10.1139/cjfas-2022-0254","ISSN":"0706-652X, 1205-7533","issue":"1","journalAbbreviation":"Can. J. Fish. Aquat. Sci.","language":"English","note":"number-of-pages: 18\npublisher-place: Ottawa\npublisher: Canadian Science Publishing\nWeb of Science ID: WOS:001129796500001","page":"97-114","source":"Clarivate Analytics Web of Science","title":"Multiple environmental drivers across life stages influence Yukon River Chinook salmon productivity","volume":"81","author":[{"family":"Murdoch","given":"A."},{"family":"Connors","given":"B. M."},{"family":"Lapointe","given":"N. W. R."},{"family":"Flemming","given":"J. Mills"},{"family":"Cooke","given":"S. J."},{"family":"Mantyka-Pringle","given":"C."}],"issued":{"date-parts":[["2024",1]]}}}],"schema":"https://github.com/citation-style-language/schema/raw/master/csl-citation.json"}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(Lamborn et al., 2025; Murdoch et al., 2024)</w:t>
      </w:r>
      <w:r>
        <w:rPr>
          <w:rFonts w:ascii="Garamond" w:hAnsi="Garamond"/>
          <w:sz w:val="22"/>
          <w:szCs w:val="22"/>
        </w:rPr>
        <w:fldChar w:fldCharType="end"/>
      </w:r>
      <w:r w:rsidRPr="006D1917">
        <w:rPr>
          <w:rFonts w:ascii="Garamond" w:hAnsi="Garamond"/>
          <w:sz w:val="22"/>
          <w:szCs w:val="22"/>
        </w:rPr>
        <w:t xml:space="preserve">. Salmon from this region </w:t>
      </w:r>
      <w:proofErr w:type="gramStart"/>
      <w:r>
        <w:rPr>
          <w:rFonts w:ascii="Garamond" w:hAnsi="Garamond"/>
          <w:sz w:val="22"/>
          <w:szCs w:val="22"/>
        </w:rPr>
        <w:t>have</w:t>
      </w:r>
      <w:proofErr w:type="gramEnd"/>
      <w:r>
        <w:rPr>
          <w:rFonts w:ascii="Garamond" w:hAnsi="Garamond"/>
          <w:sz w:val="22"/>
          <w:szCs w:val="22"/>
        </w:rPr>
        <w:t xml:space="preserve"> supported</w:t>
      </w:r>
      <w:r w:rsidRPr="006D1917">
        <w:rPr>
          <w:rFonts w:ascii="Garamond" w:hAnsi="Garamond"/>
          <w:sz w:val="22"/>
          <w:szCs w:val="22"/>
        </w:rPr>
        <w:t xml:space="preserve"> lucrative commercial </w:t>
      </w:r>
      <w:r w:rsidR="0016395C" w:rsidRPr="006D1917">
        <w:rPr>
          <w:rFonts w:ascii="Garamond" w:hAnsi="Garamond"/>
          <w:sz w:val="22"/>
          <w:szCs w:val="22"/>
        </w:rPr>
        <w:t>fisheries and</w:t>
      </w:r>
      <w:r w:rsidRPr="006D1917">
        <w:rPr>
          <w:rFonts w:ascii="Garamond" w:hAnsi="Garamond"/>
          <w:sz w:val="22"/>
          <w:szCs w:val="22"/>
        </w:rPr>
        <w:t xml:space="preserve"> have historically </w:t>
      </w:r>
      <w:r>
        <w:rPr>
          <w:rFonts w:ascii="Garamond" w:hAnsi="Garamond"/>
          <w:sz w:val="22"/>
          <w:szCs w:val="22"/>
        </w:rPr>
        <w:t>provided the cultural and nutritional</w:t>
      </w:r>
      <w:r w:rsidRPr="006D1917">
        <w:rPr>
          <w:rFonts w:ascii="Garamond" w:hAnsi="Garamond"/>
          <w:sz w:val="22"/>
          <w:szCs w:val="22"/>
        </w:rPr>
        <w:t xml:space="preserve"> </w:t>
      </w:r>
      <w:r>
        <w:rPr>
          <w:rFonts w:ascii="Garamond" w:hAnsi="Garamond"/>
          <w:sz w:val="22"/>
          <w:szCs w:val="22"/>
        </w:rPr>
        <w:t>foundation for</w:t>
      </w:r>
      <w:r w:rsidRPr="006D1917">
        <w:rPr>
          <w:rFonts w:ascii="Garamond" w:hAnsi="Garamond"/>
          <w:sz w:val="22"/>
          <w:szCs w:val="22"/>
        </w:rPr>
        <w:t xml:space="preserve"> dozens of </w:t>
      </w:r>
      <w:r>
        <w:rPr>
          <w:rFonts w:ascii="Garamond" w:hAnsi="Garamond"/>
          <w:sz w:val="22"/>
          <w:szCs w:val="22"/>
        </w:rPr>
        <w:t xml:space="preserve">subsistence </w:t>
      </w:r>
      <w:r w:rsidRPr="006D1917">
        <w:rPr>
          <w:rFonts w:ascii="Garamond" w:hAnsi="Garamond"/>
          <w:sz w:val="22"/>
          <w:szCs w:val="22"/>
        </w:rPr>
        <w:t xml:space="preserve">communities in the region. As runs have collapsed, however, </w:t>
      </w:r>
      <w:r>
        <w:rPr>
          <w:rFonts w:ascii="Garamond" w:hAnsi="Garamond"/>
          <w:sz w:val="22"/>
          <w:szCs w:val="22"/>
        </w:rPr>
        <w:t xml:space="preserve">harvest has been completed restricted </w:t>
      </w:r>
      <w:r w:rsidR="00D53B0E">
        <w:rPr>
          <w:rFonts w:ascii="Garamond" w:hAnsi="Garamond"/>
          <w:sz w:val="22"/>
          <w:szCs w:val="22"/>
        </w:rPr>
        <w:t>f</w:t>
      </w:r>
      <w:r>
        <w:rPr>
          <w:rFonts w:ascii="Garamond" w:hAnsi="Garamond"/>
          <w:sz w:val="22"/>
          <w:szCs w:val="22"/>
        </w:rPr>
        <w:t>or</w:t>
      </w:r>
      <w:r w:rsidRPr="006D1917">
        <w:rPr>
          <w:rFonts w:ascii="Garamond" w:hAnsi="Garamond"/>
          <w:sz w:val="22"/>
          <w:szCs w:val="22"/>
        </w:rPr>
        <w:t xml:space="preserve"> upstream communities </w:t>
      </w:r>
      <w:r w:rsidR="00D53B0E">
        <w:rPr>
          <w:rFonts w:ascii="Garamond" w:hAnsi="Garamond"/>
          <w:sz w:val="22"/>
          <w:szCs w:val="22"/>
        </w:rPr>
        <w:t xml:space="preserve">who </w:t>
      </w:r>
      <w:r w:rsidRPr="006D1917">
        <w:rPr>
          <w:rFonts w:ascii="Garamond" w:hAnsi="Garamond"/>
          <w:sz w:val="22"/>
          <w:szCs w:val="22"/>
        </w:rPr>
        <w:t>have voluntarily reduced or ceased subsistence fishing altogether, 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{"citationID":"pEObtCaz","properties":{"formattedCitation":"(Brown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 xml:space="preserve">. As a result, resource managers face the difficult task of designing management strategies which balancing ongoing harvest opportunities with the urgent need to rebuild salmon populations and strengthen their resilience to future perturbations. </w:t>
      </w:r>
    </w:p>
    <w:p w14:paraId="48B5FC46" w14:textId="2D896D12" w:rsidR="00D53B0E" w:rsidRDefault="00F552CD" w:rsidP="00F552CD">
      <w:pPr>
        <w:pStyle w:val="NormalWeb"/>
        <w:spacing w:line="480" w:lineRule="auto"/>
        <w:ind w:firstLine="720"/>
        <w:rPr>
          <w:rFonts w:ascii="Garamond" w:hAnsi="Garamond"/>
          <w:sz w:val="22"/>
          <w:szCs w:val="22"/>
        </w:rPr>
      </w:pPr>
      <w:r w:rsidRPr="006D1917">
        <w:rPr>
          <w:rFonts w:ascii="Garamond" w:hAnsi="Garamond"/>
          <w:sz w:val="22"/>
          <w:szCs w:val="22"/>
        </w:rPr>
        <w:t>There is growing recognition of the critical role that intrapopulation variability plays in fostering resilience at the ecosystem scale in both terrestrial and aquatic ecosystems</w:t>
      </w:r>
      <w:r>
        <w:rPr>
          <w:rFonts w:ascii="Garamond" w:hAnsi="Garamond"/>
          <w:sz w:val="22"/>
          <w:szCs w:val="22"/>
        </w:rPr>
        <w:t xml:space="preserve"> </w:t>
      </w:r>
      <w:r>
        <w:rPr>
          <w:rFonts w:ascii="Garamond" w:hAnsi="Garamond"/>
          <w:sz w:val="22"/>
          <w:szCs w:val="22"/>
        </w:rPr>
        <w:fldChar w:fldCharType="begin"/>
      </w:r>
      <w:r w:rsidR="00A26A50">
        <w:rPr>
          <w:rFonts w:ascii="Garamond" w:hAnsi="Garamond"/>
          <w:sz w:val="22"/>
          <w:szCs w:val="22"/>
        </w:rPr>
        <w:instrText xml:space="preserve"> ADDIN ZOTERO_ITEM CSL_CITATION {"citationID":"ZMEsTNxs","properties":{"formattedCitation":"(Luck et al., 2003; Schindler et al., 2015)","plainCitation":"(Luck et al., 2003; Schindler et al., 2015)","noteIndex":0},"citationItems":[{"id":5557,"uris":["http://zotero.org/users/8421274/items/VSKUKCRX"],"itemData":{"id":5557,"type":"article-journal","abstract":"The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00A26A50">
        <w:rPr>
          <w:rFonts w:ascii="Garamond" w:hAnsi="Garamond"/>
          <w:noProof/>
          <w:sz w:val="22"/>
          <w:szCs w:val="22"/>
        </w:rPr>
        <w:t>(Luck et al., 2003; Schindler et al., 2015)</w:t>
      </w:r>
      <w:r>
        <w:rPr>
          <w:rFonts w:ascii="Garamond" w:hAnsi="Garamond"/>
          <w:sz w:val="22"/>
          <w:szCs w:val="22"/>
        </w:rPr>
        <w:fldChar w:fldCharType="end"/>
      </w:r>
      <w:r w:rsidRPr="006D1917">
        <w:rPr>
          <w:rFonts w:ascii="Garamond" w:hAnsi="Garamond"/>
          <w:sz w:val="22"/>
          <w:szCs w:val="22"/>
        </w:rPr>
        <w:t>. In salmon populations, substantial variation in both return timing and spatial distribution of habitat use produces significant complexity in life history strategies within and among populations</w:t>
      </w:r>
      <w:r>
        <w:rPr>
          <w:rFonts w:ascii="Garamond" w:hAnsi="Garamond"/>
          <w:sz w:val="22"/>
          <w:szCs w:val="22"/>
        </w:rPr>
        <w:t xml:space="preserve"> (Hilborn et al. 2003)</w:t>
      </w:r>
      <w:r w:rsidRPr="006D1917">
        <w:rPr>
          <w:rFonts w:ascii="Garamond" w:hAnsi="Garamond"/>
          <w:sz w:val="22"/>
          <w:szCs w:val="22"/>
        </w:rPr>
        <w:t>. Overall population performance in salmon ecosystems is</w:t>
      </w:r>
      <w:r>
        <w:rPr>
          <w:rFonts w:ascii="Garamond" w:hAnsi="Garamond"/>
          <w:sz w:val="22"/>
          <w:szCs w:val="22"/>
        </w:rPr>
        <w:t xml:space="preserve"> therefore</w:t>
      </w:r>
      <w:r w:rsidRPr="006D1917">
        <w:rPr>
          <w:rFonts w:ascii="Garamond" w:hAnsi="Garamond"/>
          <w:sz w:val="22"/>
          <w:szCs w:val="22"/>
        </w:rPr>
        <w:t xml:space="preserve"> shaped by the statistical averaging of multiple distinct, semi-independent sub-units distributed across space and time</w:t>
      </w:r>
      <w:r>
        <w:rPr>
          <w:rFonts w:ascii="Garamond" w:hAnsi="Garamond"/>
          <w:sz w:val="22"/>
          <w:szCs w:val="22"/>
        </w:rPr>
        <w:t xml:space="preserve"> </w:t>
      </w:r>
      <w:r>
        <w:rPr>
          <w:rFonts w:ascii="Garamond" w:hAnsi="Garamond"/>
          <w:sz w:val="22"/>
          <w:szCs w:val="22"/>
        </w:rPr>
        <w:fldChar w:fldCharType="begin"/>
      </w:r>
      <w:r w:rsidR="00A26A50">
        <w:rPr>
          <w:rFonts w:ascii="Garamond" w:hAnsi="Garamond"/>
          <w:sz w:val="22"/>
          <w:szCs w:val="22"/>
        </w:rPr>
        <w:instrText xml:space="preserve"> ADDIN ZOTERO_ITEM CSL_CITATION {"citationID":"4R3sEUmP","properties":{"formattedCitation":"(Connors et al., 2022; Ohlberger et al., 2016)","plainCitation":"(Connors et al., 2022; Ohlberger et al., 2016)","dontUpdate":true,"noteIndex":0},"citationItems":[{"id":4144,"uris":["http://zotero.org/users/8421274/items/M4DUIZ82"],"itemData":{"id":4144,"type":"article-journal","abstract":"Variation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G."}],"issued":{"date-parts":[["2022"]]}}},{"id":5321,"uris":["http://zotero.org/users/8421274/items/PJWLDI6C"],"itemData":{"id":5321,"type":"article-journal","abstract":"A central problem in understanding how species respond to global change is in parsing the effects of local drivers of population dynamics from regional and global drivers that are shared among populations. Management and conservation efforts that typically focus on a particular population would benefit greatly from being able to separate the effects of environmental processes at local, regional, and global scales. One way of addressing this challenge is to integrate data across multiple populations and use multivariate time series approaches to estimate shared and independent components of dynamics among neighboring populations. Here, we use a data set of 15 populations of Chinook salmon (Oncorhynchus tshawytscha) covering a broad geographical range in the eastern North Pacific Ocean to show how Dynamic Factor Analysis (DFA) can be used to estimate temporal coherence in population dynamics and to detect environmental drivers across spatial scales. Our results show that productivity dynamics of Chinook salmon populations strongly covary at the regional scale, but to a lesser degree at larger spatial scales. The timing of river ice break-up in spring was identified as an important driver of regional productivity dynamics. In addition, broad-scale variability in population productivity was linked to the North Pacific Gyre Oscillation, a dominant pattern of sea surface height variability. These broad-scale patterns in productivity dynamics may be associated with recent regime shifts in the Northeast Pacific Ocean. However, our results also demonstrate that populations within regions do not always respond consistently to the same environmental drivers, thus suggesting location-specific impacts. Overall, this study illustrates the use of DFA for quantifying the spatial and temporal complexity of multiple population responses to environmental change, thereby providing insights to processes that affect populations across large geographic areas, but that might be filtered by local habitat conditions.","container-title":"Ecosphere","DOI":"10.1002/ecs2.1333","ISSN":"2150-8925","issue":"4","language":"en","license":"© 2016 Ohlberger et al.","note":"_eprint: https://esajournals.onlinelibrary.wiley.com/doi/pdf/10.1002/ecs2.1333","page":"e01333","source":"Wiley Online Library","title":"Population coherence and environmental impacts across spatial scales: a case study of Chinook salmon","title-short":"Population coherence and environmental impacts across spatial scales","volume":"7","author":[{"family":"Ohlberger","given":"Jan"},{"family":"Scheuerell","given":"Mark D."},{"family":"Schindler","given":"Daniel E."}],"issued":{"date-parts":[["2016"]]}}}],"schema":"https://github.com/citation-style-language/schema/raw/master/csl-citation.json"}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(Schindler et al. 2010; Connors et al., 2022)</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Weak or negative covariance among these stocks helps buffer the broader population against the poor performance of any individual subunit, whose success may fluctuate in response to a </w:t>
      </w:r>
      <w:r w:rsidRPr="006D1917">
        <w:rPr>
          <w:rFonts w:ascii="Garamond" w:hAnsi="Garamond"/>
          <w:sz w:val="22"/>
          <w:szCs w:val="22"/>
        </w:rPr>
        <w:lastRenderedPageBreak/>
        <w:t>dynamic mosaic of multi-dimensional environmental conditions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{"citationID":"m5A16NUn","properties":{"formattedCitation":"(Brennan, Schindler, et al., 2019; Schindler et al., 2010)","plainCitation":"(Brennan, Schindler,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P."}],"issued":{"date-parts":[["2019"]]}},"label":"page"},{"id":272,"uris":["http://zotero.org/users/8421274/items/24NDGS7V"],"itemData":{"id":272,"type":"article-journal","abstract":"One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Schindler, et al., 2019; Schindler et al., 2010)</w:t>
      </w:r>
      <w:r>
        <w:rPr>
          <w:rFonts w:ascii="Garamond" w:hAnsi="Garamond"/>
          <w:sz w:val="22"/>
          <w:szCs w:val="22"/>
        </w:rPr>
        <w:fldChar w:fldCharType="end"/>
      </w:r>
      <w:r w:rsidRPr="006D1917">
        <w:rPr>
          <w:rFonts w:ascii="Garamond" w:hAnsi="Garamond"/>
          <w:sz w:val="22"/>
          <w:szCs w:val="22"/>
        </w:rPr>
        <w:t>. This “portfolio effect” dampens ecosystem variability by distributing risk across its components, much in the same way that financial diversification of a portfolio spreads investment risk across sectors to reduce overall volatility</w:t>
      </w:r>
      <w:r>
        <w:rPr>
          <w:rFonts w:ascii="Garamond" w:hAnsi="Garamond"/>
          <w:sz w:val="22"/>
          <w:szCs w:val="22"/>
        </w:rPr>
        <w:t xml:space="preserve"> </w:t>
      </w:r>
      <w:r>
        <w:rPr>
          <w:rFonts w:ascii="Garamond" w:hAnsi="Garamond"/>
          <w:sz w:val="22"/>
          <w:szCs w:val="22"/>
        </w:rPr>
        <w:fldChar w:fldCharType="begin"/>
      </w:r>
      <w:r w:rsidR="00A26A50">
        <w:rPr>
          <w:rFonts w:ascii="Garamond" w:hAnsi="Garamond"/>
          <w:sz w:val="22"/>
          <w:szCs w:val="22"/>
        </w:rPr>
        <w:instrText xml:space="preserve"> ADDIN ZOTERO_ITEM CSL_CITATION {"citationID":"ropzGQtb","properties":{"formattedCitation":"(Cline et al., 2017; Griffiths et al., 2014; Markowitz, 1952; Schindler et al., 2015)","plainCitation":"(Cline et al., 2017; Griffiths et al., 2014; Markowitz, 1952; Schindler et al., 2015)","dontUpdate":true,"noteIndex":0},"citationItems":[{"id":1181,"uris":["http://zotero.org/users/8421274/items/B23FV4AJ"],"itemData":{"id":1181,"type":"article-journal","abstract":"Abrupt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C."}],"issued":{"date-parts":[["2014",12]]}}},{"id":5389,"uris":["http://zotero.org/users/8421274/items/4NQQUH9L"],"itemData":{"id":5389,"type":"article-journal","container-title":"The Journal of Finance","DOI":"10.2307/2975974","ISSN":"0022-1082","issue":"1","note":"publisher: [American Finance Association, Wiley]","page":"77-91","source":"JSTOR","title":"Portfolio Selection","volume":"7","author":[{"family":"Markowitz","given":"Harry"}],"issued":{"date-parts":[["1952"]]}}},{"id":68,"uris":["http://zotero.org/users/8421274/items/DIRY8NHC"],"itemData":{"id":68,"type":"article-journal","container-title":"Frontiers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Pr="00F552CD">
        <w:rPr>
          <w:rFonts w:ascii="Garamond" w:hAnsi="Garamond"/>
          <w:noProof/>
          <w:sz w:val="22"/>
          <w:szCs w:val="22"/>
        </w:rPr>
        <w:t>(Griffiths et al., 2014; Markowitz, 1952; Schindler et al., 2015)</w:t>
      </w:r>
      <w:r>
        <w:rPr>
          <w:rFonts w:ascii="Garamond" w:hAnsi="Garamond"/>
          <w:sz w:val="22"/>
          <w:szCs w:val="22"/>
        </w:rPr>
        <w:fldChar w:fldCharType="end"/>
      </w:r>
      <w:r w:rsidRPr="00F552CD">
        <w:rPr>
          <w:rFonts w:ascii="Garamond" w:hAnsi="Garamond"/>
          <w:sz w:val="22"/>
          <w:szCs w:val="22"/>
        </w:rPr>
        <w:t xml:space="preserve">. </w:t>
      </w:r>
    </w:p>
    <w:p w14:paraId="67AF0167" w14:textId="79149193" w:rsidR="00F552CD" w:rsidRDefault="00F552CD" w:rsidP="00F552CD">
      <w:pPr>
        <w:pStyle w:val="NormalWeb"/>
        <w:spacing w:line="480" w:lineRule="auto"/>
        <w:ind w:firstLine="720"/>
        <w:rPr>
          <w:rFonts w:ascii="Garamond" w:hAnsi="Garamond"/>
          <w:sz w:val="22"/>
          <w:szCs w:val="22"/>
        </w:rPr>
      </w:pPr>
      <w:r>
        <w:rPr>
          <w:rFonts w:ascii="Garamond" w:hAnsi="Garamond"/>
          <w:sz w:val="22"/>
          <w:szCs w:val="22"/>
        </w:rPr>
        <w:t xml:space="preserve">The reliability of salmon resources to communities is a product of the health of stock components throughout the watershed. For Pacific salmon fisheries, which harvest stocks as the migrate upstream, the duration and reliability of this resource is the result of the aggregate dynamics of upstream stocks. For example, healthy stock components with unique spatiotemporal patterns may allow for more diverse set of harvest opportunities over a longer time period  </w:t>
      </w:r>
      <w:r>
        <w:rPr>
          <w:rFonts w:ascii="Garamond" w:hAnsi="Garamond"/>
          <w:sz w:val="22"/>
          <w:szCs w:val="22"/>
        </w:rPr>
        <w:fldChar w:fldCharType="begin"/>
      </w:r>
      <w:r>
        <w:rPr>
          <w:rFonts w:ascii="Garamond" w:hAnsi="Garamond"/>
          <w:sz w:val="22"/>
          <w:szCs w:val="22"/>
        </w:rPr>
        <w:instrText xml:space="preserve"> ADDIN ZOTERO_ITEM CSL_CITATION {"citationID":"bdM2yxbf","properties":{"formattedCitation":"(Nesbitt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(Nesbitt &amp; Moore, 2016)</w:t>
      </w:r>
      <w:r>
        <w:rPr>
          <w:rFonts w:ascii="Garamond" w:hAnsi="Garamond"/>
          <w:sz w:val="22"/>
          <w:szCs w:val="22"/>
        </w:rPr>
        <w:fldChar w:fldCharType="end"/>
      </w:r>
      <w:r>
        <w:rPr>
          <w:rFonts w:ascii="Garamond" w:hAnsi="Garamond"/>
          <w:sz w:val="22"/>
          <w:szCs w:val="22"/>
        </w:rPr>
        <w:t xml:space="preserve">. Further, distributing risk across space and time in several stocks may buffer basin-wide returns to local or short-term changes to habitat conditions, thereby enhancing </w:t>
      </w:r>
      <w:r w:rsidRPr="00C3570A">
        <w:rPr>
          <w:rFonts w:ascii="Garamond" w:hAnsi="Garamond"/>
          <w:sz w:val="22"/>
          <w:szCs w:val="22"/>
        </w:rPr>
        <w:t xml:space="preserve">both the accessibility and reliability of </w:t>
      </w:r>
      <w:r>
        <w:rPr>
          <w:rFonts w:ascii="Garamond" w:hAnsi="Garamond"/>
          <w:sz w:val="22"/>
          <w:szCs w:val="22"/>
        </w:rPr>
        <w:t xml:space="preserve">downstream </w:t>
      </w:r>
      <w:r w:rsidRPr="00C3570A">
        <w:rPr>
          <w:rFonts w:ascii="Garamond" w:hAnsi="Garamond"/>
          <w:sz w:val="22"/>
          <w:szCs w:val="22"/>
        </w:rPr>
        <w:t>harvest opportunities</w:t>
      </w:r>
      <w:r>
        <w:rPr>
          <w:rFonts w:ascii="Garamond" w:hAnsi="Garamond"/>
          <w:sz w:val="22"/>
          <w:szCs w:val="22"/>
        </w:rPr>
        <w:t xml:space="preserve"> (Schindler et al. 2010). The health of salmon populations in terms of </w:t>
      </w:r>
      <w:r w:rsidRPr="006D1917">
        <w:rPr>
          <w:rFonts w:ascii="Garamond" w:hAnsi="Garamond"/>
          <w:sz w:val="22"/>
          <w:szCs w:val="22"/>
        </w:rPr>
        <w:t>long-term resilience</w:t>
      </w:r>
      <w:r>
        <w:rPr>
          <w:rFonts w:ascii="Garamond" w:hAnsi="Garamond"/>
          <w:sz w:val="22"/>
          <w:szCs w:val="22"/>
        </w:rPr>
        <w:t xml:space="preserve"> and reliability of ecosystem services is therefore better assessed </w:t>
      </w:r>
      <w:r w:rsidRPr="006D1917">
        <w:rPr>
          <w:rFonts w:ascii="Garamond" w:hAnsi="Garamond"/>
          <w:sz w:val="22"/>
          <w:szCs w:val="22"/>
        </w:rPr>
        <w:t>by the health and viability of contributing subunits rather than by total run size alone</w:t>
      </w:r>
      <w:r>
        <w:rPr>
          <w:rFonts w:ascii="Garamond" w:hAnsi="Garamond"/>
          <w:sz w:val="22"/>
          <w:szCs w:val="22"/>
        </w:rPr>
        <w:t xml:space="preserve"> </w:t>
      </w:r>
      <w:r>
        <w:rPr>
          <w:rFonts w:ascii="Garamond" w:hAnsi="Garamond"/>
          <w:sz w:val="22"/>
          <w:szCs w:val="22"/>
        </w:rPr>
        <w:fldChar w:fldCharType="begin"/>
      </w:r>
      <w:r w:rsidR="00A26A50">
        <w:rPr>
          <w:rFonts w:ascii="Garamond" w:hAnsi="Garamond"/>
          <w:sz w:val="22"/>
          <w:szCs w:val="22"/>
        </w:rPr>
        <w:instrText xml:space="preserve"> ADDIN ZOTERO_ITEM CSL_CITATION {"citationID":"XiDspMSN","properties":{"formattedCitation":"(Connors et al., 2022)","plainCitation":"(Connors et al., 2022)","dontUpdate":true,"noteIndex":0},"citationItems":[{"id":4144,"uris":["http://zotero.org/users/8421274/items/M4DUIZ82"],"itemData":{"id":4144,"type":"article-journal","abstract":"Variation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(Griffiths et al. 2014; Connors et al., 2022)</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p>
    <w:p w14:paraId="3FD5A835" w14:textId="77777777" w:rsidR="00F552CD" w:rsidRDefault="00F552CD" w:rsidP="00F552CD">
      <w:pPr>
        <w:pStyle w:val="NormalWeb"/>
        <w:spacing w:line="480" w:lineRule="auto"/>
        <w:ind w:firstLine="720"/>
        <w:rPr>
          <w:ins w:id="3" w:author="Benjamin J. Makhlouf" w:date="2025-07-26T14:59:00Z" w16du:dateUtc="2025-07-26T21:59:00Z"/>
          <w:rFonts w:ascii="Garamond" w:hAnsi="Garamond"/>
          <w:sz w:val="22"/>
          <w:szCs w:val="22"/>
        </w:rPr>
      </w:pPr>
      <w:r>
        <w:rPr>
          <w:rFonts w:ascii="Garamond" w:hAnsi="Garamond"/>
          <w:sz w:val="22"/>
          <w:szCs w:val="22"/>
        </w:rPr>
        <w:t xml:space="preserve">Downstream fisheries which harvest migrating stocks face a difficult challenge to design harvest methods which consider both </w:t>
      </w:r>
      <w:r w:rsidRPr="006D1917">
        <w:rPr>
          <w:rFonts w:ascii="Garamond" w:hAnsi="Garamond"/>
          <w:sz w:val="22"/>
          <w:szCs w:val="22"/>
        </w:rPr>
        <w:t xml:space="preserve">overall </w:t>
      </w:r>
      <w:r>
        <w:rPr>
          <w:rFonts w:ascii="Garamond" w:hAnsi="Garamond"/>
          <w:sz w:val="22"/>
          <w:szCs w:val="22"/>
        </w:rPr>
        <w:t>harvest opportunity</w:t>
      </w:r>
      <w:r w:rsidRPr="006D1917">
        <w:rPr>
          <w:rFonts w:ascii="Garamond" w:hAnsi="Garamond"/>
          <w:sz w:val="22"/>
          <w:szCs w:val="22"/>
        </w:rPr>
        <w:t xml:space="preserve"> as well as</w:t>
      </w:r>
      <w:r>
        <w:rPr>
          <w:rFonts w:ascii="Garamond" w:hAnsi="Garamond"/>
          <w:sz w:val="22"/>
          <w:szCs w:val="22"/>
        </w:rPr>
        <w:t xml:space="preserve"> stock specific exploitation rates. For example, strategies which </w:t>
      </w:r>
      <w:r w:rsidRPr="006D1917">
        <w:rPr>
          <w:rFonts w:ascii="Garamond" w:hAnsi="Garamond"/>
          <w:sz w:val="22"/>
          <w:szCs w:val="22"/>
        </w:rPr>
        <w:t>concentrate harvest in periods of peak abundance (e.g., highest CPUE per day)</w:t>
      </w:r>
      <w:r>
        <w:rPr>
          <w:rFonts w:ascii="Garamond" w:hAnsi="Garamond"/>
          <w:sz w:val="22"/>
          <w:szCs w:val="22"/>
        </w:rPr>
        <w:t xml:space="preserve"> </w:t>
      </w:r>
      <w:r w:rsidRPr="006D1917">
        <w:rPr>
          <w:rFonts w:ascii="Garamond" w:hAnsi="Garamond"/>
          <w:sz w:val="22"/>
          <w:szCs w:val="22"/>
        </w:rPr>
        <w:t>may fail to account for whether this peak consists of a mix of vulnerable, weak stocks or a single, more robust stock that can sustain higher exploitation</w:t>
      </w:r>
      <w:r>
        <w:rPr>
          <w:rFonts w:ascii="Garamond" w:hAnsi="Garamond"/>
          <w:sz w:val="22"/>
          <w:szCs w:val="22"/>
        </w:rPr>
        <w:t xml:space="preserve"> (Connors et al. 2022)</w:t>
      </w:r>
      <w:r w:rsidRPr="006D1917">
        <w:rPr>
          <w:rFonts w:ascii="Garamond" w:hAnsi="Garamond"/>
          <w:sz w:val="22"/>
          <w:szCs w:val="22"/>
        </w:rPr>
        <w:t xml:space="preserve">. </w:t>
      </w:r>
      <w:r>
        <w:rPr>
          <w:rFonts w:ascii="Garamond" w:hAnsi="Garamond"/>
          <w:sz w:val="22"/>
          <w:szCs w:val="22"/>
        </w:rPr>
        <w:t>Fishing which disproportionally exploits weak stocks as they migrate upstream may threaten the availability of resources to upstream communities and threaten the reliability of downstream resources in subsequent years as upstream stock health degrades. M</w:t>
      </w:r>
      <w:r w:rsidRPr="006D1917">
        <w:rPr>
          <w:rFonts w:ascii="Garamond" w:hAnsi="Garamond"/>
          <w:sz w:val="22"/>
          <w:szCs w:val="22"/>
        </w:rPr>
        <w:t>anagement strateg</w:t>
      </w:r>
      <w:r>
        <w:rPr>
          <w:rFonts w:ascii="Garamond" w:hAnsi="Garamond"/>
          <w:sz w:val="22"/>
          <w:szCs w:val="22"/>
        </w:rPr>
        <w:t>ies which maintain reliable fishery resources</w:t>
      </w:r>
      <w:r w:rsidRPr="006D1917">
        <w:rPr>
          <w:rFonts w:ascii="Garamond" w:hAnsi="Garamond"/>
          <w:sz w:val="22"/>
          <w:szCs w:val="22"/>
        </w:rPr>
        <w:t xml:space="preserve"> should </w:t>
      </w:r>
      <w:r>
        <w:rPr>
          <w:rFonts w:ascii="Garamond" w:hAnsi="Garamond"/>
          <w:sz w:val="22"/>
          <w:szCs w:val="22"/>
        </w:rPr>
        <w:t xml:space="preserve">therefore </w:t>
      </w:r>
      <w:r w:rsidRPr="006D1917">
        <w:rPr>
          <w:rFonts w:ascii="Garamond" w:hAnsi="Garamond"/>
          <w:sz w:val="22"/>
          <w:szCs w:val="22"/>
        </w:rPr>
        <w:t>aim to allow harvest opportunities on healthy stocks while minimizing the risk of overexploitation for co-migrating weak stocks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{"citationID":"XABq2458","properties":{"formattedCitation":"(Connors et al., 2020)","plainCitation":"(Connors et al., 2020)","noteIndex":0},"citationItems":[{"id":4416,"uris":["http://zotero.org/users/8421274/items/STEMPPV7"],"itemData":{"id":4416,"type":"article-journal","abstract":"Accounting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 In practice, however, implementing such stock-specific management approaches </w:t>
      </w:r>
      <w:r w:rsidRPr="006D1917">
        <w:rPr>
          <w:rFonts w:ascii="Garamond" w:hAnsi="Garamond"/>
          <w:sz w:val="22"/>
          <w:szCs w:val="22"/>
        </w:rPr>
        <w:lastRenderedPageBreak/>
        <w:t>requires detailed data on the spatiotemporal ecology of salmon populations; information that has historically been limited at sufficiently fine spatial and temporal scales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{"citationID":"Gpa69QVN","properties":{"formattedCitation":"(Connors et al., 2020, 2022)","plainCitation":"(Connors et al., 2020, 2022)","noteIndex":0},"citationItems":[{"id":4416,"uris":["http://zotero.org/users/8421274/items/STEMPPV7"],"itemData":{"id":4416,"type":"article-journal","abstract":"Accounting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 2022)</w:t>
      </w:r>
      <w:r>
        <w:rPr>
          <w:rFonts w:ascii="Garamond" w:hAnsi="Garamond"/>
          <w:sz w:val="22"/>
          <w:szCs w:val="22"/>
        </w:rPr>
        <w:fldChar w:fldCharType="end"/>
      </w:r>
      <w:r>
        <w:rPr>
          <w:rFonts w:ascii="Garamond" w:hAnsi="Garamond"/>
          <w:sz w:val="22"/>
          <w:szCs w:val="22"/>
        </w:rPr>
        <w:t xml:space="preserve">. </w:t>
      </w:r>
    </w:p>
    <w:p w14:paraId="24B858F3" w14:textId="3A18F56F" w:rsidR="00FA738D" w:rsidRPr="006D1917" w:rsidRDefault="00FA738D" w:rsidP="00F552CD">
      <w:pPr>
        <w:pStyle w:val="NormalWeb"/>
        <w:spacing w:line="480" w:lineRule="auto"/>
        <w:ind w:firstLine="720"/>
        <w:rPr>
          <w:rFonts w:ascii="Garamond" w:hAnsi="Garamond"/>
          <w:sz w:val="22"/>
          <w:szCs w:val="22"/>
        </w:rPr>
      </w:pPr>
      <w:ins w:id="4" w:author="Benjamin J. Makhlouf" w:date="2025-07-26T14:59:00Z" w16du:dateUtc="2025-07-26T21:59:00Z">
        <w:r w:rsidRPr="00E14C01">
          <w:rPr>
            <w:rFonts w:ascii="Garamond" w:hAnsi="Garamond"/>
            <w:sz w:val="22"/>
            <w:szCs w:val="22"/>
          </w:rPr>
          <w:t>The Kuskokwim River, a large free-flowing system covering 124,000 km² in Western Alaska, has historically supported abundant returns of all five Pacific salmon species that serve as both a subsistence resource and cultural cornerstone for indigenous communities throughout the watershed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2018). The basin's subsistence fisheries exhibit some of Alaska's highest participation rates, and subsistence fishing for Chinook salmon in the Kuskokwim basin Is among the most highly utilized in the state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2024). This deep connection to subsistence harvest extends to nearly every household in the region, which is comprised almost entirely of rural and indigenous communities that rely on these opportunities for a significant portion of their protein needs (Clark et al., 2018;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2024).</w:t>
        </w:r>
      </w:ins>
    </w:p>
    <w:p w14:paraId="593CF6EA" w14:textId="77777777" w:rsidR="00932FBC" w:rsidRDefault="00F552CD" w:rsidP="00932FBC">
      <w:pPr>
        <w:spacing w:line="480" w:lineRule="auto"/>
        <w:ind w:firstLine="720"/>
        <w:rPr>
          <w:rFonts w:ascii="Garamond" w:hAnsi="Garamond"/>
          <w:sz w:val="22"/>
          <w:szCs w:val="22"/>
        </w:rPr>
      </w:pPr>
      <w:r>
        <w:rPr>
          <w:rFonts w:ascii="Garamond" w:hAnsi="Garamond"/>
          <w:sz w:val="22"/>
          <w:szCs w:val="22"/>
        </w:rPr>
        <w:t>Lack</w:t>
      </w:r>
      <w:r w:rsidRPr="006D1917">
        <w:rPr>
          <w:rFonts w:ascii="Garamond" w:hAnsi="Garamond"/>
          <w:sz w:val="22"/>
          <w:szCs w:val="22"/>
        </w:rPr>
        <w:t xml:space="preserve"> of stock-specific spatial ecology </w:t>
      </w:r>
      <w:r>
        <w:rPr>
          <w:rFonts w:ascii="Garamond" w:hAnsi="Garamond"/>
          <w:sz w:val="22"/>
          <w:szCs w:val="22"/>
        </w:rPr>
        <w:t xml:space="preserve">of Chinook salmon populations </w:t>
      </w:r>
      <w:r w:rsidRPr="006D1917">
        <w:rPr>
          <w:rFonts w:ascii="Garamond" w:hAnsi="Garamond"/>
          <w:sz w:val="22"/>
          <w:szCs w:val="22"/>
        </w:rPr>
        <w:t xml:space="preserve">in </w:t>
      </w:r>
      <w:r>
        <w:rPr>
          <w:rFonts w:ascii="Garamond" w:hAnsi="Garamond"/>
          <w:sz w:val="22"/>
          <w:szCs w:val="22"/>
        </w:rPr>
        <w:t>w</w:t>
      </w:r>
      <w:r w:rsidRPr="006D1917">
        <w:rPr>
          <w:rFonts w:ascii="Garamond" w:hAnsi="Garamond"/>
          <w:sz w:val="22"/>
          <w:szCs w:val="22"/>
        </w:rPr>
        <w:t>estern Alaska</w:t>
      </w:r>
      <w:r w:rsidR="00D53B0E">
        <w:rPr>
          <w:rFonts w:ascii="Garamond" w:hAnsi="Garamond"/>
          <w:sz w:val="22"/>
          <w:szCs w:val="22"/>
        </w:rPr>
        <w:t xml:space="preserve"> </w:t>
      </w:r>
      <w:r>
        <w:rPr>
          <w:rFonts w:ascii="Garamond" w:hAnsi="Garamond"/>
          <w:sz w:val="22"/>
          <w:szCs w:val="22"/>
        </w:rPr>
        <w:t xml:space="preserve">has necessitated that </w:t>
      </w:r>
      <w:r w:rsidRPr="006D1917">
        <w:rPr>
          <w:rFonts w:ascii="Garamond" w:hAnsi="Garamond"/>
          <w:sz w:val="22"/>
          <w:szCs w:val="22"/>
        </w:rPr>
        <w:t xml:space="preserve">management strategies </w:t>
      </w:r>
      <w:r>
        <w:rPr>
          <w:rFonts w:ascii="Garamond" w:hAnsi="Garamond"/>
          <w:sz w:val="22"/>
          <w:szCs w:val="22"/>
        </w:rPr>
        <w:t>be</w:t>
      </w:r>
      <w:r w:rsidRPr="006D1917">
        <w:rPr>
          <w:rFonts w:ascii="Garamond" w:hAnsi="Garamond"/>
          <w:sz w:val="22"/>
          <w:szCs w:val="22"/>
        </w:rPr>
        <w:t xml:space="preserve"> implemented at relatively coarse spatial scales. </w:t>
      </w:r>
      <w:r>
        <w:rPr>
          <w:rFonts w:ascii="Garamond" w:hAnsi="Garamond"/>
          <w:sz w:val="22"/>
          <w:szCs w:val="22"/>
        </w:rPr>
        <w:t>A salient example of this is in the</w:t>
      </w:r>
      <w:r w:rsidRPr="006D1917">
        <w:rPr>
          <w:rFonts w:ascii="Garamond" w:hAnsi="Garamond"/>
          <w:sz w:val="22"/>
          <w:szCs w:val="22"/>
        </w:rPr>
        <w:t xml:space="preserve"> Kuskokwim River </w:t>
      </w:r>
      <w:r>
        <w:rPr>
          <w:rFonts w:ascii="Garamond" w:hAnsi="Garamond"/>
          <w:sz w:val="22"/>
          <w:szCs w:val="22"/>
        </w:rPr>
        <w:t>where managers implement a</w:t>
      </w:r>
      <w:r w:rsidRPr="006D1917">
        <w:rPr>
          <w:rFonts w:ascii="Garamond" w:hAnsi="Garamond"/>
          <w:sz w:val="22"/>
          <w:szCs w:val="22"/>
        </w:rPr>
        <w:t xml:space="preserve"> front-end closure strateg</w:t>
      </w:r>
      <w:r>
        <w:rPr>
          <w:rFonts w:ascii="Garamond" w:hAnsi="Garamond"/>
          <w:sz w:val="22"/>
          <w:szCs w:val="22"/>
        </w:rPr>
        <w:t xml:space="preserve">y that heavily restricts fishing during the beginning of the salmon migration season to protect early returning fish </w:t>
      </w:r>
      <w:r>
        <w:rPr>
          <w:rFonts w:ascii="Garamond" w:hAnsi="Garamond"/>
          <w:sz w:val="22"/>
          <w:szCs w:val="22"/>
        </w:rPr>
        <w:fldChar w:fldCharType="begin"/>
      </w:r>
      <w:r w:rsidR="00A26A50">
        <w:rPr>
          <w:rFonts w:ascii="Garamond" w:hAnsi="Garamond"/>
          <w:sz w:val="22"/>
          <w:szCs w:val="22"/>
        </w:rPr>
        <w:instrText xml:space="preserve"> ADDIN ZOTERO_ITEM CSL_CITATION {"citationID":"A32imaA8","properties":{"formattedCitation":"(Bechtol et al., 2025)","plainCitation":"(Bechtol et al., 2025)","dontUpdate":true,"noteIndex":0},"citationItems":[{"id":5396,"uris":["http://zotero.org/users/8421274/items/5K4UUKKW"],"itemData":{"id":5396,"type":"report","language":"en","publisher":"Kuskokwim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(e.g. Bechtol et al., 2025)</w:t>
      </w:r>
      <w:r>
        <w:rPr>
          <w:rFonts w:ascii="Garamond" w:hAnsi="Garamond"/>
          <w:sz w:val="22"/>
          <w:szCs w:val="22"/>
        </w:rPr>
        <w:fldChar w:fldCharType="end"/>
      </w:r>
      <w:r>
        <w:rPr>
          <w:rFonts w:ascii="Garamond" w:hAnsi="Garamond"/>
          <w:sz w:val="22"/>
          <w:szCs w:val="22"/>
        </w:rPr>
        <w:t>.</w:t>
      </w:r>
      <w:r w:rsidRPr="006D1917">
        <w:rPr>
          <w:rFonts w:ascii="Garamond" w:hAnsi="Garamond"/>
          <w:sz w:val="22"/>
          <w:szCs w:val="22"/>
        </w:rPr>
        <w:t xml:space="preserve"> </w:t>
      </w:r>
      <w:r>
        <w:rPr>
          <w:rFonts w:ascii="Garamond" w:hAnsi="Garamond"/>
          <w:sz w:val="22"/>
          <w:szCs w:val="22"/>
        </w:rPr>
        <w:t>This strategy aims to</w:t>
      </w:r>
      <w:r w:rsidRPr="006D1917">
        <w:rPr>
          <w:rFonts w:ascii="Garamond" w:hAnsi="Garamond"/>
          <w:sz w:val="22"/>
          <w:szCs w:val="22"/>
        </w:rPr>
        <w:t xml:space="preserve"> support</w:t>
      </w:r>
      <w:r>
        <w:rPr>
          <w:rFonts w:ascii="Garamond" w:hAnsi="Garamond"/>
          <w:sz w:val="22"/>
          <w:szCs w:val="22"/>
        </w:rPr>
        <w:t xml:space="preserve"> </w:t>
      </w:r>
      <w:r w:rsidRPr="006D1917">
        <w:rPr>
          <w:rFonts w:ascii="Garamond" w:hAnsi="Garamond"/>
          <w:sz w:val="22"/>
          <w:szCs w:val="22"/>
        </w:rPr>
        <w:t>basin-wide escapement goals</w:t>
      </w:r>
      <w:r>
        <w:rPr>
          <w:rFonts w:ascii="Garamond" w:hAnsi="Garamond"/>
          <w:sz w:val="22"/>
          <w:szCs w:val="22"/>
        </w:rPr>
        <w:t xml:space="preserve"> while allowing for a significant number of fish to return to stocks in the upper portions of the river basin , thereby protecting access to harvest opportunities for upstream communities and bolstering the health of upstream stocks which have a general tendency to migrate early in the season </w:t>
      </w:r>
      <w:commentRangeStart w:id="5"/>
      <w:r>
        <w:rPr>
          <w:rFonts w:ascii="Garamond" w:hAnsi="Garamond"/>
          <w:sz w:val="22"/>
          <w:szCs w:val="22"/>
        </w:rPr>
        <w:fldChar w:fldCharType="begin"/>
      </w:r>
      <w:r>
        <w:rPr>
          <w:rFonts w:ascii="Garamond" w:hAnsi="Garamond"/>
          <w:sz w:val="22"/>
          <w:szCs w:val="22"/>
        </w:rPr>
        <w:instrText xml:space="preserve"> ADDIN ZOTERO_ITEM CSL_CITATION {"citationID":"7EzFVXNC","properties":{"formattedCitation":"(Clark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sz w:val="22"/>
          <w:szCs w:val="22"/>
        </w:rPr>
        <w:instrText>‐</w:instrText>
      </w:r>
      <w:r>
        <w:rPr>
          <w:rFonts w:ascii="Garamond" w:hAnsi="Garamond"/>
          <w:sz w:val="22"/>
          <w:szCs w:val="22"/>
        </w:rPr>
        <w:instrText>wide effects of body size, sex, spawning location, and year on the timing of spawning</w:instrText>
      </w:r>
      <w:r>
        <w:rPr>
          <w:rFonts w:ascii="Cambria Math" w:hAnsi="Cambria Math" w:cs="Cambria Math"/>
          <w:sz w:val="22"/>
          <w:szCs w:val="22"/>
        </w:rPr>
        <w:instrText>‐</w:instrText>
      </w:r>
      <w:r>
        <w:rPr>
          <w:rFonts w:ascii="Garamond" w:hAnsi="Garamond"/>
          <w:sz w:val="22"/>
          <w:szCs w:val="22"/>
        </w:rPr>
        <w:instrText>run migration into the Togiak River. Migration data and spawning fate were collected using radiotelemetry and analyzed with mixed effects models to account for among</w:instrText>
      </w:r>
      <w:r>
        <w:rPr>
          <w:rFonts w:ascii="Cambria Math" w:hAnsi="Cambria Math" w:cs="Cambria Math"/>
          <w:sz w:val="22"/>
          <w:szCs w:val="22"/>
        </w:rPr>
        <w:instrText>‐</w:instrText>
      </w:r>
      <w:r>
        <w:rPr>
          <w:rFonts w:ascii="Garamond" w:hAnsi="Garamond"/>
          <w:sz w:val="22"/>
          <w:szCs w:val="22"/>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sz w:val="22"/>
          <w:szCs w:val="22"/>
        </w:rPr>
        <w:fldChar w:fldCharType="separate"/>
      </w:r>
      <w:r w:rsidRPr="008B4FCB">
        <w:rPr>
          <w:rFonts w:ascii="Garamond" w:hAnsi="Garamond"/>
          <w:sz w:val="22"/>
        </w:rPr>
        <w:t>(Clark et al., 2015)</w:t>
      </w:r>
      <w:r>
        <w:rPr>
          <w:rFonts w:ascii="Garamond" w:hAnsi="Garamond"/>
          <w:sz w:val="22"/>
          <w:szCs w:val="22"/>
        </w:rPr>
        <w:fldChar w:fldCharType="end"/>
      </w:r>
      <w:commentRangeEnd w:id="5"/>
      <w:r>
        <w:rPr>
          <w:rStyle w:val="CommentReference"/>
        </w:rPr>
        <w:commentReference w:id="5"/>
      </w:r>
      <w:r>
        <w:rPr>
          <w:rFonts w:ascii="Garamond" w:hAnsi="Garamond"/>
          <w:sz w:val="22"/>
          <w:szCs w:val="22"/>
        </w:rPr>
        <w:t xml:space="preserve">. However, little data exist which quantifies the spatiotemporal patterns among stocks. The impact of front-end closure strategies on individual stock components is not well understood, and a more complete understanding of stock contribution to the overall run both within and among years is currently not readily available. </w:t>
      </w:r>
      <w:proofErr w:type="gramStart"/>
      <w:r w:rsidR="00D53B0E">
        <w:rPr>
          <w:rFonts w:ascii="Garamond" w:hAnsi="Garamond"/>
          <w:sz w:val="22"/>
          <w:szCs w:val="22"/>
        </w:rPr>
        <w:t>T</w:t>
      </w:r>
      <w:r>
        <w:rPr>
          <w:rFonts w:ascii="Garamond" w:hAnsi="Garamond"/>
          <w:sz w:val="22"/>
          <w:szCs w:val="22"/>
        </w:rPr>
        <w:t>hese</w:t>
      </w:r>
      <w:proofErr w:type="gramEnd"/>
      <w:r>
        <w:rPr>
          <w:rFonts w:ascii="Garamond" w:hAnsi="Garamond"/>
          <w:sz w:val="22"/>
          <w:szCs w:val="22"/>
        </w:rPr>
        <w:t xml:space="preserve"> data may be important to assessing the impact of current management strategies and designing new strategies which maintain stock health across all components of the watershed and maintain a reliable resource for communities and industry in the region. </w:t>
      </w:r>
    </w:p>
    <w:p w14:paraId="38B791DA" w14:textId="05D50C13" w:rsidR="00F552CD" w:rsidRPr="00617050" w:rsidRDefault="00F552CD" w:rsidP="00932FBC">
      <w:pPr>
        <w:spacing w:line="480" w:lineRule="auto"/>
        <w:ind w:firstLine="720"/>
        <w:rPr>
          <w:rFonts w:ascii="Garamond" w:hAnsi="Garamond"/>
          <w:sz w:val="22"/>
          <w:szCs w:val="22"/>
        </w:rPr>
      </w:pPr>
      <w:r w:rsidRPr="006D1917">
        <w:rPr>
          <w:rFonts w:ascii="Garamond" w:hAnsi="Garamond"/>
          <w:sz w:val="22"/>
          <w:szCs w:val="22"/>
        </w:rPr>
        <w:lastRenderedPageBreak/>
        <w:t>Here, we apply otolit</w:t>
      </w:r>
      <w:r>
        <w:rPr>
          <w:rFonts w:ascii="Garamond" w:hAnsi="Garamond"/>
          <w:sz w:val="22"/>
          <w:szCs w:val="22"/>
        </w:rPr>
        <w:t>h microchemistry from fish caught at different times of the migration season over 6 years</w:t>
      </w:r>
      <w:r w:rsidR="00D53B0E">
        <w:rPr>
          <w:rFonts w:ascii="Garamond" w:hAnsi="Garamond"/>
          <w:sz w:val="22"/>
          <w:szCs w:val="22"/>
        </w:rPr>
        <w:t xml:space="preserve">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327E6388" w14:textId="77777777" w:rsidR="009833DB" w:rsidRDefault="009833DB" w:rsidP="009833DB">
      <w:pPr>
        <w:spacing w:line="480" w:lineRule="auto"/>
        <w:rPr>
          <w:rFonts w:ascii="Garamond" w:hAnsi="Garamond"/>
          <w:sz w:val="22"/>
          <w:szCs w:val="22"/>
        </w:rPr>
      </w:pP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77777777"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Otolith Sample s</w:t>
      </w:r>
      <w:r>
        <w:rPr>
          <w:rFonts w:ascii="Garamond" w:hAnsi="Garamond"/>
          <w:b/>
          <w:bCs/>
          <w:sz w:val="22"/>
          <w:szCs w:val="22"/>
          <w:u w:val="single"/>
        </w:rPr>
        <w:t>ets</w:t>
      </w:r>
    </w:p>
    <w:p w14:paraId="2C50ADFF" w14:textId="77777777" w:rsidR="009C079F" w:rsidRDefault="009833DB" w:rsidP="009C079F">
      <w:pPr>
        <w:spacing w:line="480" w:lineRule="auto"/>
        <w:ind w:firstLine="720"/>
        <w:rPr>
          <w:rFonts w:ascii="Garamond" w:eastAsia="Times New Roman" w:hAnsi="Garamond" w:cs="Times New Roman"/>
          <w:kern w:val="0"/>
          <w:sz w:val="22"/>
          <w:szCs w:val="22"/>
          <w14:ligatures w14:val="none"/>
        </w:rPr>
      </w:pPr>
      <w:r w:rsidRPr="006D1917">
        <w:rPr>
          <w:rFonts w:ascii="Garamond" w:eastAsia="Times New Roman" w:hAnsi="Garamond" w:cs="Times New Roman"/>
          <w:kern w:val="0"/>
          <w:sz w:val="22"/>
          <w:szCs w:val="22"/>
          <w14:ligatures w14:val="none"/>
        </w:rPr>
        <w:t xml:space="preserve">Otoliths were collected </w:t>
      </w:r>
      <w:r w:rsidR="00367B6D">
        <w:rPr>
          <w:rFonts w:ascii="Garamond" w:eastAsia="Times New Roman" w:hAnsi="Garamond" w:cs="Times New Roman"/>
          <w:kern w:val="0"/>
          <w:sz w:val="22"/>
          <w:szCs w:val="22"/>
          <w14:ligatures w14:val="none"/>
        </w:rPr>
        <w:t xml:space="preserve">from Chinook salmon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sampled 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 </w:t>
      </w:r>
      <w:r w:rsidR="00313CB8">
        <w:rPr>
          <w:rFonts w:ascii="Garamond" w:eastAsia="Times New Roman" w:hAnsi="Garamond" w:cs="Times New Roman"/>
          <w:kern w:val="0"/>
          <w:sz w:val="22"/>
          <w:szCs w:val="22"/>
          <w14:ligatures w14:val="none"/>
        </w:rPr>
        <w:t xml:space="preserve">The BTF was designed to allow in-season assessment of run strength based on catch-per-unit-effort to inform management of subsistence fisheries throughout the river (Liller report). </w:t>
      </w:r>
      <w:r w:rsidR="00DD0E6E">
        <w:rPr>
          <w:rFonts w:ascii="Garamond" w:eastAsia="Times New Roman" w:hAnsi="Garamond" w:cs="Times New Roman"/>
          <w:kern w:val="0"/>
          <w:sz w:val="22"/>
          <w:szCs w:val="22"/>
          <w14:ligatures w14:val="none"/>
        </w:rPr>
        <w:t xml:space="preserve">As such, fish captured in this test fishery are expected to be a representative sample of returning stocks throughout the basin. We collected approximately 500 otoliths from each year from 2017-2022, ensuring sampling efforts over the full course of the run. From these, approximately 250 otoliths were selected for microchemical analysis in proportion to the relative catch per unit effort (CPUE) </w:t>
      </w:r>
      <w:r w:rsidR="009C079F">
        <w:rPr>
          <w:rFonts w:ascii="Garamond" w:eastAsia="Times New Roman" w:hAnsi="Garamond" w:cs="Times New Roman"/>
          <w:kern w:val="0"/>
          <w:sz w:val="22"/>
          <w:szCs w:val="22"/>
          <w14:ligatures w14:val="none"/>
        </w:rPr>
        <w:t xml:space="preserve">throughout the season. </w:t>
      </w:r>
    </w:p>
    <w:p w14:paraId="161FEB7F" w14:textId="4AD018B5" w:rsidR="009833DB" w:rsidRPr="005D5AB7" w:rsidRDefault="00313CB8" w:rsidP="009C079F">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r w:rsidR="0025573D">
        <w:rPr>
          <w:rFonts w:ascii="Garamond" w:eastAsia="Times New Roman" w:hAnsi="Garamond" w:cs="Times New Roman"/>
          <w:kern w:val="0"/>
          <w:sz w:val="22"/>
          <w:szCs w:val="22"/>
          <w14:ligatures w14:val="none"/>
        </w:rPr>
        <w:t xml:space="preserve">low speed diamond blade </w:t>
      </w:r>
      <w:proofErr w:type="spellStart"/>
      <w:r w:rsidR="0025573D">
        <w:rPr>
          <w:rFonts w:ascii="Garamond" w:eastAsia="Times New Roman" w:hAnsi="Garamond" w:cs="Times New Roman"/>
          <w:kern w:val="0"/>
          <w:sz w:val="22"/>
          <w:szCs w:val="22"/>
          <w14:ligatures w14:val="none"/>
        </w:rPr>
        <w:t>isomet</w:t>
      </w:r>
      <w:proofErr w:type="spellEnd"/>
      <w:r w:rsidR="0025573D">
        <w:rPr>
          <w:rFonts w:ascii="Garamond" w:eastAsia="Times New Roman" w:hAnsi="Garamond" w:cs="Times New Roman"/>
          <w:kern w:val="0"/>
          <w:sz w:val="22"/>
          <w:szCs w:val="22"/>
          <w14:ligatures w14:val="none"/>
        </w:rPr>
        <w:t xml:space="preserve"> </w:t>
      </w:r>
      <w:r w:rsidR="00EF1756">
        <w:rPr>
          <w:rFonts w:ascii="Garamond" w:eastAsia="Times New Roman" w:hAnsi="Garamond" w:cs="Times New Roman"/>
          <w:kern w:val="0"/>
          <w:sz w:val="22"/>
          <w:szCs w:val="22"/>
          <w14:ligatures w14:val="none"/>
        </w:rPr>
        <w:t xml:space="preserve">saw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A26A50">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2002)","dontUpdate":true,"noteIndex":0},"citationItems":[{"id":"h4h2qxOD/ChWvHkvk","uris":["http://zotero.org/users/8421274/items/IY3FLHLM"],"itemData":{"id":915,"type":"article-journal","abstract":"Strontium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 xml:space="preserve"> 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lastRenderedPageBreak/>
        <w:fldChar w:fldCharType="begin"/>
      </w:r>
      <w:r w:rsidR="00A26A50">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1998)","noteIndex":0},"citationItems":[{"id":"h4h2qxOD/ChWvHkvk","uris":["http://zotero.org/users/8421274/items/IY3FLHLM"],"itemData":{"id":"dI01jIsp/qEdWN4pU","type":"article-journal","abstract":"Strontium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E212FE">
        <w:rPr>
          <w:rFonts w:ascii="Garamond" w:eastAsia="Times New Roman" w:hAnsi="Garamond" w:cs="Times New Roman"/>
          <w:kern w:val="0"/>
          <w:sz w:val="22"/>
          <w:szCs w:val="22"/>
          <w14:ligatures w14:val="none"/>
        </w:rPr>
        <w:t xml:space="preserve">Sr87/86 value associated with 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among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ins w:id="6" w:author="Benjamin J. Makhlouf" w:date="2025-07-26T13:45:00Z" w16du:dateUtc="2025-07-26T20:45:00Z">
        <w:r w:rsidR="00C95028">
          <w:rPr>
            <w:rFonts w:ascii="Garamond" w:eastAsia="Times New Roman" w:hAnsi="Garamond" w:cs="Times New Roman"/>
            <w:kern w:val="0"/>
            <w:sz w:val="22"/>
            <w:szCs w:val="22"/>
            <w14:ligatures w14:val="none"/>
          </w:rPr>
          <w:t xml:space="preserve">. </w:t>
        </w:r>
      </w:ins>
    </w:p>
    <w:p w14:paraId="619A1F68" w14:textId="77777777" w:rsidR="009833DB" w:rsidRDefault="009833DB" w:rsidP="009833DB">
      <w:pPr>
        <w:spacing w:before="100" w:beforeAutospacing="1" w:after="100" w:afterAutospacing="1" w:line="480" w:lineRule="auto"/>
        <w:rPr>
          <w:rFonts w:ascii="Garamond" w:eastAsia="Times New Roman" w:hAnsi="Garamond" w:cs="Times New Roman"/>
          <w:kern w:val="0"/>
          <w:sz w:val="22"/>
          <w:szCs w:val="22"/>
          <w14:ligatures w14:val="none"/>
        </w:rPr>
      </w:pPr>
      <w:proofErr w:type="spellStart"/>
      <w:r w:rsidRPr="006D1917">
        <w:rPr>
          <w:rFonts w:ascii="Garamond" w:eastAsia="Times New Roman" w:hAnsi="Garamond" w:cs="Times New Roman"/>
          <w:b/>
          <w:bCs/>
          <w:kern w:val="0"/>
          <w:sz w:val="22"/>
          <w:szCs w:val="22"/>
          <w14:ligatures w14:val="none"/>
        </w:rPr>
        <w:t>Isoscape</w:t>
      </w:r>
      <w:proofErr w:type="spellEnd"/>
      <w:r w:rsidRPr="006D1917">
        <w:rPr>
          <w:rFonts w:ascii="Garamond" w:eastAsia="Times New Roman" w:hAnsi="Garamond" w:cs="Times New Roman"/>
          <w:b/>
          <w:bCs/>
          <w:kern w:val="0"/>
          <w:sz w:val="22"/>
          <w:szCs w:val="22"/>
          <w14:ligatures w14:val="none"/>
        </w:rPr>
        <w:t xml:space="preserve"> Development</w:t>
      </w:r>
    </w:p>
    <w:p w14:paraId="70B3C26D" w14:textId="6F5463D0" w:rsidR="009833DB" w:rsidRPr="009C079F" w:rsidRDefault="00AB074C" w:rsidP="009C079F">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We used an</w:t>
      </w:r>
      <w:r w:rsidR="00E212FE">
        <w:rPr>
          <w:rFonts w:ascii="Garamond" w:eastAsia="Times New Roman" w:hAnsi="Garamond" w:cs="Times New Roman"/>
          <w:kern w:val="0"/>
          <w:sz w:val="22"/>
          <w:szCs w:val="22"/>
          <w14:ligatures w14:val="none"/>
        </w:rPr>
        <w:t xml:space="preserve"> </w:t>
      </w:r>
      <w:proofErr w:type="spellStart"/>
      <w:r w:rsidR="00E212FE">
        <w:rPr>
          <w:rFonts w:ascii="Garamond" w:eastAsia="Times New Roman" w:hAnsi="Garamond" w:cs="Times New Roman"/>
          <w:kern w:val="0"/>
          <w:sz w:val="22"/>
          <w:szCs w:val="22"/>
          <w14:ligatures w14:val="none"/>
        </w:rPr>
        <w:t>isoscape</w:t>
      </w:r>
      <w:proofErr w:type="spellEnd"/>
      <w:r w:rsidR="00E212FE">
        <w:rPr>
          <w:rFonts w:ascii="Garamond" w:eastAsia="Times New Roman" w:hAnsi="Garamond" w:cs="Times New Roman"/>
          <w:kern w:val="0"/>
          <w:sz w:val="22"/>
          <w:szCs w:val="22"/>
          <w14:ligatures w14:val="none"/>
        </w:rPr>
        <w:t xml:space="preserve"> of the Kuskokwim river </w:t>
      </w:r>
      <w:r>
        <w:rPr>
          <w:rFonts w:ascii="Garamond" w:eastAsia="Times New Roman" w:hAnsi="Garamond" w:cs="Times New Roman"/>
          <w:kern w:val="0"/>
          <w:sz w:val="22"/>
          <w:szCs w:val="22"/>
          <w14:ligatures w14:val="none"/>
        </w:rPr>
        <w:t xml:space="preserve">basin </w:t>
      </w:r>
      <w:r w:rsidR="009C079F">
        <w:rPr>
          <w:rFonts w:ascii="Garamond" w:eastAsia="Times New Roman" w:hAnsi="Garamond" w:cs="Times New Roman"/>
          <w:kern w:val="0"/>
          <w:sz w:val="22"/>
          <w:szCs w:val="22"/>
          <w14:ligatures w14:val="none"/>
        </w:rPr>
        <w:t>constructed</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by </w:t>
      </w:r>
      <w:r>
        <w:rPr>
          <w:rFonts w:ascii="Garamond" w:eastAsia="Times New Roman" w:hAnsi="Garamond" w:cs="Times New Roman"/>
          <w:kern w:val="0"/>
          <w:sz w:val="22"/>
          <w:szCs w:val="22"/>
          <w14:ligatures w14:val="none"/>
        </w:rPr>
        <w:fldChar w:fldCharType="begin"/>
      </w:r>
      <w:r>
        <w:rPr>
          <w:rFonts w:ascii="Garamond" w:eastAsia="Times New Roman" w:hAnsi="Garamond" w:cs="Times New Roman"/>
          <w:kern w:val="0"/>
          <w:sz w:val="22"/>
          <w:szCs w:val="22"/>
          <w14:ligatures w14:val="none"/>
        </w:rPr>
        <w:instrText xml:space="preserve"> ADDIN ZOTERO_ITEM CSL_CITATION {"citationID":"W38QgOZ8","properties":{"formattedCitation":"(French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sz w:val="22"/>
          <w:szCs w:val="22"/>
          <w14:ligatures w14:val="none"/>
        </w:rPr>
        <w:fldChar w:fldCharType="separate"/>
      </w:r>
      <w:r>
        <w:rPr>
          <w:rFonts w:ascii="Garamond" w:eastAsia="Times New Roman" w:hAnsi="Garamond" w:cs="Times New Roman"/>
          <w:noProof/>
          <w:kern w:val="0"/>
          <w:sz w:val="22"/>
          <w:szCs w:val="22"/>
          <w14:ligatures w14:val="none"/>
        </w:rPr>
        <w:t>(French et al., 2020)</w:t>
      </w:r>
      <w:r>
        <w:rPr>
          <w:rFonts w:ascii="Garamond" w:eastAsia="Times New Roman" w:hAnsi="Garamond" w:cs="Times New Roman"/>
          <w:kern w:val="0"/>
          <w:sz w:val="22"/>
          <w:szCs w:val="22"/>
          <w14:ligatures w14:val="none"/>
        </w:rPr>
        <w:fldChar w:fldCharType="end"/>
      </w:r>
      <w:r>
        <w:rPr>
          <w:rFonts w:ascii="Garamond" w:eastAsia="Times New Roman" w:hAnsi="Garamond" w:cs="Times New Roman"/>
          <w:kern w:val="0"/>
          <w:sz w:val="22"/>
          <w:szCs w:val="22"/>
          <w14:ligatures w14:val="none"/>
        </w:rPr>
        <w:t xml:space="preserve">, in which </w:t>
      </w:r>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were </w:t>
      </w:r>
      <w:r>
        <w:rPr>
          <w:rFonts w:ascii="Garamond" w:eastAsia="Times New Roman" w:hAnsi="Garamond" w:cs="Times New Roman"/>
          <w:kern w:val="0"/>
          <w:sz w:val="22"/>
          <w:szCs w:val="22"/>
          <w14:ligatures w14:val="none"/>
        </w:rPr>
        <w:t>modeled using spatial stream network modeling (SSNM)</w:t>
      </w:r>
      <w:r w:rsidR="009C079F">
        <w:rPr>
          <w:rFonts w:ascii="Garamond" w:eastAsia="Times New Roman" w:hAnsi="Garamond" w:cs="Times New Roman"/>
          <w:kern w:val="0"/>
          <w:sz w:val="22"/>
          <w:szCs w:val="22"/>
          <w14:ligatures w14:val="none"/>
        </w:rPr>
        <w:t xml:space="preserve"> and derived from water samples collected throughout the river basin </w:t>
      </w:r>
      <w:r w:rsidR="00693A39" w:rsidRPr="00693A39">
        <w:rPr>
          <w:rFonts w:ascii="Garamond" w:eastAsia="Times New Roman" w:hAnsi="Garamond" w:cs="Times New Roman"/>
          <w:kern w:val="0"/>
          <w:sz w:val="22"/>
          <w:szCs w:val="22"/>
          <w14:ligatures w14:val="none"/>
          <w:rPrChange w:id="7"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begin"/>
      </w:r>
      <w:r w:rsidR="00693A39" w:rsidRPr="00693A39">
        <w:rPr>
          <w:rFonts w:ascii="Garamond" w:eastAsia="Times New Roman" w:hAnsi="Garamond" w:cs="Times New Roman"/>
          <w:kern w:val="0"/>
          <w:sz w:val="22"/>
          <w:szCs w:val="22"/>
          <w14:ligatures w14:val="none"/>
          <w:rPrChange w:id="8" w:author="Benjamin J. Makhlouf" w:date="2025-07-26T13:00:00Z" w16du:dateUtc="2025-07-26T20:00:00Z">
            <w:rPr>
              <w:rFonts w:ascii="Garamond" w:eastAsia="Times New Roman" w:hAnsi="Garamond" w:cs="Times New Roman"/>
              <w:kern w:val="0"/>
              <w:sz w:val="22"/>
              <w:szCs w:val="22"/>
              <w:highlight w:val="yellow"/>
              <w14:ligatures w14:val="none"/>
            </w:rPr>
          </w:rPrChang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693A39">
        <w:rPr>
          <w:rFonts w:ascii="Garamond" w:eastAsia="Times New Roman" w:hAnsi="Garamond" w:cs="Times New Roman"/>
          <w:kern w:val="0"/>
          <w:sz w:val="22"/>
          <w:szCs w:val="22"/>
          <w14:ligatures w14:val="none"/>
          <w:rPrChange w:id="9"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separate"/>
      </w:r>
      <w:r w:rsidR="00693A39" w:rsidRPr="00693A39">
        <w:rPr>
          <w:rFonts w:ascii="Garamond" w:eastAsia="Times New Roman" w:hAnsi="Garamond" w:cs="Times New Roman"/>
          <w:noProof/>
          <w:kern w:val="0"/>
          <w:sz w:val="22"/>
          <w:szCs w:val="22"/>
          <w14:ligatures w14:val="none"/>
          <w:rPrChange w:id="10"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(French et al., 2020</w:t>
      </w:r>
      <w:r w:rsidR="00693A39" w:rsidRPr="00693A39">
        <w:rPr>
          <w:rFonts w:ascii="Garamond" w:eastAsia="Times New Roman" w:hAnsi="Garamond" w:cs="Times New Roman"/>
          <w:noProof/>
          <w:kern w:val="0"/>
          <w:sz w:val="22"/>
          <w:szCs w:val="22"/>
          <w14:ligatures w14:val="none"/>
          <w:rPrChange w:id="11"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 N = 120</w:t>
      </w:r>
      <w:r w:rsidR="00693A39" w:rsidRPr="00693A39">
        <w:rPr>
          <w:rFonts w:ascii="Garamond" w:eastAsia="Times New Roman" w:hAnsi="Garamond" w:cs="Times New Roman"/>
          <w:noProof/>
          <w:kern w:val="0"/>
          <w:sz w:val="22"/>
          <w:szCs w:val="22"/>
          <w14:ligatures w14:val="none"/>
          <w:rPrChange w:id="12"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w:t>
      </w:r>
      <w:r w:rsidR="00693A39" w:rsidRPr="00693A39">
        <w:rPr>
          <w:rFonts w:ascii="Garamond" w:eastAsia="Times New Roman" w:hAnsi="Garamond" w:cs="Times New Roman"/>
          <w:kern w:val="0"/>
          <w:sz w:val="22"/>
          <w:szCs w:val="22"/>
          <w14:ligatures w14:val="none"/>
          <w:rPrChange w:id="13"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end"/>
      </w:r>
      <w:r w:rsidR="009C079F">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This approach considered </w:t>
      </w:r>
      <w:r w:rsidR="009833DB" w:rsidRPr="006D1917">
        <w:rPr>
          <w:rFonts w:ascii="Garamond" w:eastAsia="Times New Roman" w:hAnsi="Garamond" w:cs="Times New Roman"/>
          <w:kern w:val="0"/>
          <w:sz w:val="22"/>
          <w:szCs w:val="22"/>
          <w14:ligatures w14:val="none"/>
        </w:rPr>
        <w:t>several geologic and hydrological covariates as well as</w:t>
      </w:r>
      <w:r w:rsidR="009C079F">
        <w:rPr>
          <w:rFonts w:ascii="Garamond" w:eastAsia="Times New Roman" w:hAnsi="Garamond" w:cs="Times New Roman"/>
          <w:kern w:val="0"/>
          <w:sz w:val="22"/>
          <w:szCs w:val="22"/>
          <w14:ligatures w14:val="none"/>
        </w:rPr>
        <w:t xml:space="preserve"> the effect of both </w:t>
      </w:r>
      <w:r w:rsidR="009833DB" w:rsidRPr="006D1917">
        <w:rPr>
          <w:rFonts w:ascii="Garamond" w:eastAsia="Times New Roman" w:hAnsi="Garamond" w:cs="Times New Roman"/>
          <w:kern w:val="0"/>
          <w:sz w:val="22"/>
          <w:szCs w:val="22"/>
          <w14:ligatures w14:val="none"/>
        </w:rPr>
        <w:t>Euclidian distance and hydrological connectivity between sampling sites</w:t>
      </w:r>
      <w:r w:rsidR="009C079F">
        <w:rPr>
          <w:rFonts w:ascii="Garamond" w:eastAsia="Times New Roman" w:hAnsi="Garamond" w:cs="Times New Roman"/>
          <w:kern w:val="0"/>
          <w:sz w:val="22"/>
          <w:szCs w:val="22"/>
          <w14:ligatures w14:val="none"/>
        </w:rPr>
        <w:t xml:space="preserve">, providing a </w:t>
      </w:r>
      <w:r w:rsidR="009C079F" w:rsidRPr="00293B26">
        <w:rPr>
          <w:rFonts w:ascii="Garamond" w:hAnsi="Garamond" w:cs="Times New Roman"/>
          <w:sz w:val="22"/>
          <w:szCs w:val="22"/>
        </w:rPr>
        <w:t xml:space="preserve">spatially continuous estimate of </w:t>
      </w:r>
      <w:r w:rsidR="009C079F" w:rsidRPr="006D1917">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87</w:t>
      </w:r>
      <w:r w:rsidR="009C079F">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86</w:t>
      </w:r>
      <w:r w:rsidR="009C079F" w:rsidRPr="00293B26">
        <w:rPr>
          <w:rFonts w:ascii="Garamond" w:hAnsi="Garamond" w:cs="Times New Roman"/>
          <w:sz w:val="22"/>
          <w:szCs w:val="22"/>
        </w:rPr>
        <w:t xml:space="preserve"> values and their associated uncertainties for roughly every ~1km stretch of tributaries across the basin </w:t>
      </w:r>
      <w:commentRangeStart w:id="14"/>
      <w:r w:rsidR="009C079F" w:rsidRPr="00293B26">
        <w:rPr>
          <w:rFonts w:ascii="Garamond" w:hAnsi="Garamond" w:cs="Times New Roman"/>
          <w:sz w:val="22"/>
          <w:szCs w:val="22"/>
        </w:rPr>
        <w:t xml:space="preserve">(Figure </w:t>
      </w:r>
      <w:r w:rsidR="009C079F">
        <w:rPr>
          <w:rFonts w:ascii="Garamond" w:hAnsi="Garamond" w:cs="Times New Roman"/>
          <w:sz w:val="22"/>
          <w:szCs w:val="22"/>
        </w:rPr>
        <w:t>1</w:t>
      </w:r>
      <w:r w:rsidR="009C079F" w:rsidRPr="00293B26">
        <w:rPr>
          <w:rFonts w:ascii="Garamond" w:hAnsi="Garamond" w:cs="Times New Roman"/>
          <w:sz w:val="22"/>
          <w:szCs w:val="22"/>
        </w:rPr>
        <w:t>)</w:t>
      </w:r>
      <w:r w:rsidR="009C079F">
        <w:rPr>
          <w:rFonts w:ascii="Garamond" w:eastAsia="Times New Roman" w:hAnsi="Garamond" w:cs="Times New Roman"/>
          <w:kern w:val="0"/>
          <w:sz w:val="22"/>
          <w:szCs w:val="22"/>
          <w14:ligatures w14:val="none"/>
        </w:rPr>
        <w:t xml:space="preserve"> </w:t>
      </w:r>
      <w:commentRangeEnd w:id="14"/>
      <w:r w:rsidR="009C079F">
        <w:rPr>
          <w:rStyle w:val="CommentReference"/>
        </w:rPr>
        <w:commentReference w:id="14"/>
      </w:r>
      <w:r w:rsidR="009833DB" w:rsidRPr="00293B26">
        <w:rPr>
          <w:rFonts w:ascii="Garamond" w:eastAsia="Times New Roman" w:hAnsi="Garamond" w:cs="Times New Roman"/>
          <w:kern w:val="0"/>
          <w:sz w:val="22"/>
          <w:szCs w:val="22"/>
          <w14:ligatures w14:val="none"/>
        </w:rPr>
        <w:fldChar w:fldCharType="begin"/>
      </w:r>
      <w:r w:rsidR="009833DB" w:rsidRPr="00293B26">
        <w:rPr>
          <w:rFonts w:ascii="Garamond" w:eastAsia="Times New Roman" w:hAnsi="Garamond" w:cs="Times New Roman"/>
          <w:kern w:val="0"/>
          <w:sz w:val="22"/>
          <w:szCs w:val="22"/>
          <w14:ligatures w14:val="none"/>
        </w:rPr>
        <w:instrText xml:space="preserve"> ADDIN ZOTERO_ITEM CSL_CITATION {"citationID":"a4pXqHFf","properties":{"formattedCitation":"(Ver Hoef &amp; Peterson, 2010)","plainCitation":"(Ver Hoef &amp; Peterson, 2010)","noteIndex":0},"citationItems":[{"id":4769,"uris":["http://zotero.org/users/8421274/items/XBJELDI4"],"itemData":{"id":4769,"type":"article-journal","container-title":"Journal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9833DB" w:rsidRPr="00293B26">
        <w:rPr>
          <w:rFonts w:ascii="Garamond" w:eastAsia="Times New Roman" w:hAnsi="Garamond" w:cs="Times New Roman"/>
          <w:noProof/>
          <w:kern w:val="0"/>
          <w:sz w:val="22"/>
          <w:szCs w:val="22"/>
          <w14:ligatures w14:val="none"/>
        </w:rPr>
        <w:t>(Ver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commentRangeStart w:id="15"/>
      <w:r w:rsidR="009F3E36" w:rsidRPr="009F3E36">
        <w:rPr>
          <w:rFonts w:ascii="Garamond" w:hAnsi="Garamond" w:cs="Times New Roman"/>
          <w:sz w:val="22"/>
          <w:szCs w:val="22"/>
        </w:rPr>
        <w:t>To prevent over-assignment to tributaries with exceptionally low prediction error</w:t>
      </w:r>
      <w:r w:rsidR="009C079F">
        <w:rPr>
          <w:rFonts w:ascii="Garamond" w:hAnsi="Garamond" w:cs="Times New Roman"/>
          <w:sz w:val="22"/>
          <w:szCs w:val="22"/>
        </w:rPr>
        <w:t xml:space="preserve"> </w:t>
      </w:r>
      <w:r w:rsidR="009F3E36" w:rsidRPr="009F3E36">
        <w:rPr>
          <w:rFonts w:ascii="Garamond" w:hAnsi="Garamond" w:cs="Times New Roman"/>
          <w:sz w:val="22"/>
          <w:szCs w:val="22"/>
        </w:rPr>
        <w:t>minimum error values were constrained to 0.0006</w:t>
      </w:r>
      <w:r w:rsidR="009C079F">
        <w:rPr>
          <w:rFonts w:ascii="Garamond" w:hAnsi="Garamond" w:cs="Times New Roman"/>
          <w:sz w:val="22"/>
          <w:szCs w:val="22"/>
        </w:rPr>
        <w:t xml:space="preserve"> and above.</w:t>
      </w:r>
      <w:r w:rsidR="009F3E36" w:rsidRPr="009F3E36">
        <w:rPr>
          <w:rFonts w:ascii="Garamond" w:hAnsi="Garamond" w:cs="Times New Roman"/>
          <w:sz w:val="22"/>
          <w:szCs w:val="22"/>
        </w:rPr>
        <w:t xml:space="preserve"> </w:t>
      </w:r>
      <w:commentRangeEnd w:id="15"/>
      <w:r w:rsidR="009C079F">
        <w:rPr>
          <w:rStyle w:val="CommentReference"/>
        </w:rPr>
        <w:commentReference w:id="15"/>
      </w:r>
      <w:r w:rsidR="009F3E36" w:rsidRPr="009F3E36">
        <w:rPr>
          <w:rFonts w:ascii="Garamond" w:hAnsi="Garamond" w:cs="Times New Roman"/>
          <w:sz w:val="22"/>
          <w:szCs w:val="22"/>
        </w:rPr>
        <w:t>This threshold was selected through</w:t>
      </w:r>
      <w:r w:rsidR="009C079F">
        <w:rPr>
          <w:rFonts w:ascii="Garamond" w:hAnsi="Garamond" w:cs="Times New Roman"/>
          <w:sz w:val="22"/>
          <w:szCs w:val="22"/>
        </w:rPr>
        <w:t xml:space="preserve"> a</w:t>
      </w:r>
      <w:r w:rsidR="009F3E36" w:rsidRPr="009F3E36">
        <w:rPr>
          <w:rFonts w:ascii="Garamond" w:hAnsi="Garamond" w:cs="Times New Roman"/>
          <w:sz w:val="22"/>
          <w:szCs w:val="22"/>
        </w:rPr>
        <w:t xml:space="preserve"> systematic evaluation to minimize assignments driven primarily by uncertainty differences rather than isotopic similarity</w:t>
      </w:r>
      <w:r w:rsidR="009C079F">
        <w:rPr>
          <w:rFonts w:ascii="Garamond" w:hAnsi="Garamond" w:cs="Times New Roman"/>
          <w:sz w:val="22"/>
          <w:szCs w:val="22"/>
        </w:rPr>
        <w:t xml:space="preserve"> </w:t>
      </w:r>
      <w:r w:rsidR="009F3E36" w:rsidRPr="009F3E36">
        <w:rPr>
          <w:rFonts w:ascii="Garamond" w:hAnsi="Garamond" w:cs="Times New Roman"/>
          <w:sz w:val="22"/>
          <w:szCs w:val="22"/>
        </w:rPr>
        <w:t>while preserving broad-scale production patterns across the basin</w:t>
      </w:r>
    </w:p>
    <w:p w14:paraId="015401CA" w14:textId="77777777" w:rsidR="002A3FE3" w:rsidRDefault="009833DB" w:rsidP="002A3FE3">
      <w:pPr>
        <w:spacing w:before="100" w:beforeAutospacing="1" w:after="100" w:afterAutospacing="1" w:line="480" w:lineRule="auto"/>
        <w:rPr>
          <w:rFonts w:ascii="Garamond" w:eastAsia="Times New Roman" w:hAnsi="Garamond" w:cs="Times New Roman"/>
          <w:b/>
          <w:bCs/>
          <w:kern w:val="0"/>
          <w:sz w:val="22"/>
          <w:szCs w:val="22"/>
          <w14:ligatures w14:val="none"/>
        </w:rPr>
      </w:pPr>
      <w:r w:rsidRPr="006D1917">
        <w:rPr>
          <w:rFonts w:ascii="Garamond" w:eastAsia="Times New Roman" w:hAnsi="Garamond" w:cs="Times New Roman"/>
          <w:b/>
          <w:bCs/>
          <w:kern w:val="0"/>
          <w:sz w:val="22"/>
          <w:szCs w:val="22"/>
          <w14:ligatures w14:val="none"/>
        </w:rPr>
        <w:t>Assignment framework and prior</w:t>
      </w:r>
      <w:r w:rsidR="002A3FE3">
        <w:rPr>
          <w:rFonts w:ascii="Garamond" w:eastAsia="Times New Roman" w:hAnsi="Garamond" w:cs="Times New Roman"/>
          <w:b/>
          <w:bCs/>
          <w:kern w:val="0"/>
          <w:sz w:val="22"/>
          <w:szCs w:val="22"/>
          <w14:ligatures w14:val="none"/>
        </w:rPr>
        <w:t>s</w:t>
      </w:r>
    </w:p>
    <w:p w14:paraId="417575B8" w14:textId="5D8DD48E" w:rsidR="009833DB" w:rsidRPr="002A3FE3" w:rsidRDefault="002A3FE3" w:rsidP="002A3FE3">
      <w:pPr>
        <w:spacing w:before="100" w:beforeAutospacing="1" w:after="100" w:afterAutospacing="1"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r w:rsidR="00B07AE4">
        <w:rPr>
          <w:rFonts w:ascii="Garamond" w:hAnsi="Garamond" w:cstheme="majorHAnsi"/>
          <w:sz w:val="22"/>
          <w:szCs w:val="22"/>
        </w:rPr>
        <w:t>s</w:t>
      </w:r>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lastRenderedPageBreak/>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27D6E1BC" w14:textId="11CC75BE" w:rsidR="009833DB" w:rsidRPr="002A3FE3" w:rsidRDefault="009833DB" w:rsidP="002A3FE3">
      <w:pPr>
        <w:spacing w:line="480" w:lineRule="auto"/>
        <w:ind w:firstLine="720"/>
        <w:rPr>
          <w:rFonts w:ascii="Garamond" w:eastAsia="Times New Roman" w:hAnsi="Garamond" w:cs="Times New Roman"/>
          <w:kern w:val="0"/>
          <w:sz w:val="22"/>
          <w:szCs w:val="22"/>
          <w14:ligatures w14:val="none"/>
        </w:rPr>
      </w:pPr>
      <w:r w:rsidRPr="00F75AB6">
        <w:rPr>
          <w:rFonts w:ascii="Garamond" w:hAnsi="Garamond" w:cstheme="majorHAnsi"/>
          <w:sz w:val="22"/>
          <w:szCs w:val="22"/>
        </w:rPr>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 xml:space="preserve">tributaries with a stream order of 3 or greater, </w:t>
      </w:r>
      <w:r w:rsidRPr="00F75AB6">
        <w:rPr>
          <w:rFonts w:ascii="Garamond" w:hAnsi="Garamond"/>
          <w:sz w:val="22"/>
          <w:szCs w:val="22"/>
        </w:rPr>
        <w:t xml:space="preserve">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2A3FE3">
        <w:rPr>
          <w:rFonts w:ascii="Garamond" w:hAnsi="Garamond"/>
          <w:sz w:val="22"/>
          <w:szCs w:val="22"/>
        </w:rPr>
        <w:t xml:space="preserve"> </w:t>
      </w:r>
      <w:r w:rsidR="002A3FE3" w:rsidRPr="00983880">
        <w:rPr>
          <w:rFonts w:ascii="Garamond" w:hAnsi="Garamond"/>
          <w:sz w:val="22"/>
          <w:szCs w:val="22"/>
          <w:highlight w:val="yellow"/>
        </w:rPr>
        <w:t>(</w:t>
      </w:r>
      <w:r w:rsidR="0039711B" w:rsidRPr="00983880">
        <w:rPr>
          <w:rFonts w:ascii="Garamond" w:hAnsi="Garamond"/>
          <w:sz w:val="22"/>
          <w:szCs w:val="22"/>
          <w:highlight w:val="yellow"/>
        </w:rPr>
        <w:t>Quinn</w:t>
      </w:r>
      <w:del w:id="16" w:author="Benjamin J. Makhlouf" w:date="2025-07-26T11:29:00Z" w16du:dateUtc="2025-07-26T18:29:00Z">
        <w:r w:rsidR="0039711B" w:rsidRPr="00983880" w:rsidDel="00AD7B82">
          <w:rPr>
            <w:rFonts w:ascii="Garamond" w:hAnsi="Garamond"/>
            <w:sz w:val="22"/>
            <w:szCs w:val="22"/>
            <w:highlight w:val="yellow"/>
          </w:rPr>
          <w:delText xml:space="preserve"> </w:delText>
        </w:r>
      </w:del>
      <w:r w:rsidR="00AD7B82" w:rsidRPr="00983880">
        <w:rPr>
          <w:rFonts w:ascii="Garamond" w:hAnsi="Garamond"/>
          <w:sz w:val="22"/>
          <w:szCs w:val="22"/>
          <w:highlight w:val="yellow"/>
        </w:rPr>
        <w:t>, 2018</w:t>
      </w:r>
      <w:r w:rsidR="002A3FE3" w:rsidRPr="00983880">
        <w:rPr>
          <w:rFonts w:ascii="Garamond" w:hAnsi="Garamond"/>
          <w:sz w:val="22"/>
          <w:szCs w:val="22"/>
          <w:highlight w:val="yellow"/>
        </w:rPr>
        <w:t>)</w:t>
      </w:r>
      <w:r w:rsidRPr="00983880">
        <w:rPr>
          <w:rFonts w:ascii="Garamond" w:hAnsi="Garamond"/>
          <w:sz w:val="22"/>
          <w:szCs w:val="22"/>
          <w:highlight w:val="yellow"/>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regions below </w:t>
      </w:r>
      <w:r w:rsidRPr="004E3592">
        <w:rPr>
          <w:rFonts w:ascii="Garamond" w:eastAsia="Times New Roman" w:hAnsi="Garamond" w:cs="Times New Roman"/>
          <w:kern w:val="0"/>
          <w:sz w:val="22"/>
          <w:szCs w:val="22"/>
          <w14:ligatures w14:val="none"/>
          <w:rPrChange w:id="17" w:author="Benjamin J. Makhlouf" w:date="2025-07-26T13:48:00Z" w16du:dateUtc="2025-07-26T20:48:00Z">
            <w:rPr>
              <w:rFonts w:ascii="Garamond" w:eastAsia="Times New Roman" w:hAnsi="Garamond" w:cs="Times New Roman"/>
              <w:kern w:val="0"/>
              <w:sz w:val="22"/>
              <w:szCs w:val="22"/>
              <w:highlight w:val="yellow"/>
              <w14:ligatures w14:val="none"/>
            </w:rPr>
          </w:rPrChange>
        </w:rPr>
        <w:t>a threshold contributing slope value</w:t>
      </w:r>
      <w:r w:rsidR="00983880">
        <w:rPr>
          <w:rFonts w:ascii="Garamond" w:eastAsia="Times New Roman" w:hAnsi="Garamond" w:cs="Times New Roman"/>
          <w:kern w:val="0"/>
          <w:sz w:val="22"/>
          <w:szCs w:val="22"/>
          <w14:ligatures w14:val="none"/>
        </w:rPr>
        <w:t xml:space="preserve"> of </w:t>
      </w:r>
      <w:r w:rsidR="00983880" w:rsidRPr="00983880">
        <w:rPr>
          <w:rFonts w:ascii="Garamond" w:eastAsia="Times New Roman" w:hAnsi="Garamond" w:cs="Times New Roman"/>
          <w:kern w:val="0"/>
          <w:sz w:val="22"/>
          <w:szCs w:val="22"/>
          <w:highlight w:val="yellow"/>
          <w14:ligatures w14:val="none"/>
        </w:rPr>
        <w:t>_____</w:t>
      </w:r>
      <w:r w:rsidRPr="004E3592">
        <w:rPr>
          <w:rFonts w:ascii="Garamond" w:eastAsia="Times New Roman" w:hAnsi="Garamond" w:cs="Times New Roman"/>
          <w:kern w:val="0"/>
          <w:sz w:val="22"/>
          <w:szCs w:val="22"/>
          <w14:ligatures w14:val="none"/>
        </w:rPr>
        <w:t>,</w:t>
      </w:r>
      <w:r w:rsidRPr="00F75AB6">
        <w:rPr>
          <w:rFonts w:ascii="Garamond" w:eastAsia="Times New Roman" w:hAnsi="Garamond" w:cs="Times New Roman"/>
          <w:kern w:val="0"/>
          <w:sz w:val="22"/>
          <w:szCs w:val="22"/>
          <w14:ligatures w14:val="none"/>
        </w:rPr>
        <w:t xml:space="preserve"> thereby preventing assignment to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Pr="00F75AB6">
        <w:rPr>
          <w:rFonts w:ascii="Garamond" w:eastAsia="Times New Roman" w:hAnsi="Garamond" w:cs="Times New Roman"/>
          <w:kern w:val="0"/>
          <w:sz w:val="22"/>
          <w:szCs w:val="22"/>
          <w14:ligatures w14:val="none"/>
        </w:rPr>
        <w:t xml:space="preserve">. </w:t>
      </w:r>
      <w:r w:rsidRPr="00983880">
        <w:rPr>
          <w:rFonts w:ascii="Garamond" w:eastAsia="Times New Roman" w:hAnsi="Garamond" w:cs="Times New Roman"/>
          <w:kern w:val="0"/>
          <w:sz w:val="22"/>
          <w:szCs w:val="22"/>
          <w:highlight w:val="yellow"/>
          <w14:ligatures w14:val="none"/>
        </w:rPr>
        <w:t xml:space="preserve">Finally, data was included on observed locations of spawning </w:t>
      </w:r>
      <w:r w:rsidR="0039711B" w:rsidRPr="00983880">
        <w:rPr>
          <w:rFonts w:ascii="Garamond" w:eastAsia="Times New Roman" w:hAnsi="Garamond" w:cs="Times New Roman"/>
          <w:kern w:val="0"/>
          <w:sz w:val="22"/>
          <w:szCs w:val="22"/>
          <w:highlight w:val="yellow"/>
          <w14:ligatures w14:val="none"/>
        </w:rPr>
        <w:t>C</w:t>
      </w:r>
      <w:r w:rsidRPr="00983880">
        <w:rPr>
          <w:rFonts w:ascii="Garamond" w:eastAsia="Times New Roman" w:hAnsi="Garamond" w:cs="Times New Roman"/>
          <w:kern w:val="0"/>
          <w:sz w:val="22"/>
          <w:szCs w:val="22"/>
          <w:highlight w:val="yellow"/>
          <w14:ligatures w14:val="none"/>
        </w:rPr>
        <w:t>hinook presence derived from USGS Arctic-Yukon-Kuskokwim (AYK) Chinook Salmon Intrinsic potential mapping</w:t>
      </w:r>
      <w:r w:rsidR="00983880" w:rsidRPr="00983880">
        <w:rPr>
          <w:rFonts w:ascii="Garamond" w:eastAsia="Times New Roman" w:hAnsi="Garamond" w:cs="Times New Roman"/>
          <w:kern w:val="0"/>
          <w:sz w:val="22"/>
          <w:szCs w:val="22"/>
          <w:highlight w:val="yellow"/>
          <w14:ligatures w14:val="none"/>
        </w:rPr>
        <w:t xml:space="preserve">, which </w:t>
      </w:r>
      <w:r w:rsidRPr="00983880">
        <w:rPr>
          <w:rFonts w:ascii="Garamond" w:eastAsia="Times New Roman" w:hAnsi="Garamond" w:cs="Times New Roman"/>
          <w:kern w:val="0"/>
          <w:sz w:val="22"/>
          <w:szCs w:val="22"/>
          <w:highlight w:val="yellow"/>
          <w14:ligatures w14:val="none"/>
        </w:rPr>
        <w:t>synthesize</w:t>
      </w:r>
      <w:r w:rsidR="00983880" w:rsidRPr="00983880">
        <w:rPr>
          <w:rFonts w:ascii="Garamond" w:eastAsia="Times New Roman" w:hAnsi="Garamond" w:cs="Times New Roman"/>
          <w:kern w:val="0"/>
          <w:sz w:val="22"/>
          <w:szCs w:val="22"/>
          <w:highlight w:val="yellow"/>
          <w14:ligatures w14:val="none"/>
        </w:rPr>
        <w:t>d</w:t>
      </w:r>
      <w:r w:rsidRPr="00983880">
        <w:rPr>
          <w:rFonts w:ascii="Garamond" w:eastAsia="Times New Roman" w:hAnsi="Garamond" w:cs="Times New Roman"/>
          <w:kern w:val="0"/>
          <w:sz w:val="22"/>
          <w:szCs w:val="22"/>
          <w:highlight w:val="yellow"/>
          <w14:ligatures w14:val="none"/>
        </w:rPr>
        <w:t xml:space="preserve"> several sources of data on observed Chinook salmon spawners  to provide a binary 0 or 1 value for locations with or without observations across the dataset</w:t>
      </w:r>
      <w:r w:rsidR="0088327B" w:rsidRPr="00983880">
        <w:rPr>
          <w:rFonts w:ascii="Garamond" w:eastAsia="Times New Roman" w:hAnsi="Garamond" w:cs="Times New Roman"/>
          <w:kern w:val="0"/>
          <w:sz w:val="22"/>
          <w:szCs w:val="22"/>
          <w:highlight w:val="yellow"/>
          <w14:ligatures w14:val="none"/>
        </w:rPr>
        <w:t xml:space="preserve"> </w:t>
      </w:r>
      <w:r w:rsidR="0088327B" w:rsidRPr="00983880">
        <w:rPr>
          <w:rFonts w:ascii="Garamond" w:eastAsia="Times New Roman" w:hAnsi="Garamond" w:cs="Times New Roman"/>
          <w:kern w:val="0"/>
          <w:sz w:val="22"/>
          <w:szCs w:val="22"/>
          <w:highlight w:val="yellow"/>
          <w14:ligatures w14:val="none"/>
        </w:rPr>
        <w:fldChar w:fldCharType="begin"/>
      </w:r>
      <w:r w:rsidR="0088327B" w:rsidRPr="00983880">
        <w:rPr>
          <w:rFonts w:ascii="Garamond" w:eastAsia="Times New Roman" w:hAnsi="Garamond" w:cs="Times New Roman"/>
          <w:kern w:val="0"/>
          <w:sz w:val="22"/>
          <w:szCs w:val="22"/>
          <w:highlight w:val="yellow"/>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983880">
        <w:rPr>
          <w:rFonts w:ascii="Garamond" w:eastAsia="Times New Roman" w:hAnsi="Garamond" w:cs="Times New Roman"/>
          <w:kern w:val="0"/>
          <w:sz w:val="22"/>
          <w:szCs w:val="22"/>
          <w:highlight w:val="yellow"/>
          <w14:ligatures w14:val="none"/>
        </w:rPr>
        <w:fldChar w:fldCharType="separate"/>
      </w:r>
      <w:r w:rsidR="0088327B" w:rsidRPr="00983880">
        <w:rPr>
          <w:rFonts w:ascii="Garamond" w:eastAsia="Times New Roman" w:hAnsi="Garamond" w:cs="Times New Roman"/>
          <w:noProof/>
          <w:kern w:val="0"/>
          <w:sz w:val="22"/>
          <w:szCs w:val="22"/>
          <w:highlight w:val="yellow"/>
          <w14:ligatures w14:val="none"/>
        </w:rPr>
        <w:t>(Falke &amp; Paul, 2025)</w:t>
      </w:r>
      <w:r w:rsidR="0088327B" w:rsidRPr="00983880">
        <w:rPr>
          <w:rFonts w:ascii="Garamond" w:eastAsia="Times New Roman" w:hAnsi="Garamond" w:cs="Times New Roman"/>
          <w:kern w:val="0"/>
          <w:sz w:val="22"/>
          <w:szCs w:val="22"/>
          <w:highlight w:val="yellow"/>
          <w14:ligatures w14:val="none"/>
        </w:rPr>
        <w:fldChar w:fldCharType="end"/>
      </w:r>
      <w:r w:rsidR="0088327B" w:rsidRPr="00983880">
        <w:rPr>
          <w:rFonts w:ascii="Garamond" w:eastAsia="Times New Roman" w:hAnsi="Garamond" w:cs="Times New Roman"/>
          <w:kern w:val="0"/>
          <w:sz w:val="22"/>
          <w:szCs w:val="22"/>
          <w:highlight w:val="yellow"/>
          <w14:ligatures w14:val="none"/>
        </w:rPr>
        <w:t>.</w:t>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 To avoid biasing regions without observations but with low sampling effort, this prior was only applied 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as </w:t>
      </w:r>
      <w:r w:rsidR="00983880">
        <w:rPr>
          <w:rFonts w:ascii="Garamond" w:eastAsia="Times New Roman" w:hAnsi="Garamond" w:cs="Times New Roman"/>
          <w:kern w:val="0"/>
          <w:sz w:val="22"/>
          <w:szCs w:val="22"/>
          <w14:ligatures w14:val="none"/>
        </w:rPr>
        <w:t xml:space="preserve">consistently </w:t>
      </w:r>
      <w:r w:rsidRPr="00F75AB6">
        <w:rPr>
          <w:rFonts w:ascii="Garamond" w:eastAsia="Times New Roman" w:hAnsi="Garamond" w:cs="Times New Roman"/>
          <w:kern w:val="0"/>
          <w:sz w:val="22"/>
          <w:szCs w:val="22"/>
          <w14:ligatures w14:val="none"/>
        </w:rPr>
        <w:t xml:space="preserve">lacking observed Chinook spawning were assigned as a value of 0. </w:t>
      </w:r>
    </w:p>
    <w:p w14:paraId="4DABB2BB" w14:textId="516EE5A9" w:rsidR="00D149EB" w:rsidRDefault="009110AF" w:rsidP="009110AF">
      <w:pPr>
        <w:spacing w:line="480" w:lineRule="auto"/>
        <w:ind w:firstLine="720"/>
        <w:rPr>
          <w:rFonts w:ascii="Garamond" w:hAnsi="Garamond"/>
          <w:sz w:val="22"/>
          <w:szCs w:val="22"/>
        </w:rPr>
      </w:pPr>
      <w:r>
        <w:rPr>
          <w:rFonts w:ascii="Garamond" w:hAnsi="Garamond"/>
          <w:sz w:val="22"/>
          <w:szCs w:val="22"/>
        </w:rPr>
        <w:t xml:space="preserve">To estimate the spatial distribution of natal origins for a subset of the population, </w:t>
      </w:r>
      <w:r w:rsidR="009F3E36" w:rsidRPr="009F3E36">
        <w:rPr>
          <w:rFonts w:ascii="Garamond" w:hAnsi="Garamond"/>
          <w:sz w:val="22"/>
          <w:szCs w:val="22"/>
        </w:rPr>
        <w:t xml:space="preserve">posterior probability values </w:t>
      </w:r>
      <w:r>
        <w:rPr>
          <w:rFonts w:ascii="Garamond" w:hAnsi="Garamond"/>
          <w:sz w:val="22"/>
          <w:szCs w:val="22"/>
        </w:rPr>
        <w:t xml:space="preserve">were summed </w:t>
      </w:r>
      <w:r w:rsidR="009F3E36" w:rsidRPr="009F3E36">
        <w:rPr>
          <w:rFonts w:ascii="Garamond" w:hAnsi="Garamond"/>
          <w:sz w:val="22"/>
          <w:szCs w:val="22"/>
        </w:rPr>
        <w:t xml:space="preserve">across </w:t>
      </w:r>
      <w:r w:rsidR="00983880">
        <w:rPr>
          <w:rFonts w:ascii="Garamond" w:hAnsi="Garamond"/>
          <w:sz w:val="22"/>
          <w:szCs w:val="22"/>
        </w:rPr>
        <w:t xml:space="preserve">all </w:t>
      </w:r>
      <w:r w:rsidR="009F3E36" w:rsidRPr="009F3E36">
        <w:rPr>
          <w:rFonts w:ascii="Garamond" w:hAnsi="Garamond"/>
          <w:sz w:val="22"/>
          <w:szCs w:val="22"/>
        </w:rPr>
        <w:t xml:space="preserve">individuals </w:t>
      </w:r>
      <w:r w:rsidR="00983880">
        <w:rPr>
          <w:rFonts w:ascii="Garamond" w:hAnsi="Garamond"/>
          <w:sz w:val="22"/>
          <w:szCs w:val="22"/>
        </w:rPr>
        <w:t>in the subset and at all reaches in the basin.</w:t>
      </w:r>
      <w:r>
        <w:rPr>
          <w:rFonts w:ascii="Garamond" w:hAnsi="Garamond"/>
          <w:sz w:val="22"/>
          <w:szCs w:val="22"/>
        </w:rPr>
        <w:t xml:space="preserve"> To focus analysis on only highly likely locations, the top 30% of posterior values were retained whereas all other values were assigned a value of 0 for </w:t>
      </w:r>
      <w:proofErr w:type="gramStart"/>
      <w:r>
        <w:rPr>
          <w:rFonts w:ascii="Garamond" w:hAnsi="Garamond"/>
          <w:sz w:val="22"/>
          <w:szCs w:val="22"/>
        </w:rPr>
        <w:t>each individual</w:t>
      </w:r>
      <w:proofErr w:type="gramEnd"/>
      <w:r>
        <w:rPr>
          <w:rFonts w:ascii="Garamond" w:hAnsi="Garamond"/>
          <w:sz w:val="22"/>
          <w:szCs w:val="22"/>
        </w:rPr>
        <w:t xml:space="preserve"> before summing. Natal origin estimates were produced for </w:t>
      </w:r>
      <w:r w:rsidR="009F3E36" w:rsidRPr="009F3E36">
        <w:rPr>
          <w:rFonts w:ascii="Garamond" w:hAnsi="Garamond"/>
          <w:sz w:val="22"/>
          <w:szCs w:val="22"/>
        </w:rPr>
        <w:lastRenderedPageBreak/>
        <w:t xml:space="preserve">predefined temporal quartiles </w:t>
      </w:r>
      <w:r w:rsidR="0039711B">
        <w:rPr>
          <w:rFonts w:ascii="Garamond" w:hAnsi="Garamond"/>
          <w:sz w:val="22"/>
          <w:szCs w:val="22"/>
        </w:rPr>
        <w:t xml:space="preserve">of the salmon migration season </w:t>
      </w:r>
      <w:r w:rsidR="009F3E36" w:rsidRPr="009F3E36">
        <w:rPr>
          <w:rFonts w:ascii="Garamond" w:hAnsi="Garamond"/>
          <w:sz w:val="22"/>
          <w:szCs w:val="22"/>
        </w:rPr>
        <w:t>based on capture date: Q1 (run start through June 11), Q2 (June 12-21), Q3 (June 22-July 1), and Q4 (July 2 onward).</w:t>
      </w:r>
      <w:ins w:id="18"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 xml:space="preserve">The June 11 date was chosen specifically to match the end of the ‘front end closure’ of the subsistence fishery </w:t>
      </w:r>
      <w:r w:rsidR="0015783A">
        <w:rPr>
          <w:rFonts w:ascii="Garamond" w:hAnsi="Garamond"/>
          <w:sz w:val="22"/>
          <w:szCs w:val="22"/>
        </w:rPr>
        <w:t xml:space="preserve">corresponding to the first quartile of the run, </w:t>
      </w:r>
      <w:r w:rsidR="0039711B">
        <w:rPr>
          <w:rFonts w:ascii="Garamond" w:hAnsi="Garamond"/>
          <w:sz w:val="22"/>
          <w:szCs w:val="22"/>
        </w:rPr>
        <w:t xml:space="preserve">which has been implemented for over a decade. </w:t>
      </w:r>
      <w:r w:rsidR="00D149EB">
        <w:rPr>
          <w:rFonts w:ascii="Garamond" w:hAnsi="Garamond"/>
          <w:sz w:val="22"/>
          <w:szCs w:val="22"/>
        </w:rPr>
        <w:t xml:space="preserve">Estimates were also produced for the full duration of the run including all four quartiles of data for each year. </w:t>
      </w:r>
    </w:p>
    <w:p w14:paraId="1D4060B3" w14:textId="269DC6CA" w:rsidR="003442B4" w:rsidRDefault="009F3E36" w:rsidP="00D149EB">
      <w:pPr>
        <w:spacing w:line="480" w:lineRule="auto"/>
        <w:ind w:firstLine="720"/>
        <w:rPr>
          <w:rFonts w:ascii="Garamond" w:hAnsi="Garamond"/>
          <w:sz w:val="22"/>
          <w:szCs w:val="22"/>
        </w:rPr>
      </w:pPr>
      <w:r w:rsidRPr="009F3E36">
        <w:rPr>
          <w:rFonts w:ascii="Garamond" w:hAnsi="Garamond"/>
          <w:sz w:val="22"/>
          <w:szCs w:val="22"/>
        </w:rPr>
        <w:t xml:space="preserve">Twenty-one management units were defined to aggregate tributary-level estimates into units relevant to current management practices (Figure 2). Management units of interest to the Alaska Department of Fish </w:t>
      </w:r>
      <w:r w:rsidR="00401EE2">
        <w:rPr>
          <w:rFonts w:ascii="Garamond" w:hAnsi="Garamond"/>
          <w:sz w:val="22"/>
          <w:szCs w:val="22"/>
        </w:rPr>
        <w:t>&amp;</w:t>
      </w:r>
      <w:r w:rsidR="00401EE2" w:rsidRPr="009F3E36">
        <w:rPr>
          <w:rFonts w:ascii="Garamond" w:hAnsi="Garamond"/>
          <w:sz w:val="22"/>
          <w:szCs w:val="22"/>
        </w:rPr>
        <w:t xml:space="preserve"> </w:t>
      </w:r>
      <w:r w:rsidRPr="009F3E36">
        <w:rPr>
          <w:rFonts w:ascii="Garamond" w:hAnsi="Garamond"/>
          <w:sz w:val="22"/>
          <w:szCs w:val="22"/>
        </w:rPr>
        <w:t>Game were identified by</w:t>
      </w:r>
      <w:r w:rsidR="003442B4">
        <w:rPr>
          <w:rFonts w:ascii="Garamond" w:hAnsi="Garamond"/>
          <w:sz w:val="22"/>
          <w:szCs w:val="22"/>
        </w:rPr>
        <w:t xml:space="preserve"> </w:t>
      </w:r>
      <w:ins w:id="19" w:author="Daniel Schindler" w:date="2025-07-17T13:31:00Z" w16du:dateUtc="2025-07-17T21:31:00Z">
        <w:r w:rsidR="00401EE2">
          <w:rPr>
            <w:rFonts w:ascii="Garamond" w:hAnsi="Garamond"/>
            <w:sz w:val="22"/>
            <w:szCs w:val="22"/>
          </w:rPr>
          <w:t>(Liller reference?)</w:t>
        </w:r>
        <w:r w:rsidR="00401EE2" w:rsidRPr="009F3E36">
          <w:rPr>
            <w:rFonts w:ascii="Garamond" w:hAnsi="Garamond"/>
            <w:sz w:val="22"/>
            <w:szCs w:val="22"/>
          </w:rPr>
          <w:t xml:space="preserve"> </w:t>
        </w:r>
      </w:ins>
      <w:r w:rsidRPr="009F3E36">
        <w:rPr>
          <w:rFonts w:ascii="Garamond" w:hAnsi="Garamond"/>
          <w:sz w:val="22"/>
          <w:szCs w:val="22"/>
        </w:rPr>
        <w:t>with all upstream segments from the most downstream point of each tributary assigned to common management identifiers. Remaining basin areas were manually grouped into units of comparable size to ensure complete basin coverage.</w:t>
      </w:r>
    </w:p>
    <w:p w14:paraId="4802BE4A" w14:textId="3946C557" w:rsidR="003442B4" w:rsidRPr="00AD7B82" w:rsidRDefault="003442B4" w:rsidP="003442B4">
      <w:pPr>
        <w:spacing w:line="480" w:lineRule="auto"/>
        <w:rPr>
          <w:rFonts w:ascii="Garamond" w:hAnsi="Garamond"/>
          <w:b/>
          <w:bCs/>
          <w:sz w:val="22"/>
          <w:szCs w:val="22"/>
        </w:rPr>
      </w:pPr>
      <w:r w:rsidRPr="00AD7B82">
        <w:rPr>
          <w:rFonts w:ascii="Garamond" w:hAnsi="Garamond"/>
          <w:b/>
          <w:bCs/>
          <w:sz w:val="22"/>
          <w:szCs w:val="22"/>
        </w:rPr>
        <w:t>Spatial and Temporal pattern</w:t>
      </w:r>
      <w:r w:rsidR="00312FC9" w:rsidRPr="00AD7B82">
        <w:rPr>
          <w:rFonts w:ascii="Garamond" w:hAnsi="Garamond"/>
          <w:b/>
          <w:bCs/>
          <w:sz w:val="22"/>
          <w:szCs w:val="22"/>
        </w:rPr>
        <w:t>s</w:t>
      </w:r>
      <w:r w:rsidRPr="00AD7B82">
        <w:rPr>
          <w:rFonts w:ascii="Garamond" w:hAnsi="Garamond"/>
          <w:b/>
          <w:bCs/>
          <w:sz w:val="22"/>
          <w:szCs w:val="22"/>
        </w:rPr>
        <w:t xml:space="preserve"> </w:t>
      </w:r>
    </w:p>
    <w:p w14:paraId="153B5A2B" w14:textId="2C677EF2" w:rsidR="00312FC9" w:rsidRPr="00AD7B82" w:rsidRDefault="00C97C2C" w:rsidP="0025573D">
      <w:pPr>
        <w:spacing w:line="480" w:lineRule="auto"/>
        <w:ind w:firstLine="720"/>
        <w:rPr>
          <w:rFonts w:ascii="Garamond" w:hAnsi="Garamond"/>
          <w:sz w:val="22"/>
          <w:szCs w:val="22"/>
        </w:rPr>
      </w:pPr>
      <w:r w:rsidRPr="00AD7B82">
        <w:rPr>
          <w:rFonts w:ascii="Garamond" w:hAnsi="Garamond"/>
          <w:b/>
          <w:bCs/>
          <w:sz w:val="22"/>
          <w:szCs w:val="22"/>
        </w:rPr>
        <w:tab/>
      </w:r>
      <w:r w:rsidR="00306D21" w:rsidRPr="00AD7B82">
        <w:rPr>
          <w:rFonts w:ascii="Garamond" w:hAnsi="Garamond"/>
          <w:sz w:val="22"/>
          <w:szCs w:val="22"/>
        </w:rPr>
        <w:t>In each year of the study, and f</w:t>
      </w:r>
      <w:r w:rsidR="003442B4" w:rsidRPr="00AD7B82">
        <w:rPr>
          <w:rFonts w:ascii="Garamond" w:hAnsi="Garamond"/>
          <w:sz w:val="22"/>
          <w:szCs w:val="22"/>
        </w:rPr>
        <w:t xml:space="preserve">or each </w:t>
      </w:r>
      <w:r w:rsidR="00306D21" w:rsidRPr="00AD7B82">
        <w:rPr>
          <w:rFonts w:ascii="Garamond" w:hAnsi="Garamond"/>
          <w:sz w:val="22"/>
          <w:szCs w:val="22"/>
        </w:rPr>
        <w:t xml:space="preserve">seasonal </w:t>
      </w:r>
      <w:r w:rsidR="003442B4" w:rsidRPr="00AD7B82">
        <w:rPr>
          <w:rFonts w:ascii="Garamond" w:hAnsi="Garamond"/>
          <w:sz w:val="22"/>
          <w:szCs w:val="22"/>
        </w:rPr>
        <w:t xml:space="preserve">quartile, return estimates were normalized to sum to one across the watershed, displaying proportional contribution patterns independent of among-quartile abundance differences. Mean contributions across all years were calculated for each management unit and quartile and visualized by coloring all tributaries assigned to the same unit by their </w:t>
      </w:r>
      <w:r w:rsidR="00306D21" w:rsidRPr="00AD7B82">
        <w:rPr>
          <w:rFonts w:ascii="Garamond" w:hAnsi="Garamond"/>
          <w:sz w:val="22"/>
          <w:szCs w:val="22"/>
        </w:rPr>
        <w:t xml:space="preserve">proportional </w:t>
      </w:r>
      <w:r w:rsidR="003442B4" w:rsidRPr="00AD7B82">
        <w:rPr>
          <w:rFonts w:ascii="Garamond" w:hAnsi="Garamond"/>
          <w:sz w:val="22"/>
          <w:szCs w:val="22"/>
        </w:rPr>
        <w:t xml:space="preserve">contribution (Figure </w:t>
      </w:r>
      <w:r w:rsidR="0025573D">
        <w:rPr>
          <w:rFonts w:ascii="Garamond" w:hAnsi="Garamond"/>
          <w:sz w:val="22"/>
          <w:szCs w:val="22"/>
        </w:rPr>
        <w:t>3</w:t>
      </w:r>
      <w:r w:rsidR="003442B4" w:rsidRPr="00AD7B82">
        <w:rPr>
          <w:rFonts w:ascii="Garamond" w:hAnsi="Garamond"/>
          <w:sz w:val="22"/>
          <w:szCs w:val="22"/>
        </w:rPr>
        <w:t>). Corresponding boxplots for each quartile illustrate temporal variability in contribution patterns, ordered from upstream to downstream locations. Cumulative distribution functions were constructed using 3-day intervals throughout each run. For each interval, tributary-level production estimates were aggregated into management units and compared against full-season totals.</w:t>
      </w:r>
      <w:r w:rsidR="0025573D">
        <w:rPr>
          <w:rFonts w:ascii="Garamond" w:hAnsi="Garamond"/>
          <w:sz w:val="22"/>
          <w:szCs w:val="22"/>
        </w:rPr>
        <w:t xml:space="preserve"> Resulting data represent the proportion of the total contribution from each stock present at each interval. For each stock, lines were color coded by watershed position, with upstream populations in red. </w:t>
      </w:r>
      <w:r w:rsidR="003442B4" w:rsidRPr="00AD7B82">
        <w:rPr>
          <w:rFonts w:ascii="Garamond" w:hAnsi="Garamond"/>
          <w:sz w:val="22"/>
          <w:szCs w:val="22"/>
        </w:rPr>
        <w:t xml:space="preserve">Management units were color-coded by watershed position, with upstream </w:t>
      </w:r>
      <w:r w:rsidR="0025573D" w:rsidRPr="00AD7B82">
        <w:rPr>
          <w:rFonts w:ascii="Garamond" w:hAnsi="Garamond"/>
          <w:sz w:val="22"/>
          <w:szCs w:val="22"/>
        </w:rPr>
        <w:t>populations</w:t>
      </w:r>
      <w:r w:rsidR="003442B4" w:rsidRPr="00AD7B82">
        <w:rPr>
          <w:rFonts w:ascii="Garamond" w:hAnsi="Garamond"/>
          <w:sz w:val="22"/>
          <w:szCs w:val="22"/>
        </w:rPr>
        <w:t xml:space="preserve"> transitioning to downstream populations in blue</w:t>
      </w:r>
      <w:r w:rsidR="0025573D">
        <w:rPr>
          <w:rFonts w:ascii="Garamond" w:hAnsi="Garamond"/>
          <w:sz w:val="22"/>
          <w:szCs w:val="22"/>
        </w:rPr>
        <w:t xml:space="preserve">. </w:t>
      </w:r>
      <w:r w:rsidR="00312FC9" w:rsidRPr="00AD7B82">
        <w:rPr>
          <w:rFonts w:ascii="Garamond" w:hAnsi="Garamond"/>
          <w:sz w:val="22"/>
          <w:szCs w:val="22"/>
        </w:rPr>
        <w:t>To assess the effectiveness of front-end closure strategies</w:t>
      </w:r>
      <w:r w:rsidR="00A36D27" w:rsidRPr="00AD7B82">
        <w:rPr>
          <w:rFonts w:ascii="Garamond" w:hAnsi="Garamond"/>
          <w:sz w:val="22"/>
          <w:szCs w:val="22"/>
        </w:rPr>
        <w:t xml:space="preserve"> for protecting</w:t>
      </w:r>
      <w:r w:rsidR="00312FC9" w:rsidRPr="00AD7B82">
        <w:rPr>
          <w:rFonts w:ascii="Garamond" w:hAnsi="Garamond"/>
          <w:sz w:val="22"/>
          <w:szCs w:val="22"/>
        </w:rPr>
        <w:t xml:space="preserve"> upstream stock components</w:t>
      </w:r>
      <w:r w:rsidR="00A36D27" w:rsidRPr="00AD7B82">
        <w:rPr>
          <w:rFonts w:ascii="Garamond" w:hAnsi="Garamond"/>
          <w:sz w:val="22"/>
          <w:szCs w:val="22"/>
        </w:rPr>
        <w:t xml:space="preserve"> from harvest</w:t>
      </w:r>
      <w:r w:rsidR="00312FC9" w:rsidRPr="00AD7B82">
        <w:rPr>
          <w:rFonts w:ascii="Garamond" w:hAnsi="Garamond"/>
          <w:sz w:val="22"/>
          <w:szCs w:val="22"/>
        </w:rPr>
        <w:t xml:space="preserve">, we quantified the proportion of each management unit's annual production that occurs within </w:t>
      </w:r>
      <w:r w:rsidR="00312FC9" w:rsidRPr="00AD7B82">
        <w:rPr>
          <w:rFonts w:ascii="Garamond" w:hAnsi="Garamond"/>
          <w:sz w:val="22"/>
          <w:szCs w:val="22"/>
        </w:rPr>
        <w:lastRenderedPageBreak/>
        <w:t>the current closure window. We calculated the ratio of estimated returns during Q1 (run start through June 11) to the total annual returns for each management unit and year. This metric represents the fraction of each stock's production that would be protected by implementing a front-end closure, independent of that unit's overall contribution to basin-wide returns.</w:t>
      </w:r>
    </w:p>
    <w:p w14:paraId="7DFC6139" w14:textId="77777777" w:rsidR="00B50583" w:rsidRPr="00AD7B82" w:rsidRDefault="0019169F" w:rsidP="009833DB">
      <w:pPr>
        <w:spacing w:line="480" w:lineRule="auto"/>
        <w:rPr>
          <w:rFonts w:ascii="Garamond" w:hAnsi="Garamond"/>
          <w:b/>
          <w:bCs/>
          <w:sz w:val="22"/>
          <w:szCs w:val="22"/>
          <w:rPrChange w:id="20" w:author="Benjamin J. Makhlouf" w:date="2025-07-26T11:37:00Z" w16du:dateUtc="2025-07-26T18:37:00Z">
            <w:rPr>
              <w:rFonts w:ascii="Garamond" w:hAnsi="Garamond"/>
              <w:b/>
              <w:bCs/>
              <w:sz w:val="28"/>
              <w:szCs w:val="28"/>
            </w:rPr>
          </w:rPrChange>
        </w:rPr>
      </w:pPr>
      <w:r w:rsidRPr="00AD7B82">
        <w:rPr>
          <w:rFonts w:ascii="Garamond" w:hAnsi="Garamond"/>
          <w:b/>
          <w:bCs/>
          <w:sz w:val="22"/>
          <w:szCs w:val="22"/>
          <w:rPrChange w:id="21" w:author="Benjamin J. Makhlouf" w:date="2025-07-26T11:37:00Z" w16du:dateUtc="2025-07-26T18:37:00Z">
            <w:rPr>
              <w:rFonts w:ascii="Garamond" w:hAnsi="Garamond"/>
              <w:b/>
              <w:bCs/>
              <w:sz w:val="28"/>
              <w:szCs w:val="28"/>
            </w:rPr>
          </w:rPrChange>
        </w:rPr>
        <w:t>Results</w:t>
      </w:r>
    </w:p>
    <w:p w14:paraId="10DADB8B" w14:textId="378E8084" w:rsidR="00397FF6" w:rsidRPr="00AD7B82" w:rsidRDefault="00C50733" w:rsidP="005A53C9">
      <w:pPr>
        <w:pStyle w:val="whitespace-normal"/>
        <w:spacing w:line="480" w:lineRule="auto"/>
        <w:rPr>
          <w:rFonts w:ascii="Garamond" w:hAnsi="Garamond"/>
          <w:b/>
          <w:bCs/>
          <w:sz w:val="22"/>
          <w:szCs w:val="22"/>
        </w:rPr>
      </w:pPr>
      <w:r w:rsidRPr="00AD7B82">
        <w:rPr>
          <w:rFonts w:ascii="Garamond" w:hAnsi="Garamond"/>
          <w:b/>
          <w:bCs/>
          <w:sz w:val="22"/>
          <w:szCs w:val="22"/>
        </w:rPr>
        <w:t>T</w:t>
      </w:r>
      <w:r w:rsidR="00397FF6" w:rsidRPr="00AD7B82">
        <w:rPr>
          <w:rFonts w:ascii="Garamond" w:hAnsi="Garamond"/>
          <w:b/>
          <w:bCs/>
          <w:sz w:val="22"/>
          <w:szCs w:val="22"/>
        </w:rPr>
        <w:t>rends in stock contribution</w:t>
      </w:r>
      <w:r w:rsidRPr="00AD7B82">
        <w:rPr>
          <w:rFonts w:ascii="Garamond" w:hAnsi="Garamond"/>
          <w:b/>
          <w:bCs/>
          <w:sz w:val="22"/>
          <w:szCs w:val="22"/>
        </w:rPr>
        <w:t xml:space="preserve"> over the migration season</w:t>
      </w:r>
    </w:p>
    <w:p w14:paraId="368A534B" w14:textId="3C1E1DB7" w:rsidR="005A53C9" w:rsidRPr="00AD7B82" w:rsidRDefault="00D625F2" w:rsidP="005A53C9">
      <w:pPr>
        <w:pStyle w:val="whitespace-normal"/>
        <w:spacing w:line="480" w:lineRule="auto"/>
        <w:rPr>
          <w:rFonts w:ascii="Garamond" w:hAnsi="Garamond"/>
          <w:sz w:val="22"/>
          <w:szCs w:val="22"/>
          <w:rPrChange w:id="22" w:author="Benjamin J. Makhlouf" w:date="2025-07-26T11:37:00Z" w16du:dateUtc="2025-07-26T18:37:00Z">
            <w:rPr>
              <w:rFonts w:ascii="Garamond" w:hAnsi="Garamond"/>
              <w:sz w:val="20"/>
              <w:szCs w:val="20"/>
            </w:rPr>
          </w:rPrChange>
        </w:rPr>
      </w:pPr>
      <w:r w:rsidRPr="00AD7B82">
        <w:rPr>
          <w:rFonts w:ascii="Garamond" w:hAnsi="Garamond"/>
          <w:b/>
          <w:bCs/>
          <w:sz w:val="22"/>
          <w:szCs w:val="22"/>
        </w:rPr>
        <w:tab/>
      </w:r>
      <w:r w:rsidR="005C58CB" w:rsidRPr="00AD7B82">
        <w:rPr>
          <w:rFonts w:ascii="Garamond" w:hAnsi="Garamond"/>
          <w:sz w:val="22"/>
          <w:szCs w:val="22"/>
          <w:rPrChange w:id="23" w:author="Benjamin J. Makhlouf" w:date="2025-07-26T11:37:00Z" w16du:dateUtc="2025-07-26T18:37:00Z">
            <w:rPr>
              <w:rFonts w:ascii="Garamond" w:hAnsi="Garamond"/>
              <w:sz w:val="20"/>
              <w:szCs w:val="20"/>
            </w:rPr>
          </w:rPrChange>
        </w:rPr>
        <w:t xml:space="preserve">Across all years of our dataset (2017-2021), returns to the 21 stock units exhibited distinct temporal patterns in contribution and </w:t>
      </w:r>
      <w:ins w:id="24" w:author="Daniel Schindler" w:date="2025-07-17T13:47:00Z" w16du:dateUtc="2025-07-17T21:47:00Z">
        <w:r w:rsidR="00C50733" w:rsidRPr="00AD7B82">
          <w:rPr>
            <w:rFonts w:ascii="Garamond" w:hAnsi="Garamond"/>
            <w:sz w:val="22"/>
            <w:szCs w:val="22"/>
            <w:rPrChange w:id="25" w:author="Benjamin J. Makhlouf" w:date="2025-07-26T11:37:00Z" w16du:dateUtc="2025-07-26T18:37:00Z">
              <w:rPr>
                <w:rFonts w:ascii="Garamond" w:hAnsi="Garamond"/>
                <w:sz w:val="20"/>
                <w:szCs w:val="20"/>
              </w:rPr>
            </w:rPrChange>
          </w:rPr>
          <w:t>a</w:t>
        </w:r>
      </w:ins>
      <w:r w:rsidR="005C58CB" w:rsidRPr="00AD7B82">
        <w:rPr>
          <w:rFonts w:ascii="Garamond" w:hAnsi="Garamond"/>
          <w:sz w:val="22"/>
          <w:szCs w:val="22"/>
          <w:rPrChange w:id="26" w:author="Benjamin J. Makhlouf" w:date="2025-07-26T11:37:00Z" w16du:dateUtc="2025-07-26T18:37:00Z">
            <w:rPr>
              <w:rFonts w:ascii="Garamond" w:hAnsi="Garamond"/>
              <w:sz w:val="20"/>
              <w:szCs w:val="20"/>
            </w:rPr>
          </w:rPrChange>
        </w:rPr>
        <w:t xml:space="preserve"> </w:t>
      </w:r>
      <w:r w:rsidR="00C50733" w:rsidRPr="00AD7B82">
        <w:rPr>
          <w:rFonts w:ascii="Garamond" w:hAnsi="Garamond"/>
          <w:sz w:val="22"/>
          <w:szCs w:val="22"/>
          <w:rPrChange w:id="27" w:author="Benjamin J. Makhlouf" w:date="2025-07-26T11:37:00Z" w16du:dateUtc="2025-07-26T18:37:00Z">
            <w:rPr>
              <w:rFonts w:ascii="Garamond" w:hAnsi="Garamond"/>
              <w:sz w:val="20"/>
              <w:szCs w:val="20"/>
            </w:rPr>
          </w:rPrChange>
        </w:rPr>
        <w:t xml:space="preserve">general transition </w:t>
      </w:r>
      <w:r w:rsidR="005C58CB" w:rsidRPr="00AD7B82">
        <w:rPr>
          <w:rFonts w:ascii="Garamond" w:hAnsi="Garamond"/>
          <w:sz w:val="22"/>
          <w:szCs w:val="22"/>
          <w:rPrChange w:id="28" w:author="Benjamin J. Makhlouf" w:date="2025-07-26T11:37:00Z" w16du:dateUtc="2025-07-26T18:37:00Z">
            <w:rPr>
              <w:rFonts w:ascii="Garamond" w:hAnsi="Garamond"/>
              <w:sz w:val="20"/>
              <w:szCs w:val="20"/>
            </w:rPr>
          </w:rPrChange>
        </w:rPr>
        <w:t>from upstream to downstream stock</w:t>
      </w:r>
      <w:r w:rsidR="00C50733" w:rsidRPr="00AD7B82">
        <w:rPr>
          <w:rFonts w:ascii="Garamond" w:hAnsi="Garamond"/>
          <w:sz w:val="22"/>
          <w:szCs w:val="22"/>
          <w:rPrChange w:id="29" w:author="Benjamin J. Makhlouf" w:date="2025-07-26T11:37:00Z" w16du:dateUtc="2025-07-26T18:37:00Z">
            <w:rPr>
              <w:rFonts w:ascii="Garamond" w:hAnsi="Garamond"/>
              <w:sz w:val="20"/>
              <w:szCs w:val="20"/>
            </w:rPr>
          </w:rPrChange>
        </w:rPr>
        <w:t>s</w:t>
      </w:r>
      <w:r w:rsidR="005C58CB" w:rsidRPr="00AD7B82">
        <w:rPr>
          <w:rFonts w:ascii="Garamond" w:hAnsi="Garamond"/>
          <w:sz w:val="22"/>
          <w:szCs w:val="22"/>
          <w:rPrChange w:id="30" w:author="Benjamin J. Makhlouf" w:date="2025-07-26T11:37:00Z" w16du:dateUtc="2025-07-26T18:37:00Z">
            <w:rPr>
              <w:rFonts w:ascii="Garamond" w:hAnsi="Garamond"/>
              <w:sz w:val="20"/>
              <w:szCs w:val="20"/>
            </w:rPr>
          </w:rPrChange>
        </w:rPr>
        <w:t xml:space="preserve"> as the season progressed. Early season returns (Q1: start of run through June 11) were dominated by stocks from the upper portions of the watershed. The largest contributors were Big River (median: ~12%, range: 8-18%), Upper Kusko</w:t>
      </w:r>
      <w:r w:rsidR="00060FEB" w:rsidRPr="00AD7B82">
        <w:rPr>
          <w:rFonts w:ascii="Garamond" w:hAnsi="Garamond"/>
          <w:sz w:val="22"/>
          <w:szCs w:val="22"/>
          <w:rPrChange w:id="31" w:author="Benjamin J. Makhlouf" w:date="2025-07-26T11:37:00Z" w16du:dateUtc="2025-07-26T18:37:00Z">
            <w:rPr>
              <w:rFonts w:ascii="Garamond" w:hAnsi="Garamond"/>
              <w:sz w:val="20"/>
              <w:szCs w:val="20"/>
            </w:rPr>
          </w:rPrChange>
        </w:rPr>
        <w:t>kwim</w:t>
      </w:r>
      <w:r w:rsidR="005C58CB" w:rsidRPr="00AD7B82">
        <w:rPr>
          <w:rFonts w:ascii="Garamond" w:hAnsi="Garamond"/>
          <w:sz w:val="22"/>
          <w:szCs w:val="22"/>
          <w:rPrChange w:id="32" w:author="Benjamin J. Makhlouf" w:date="2025-07-26T11:37:00Z" w16du:dateUtc="2025-07-26T18:37:00Z">
            <w:rPr>
              <w:rFonts w:ascii="Garamond" w:hAnsi="Garamond"/>
              <w:sz w:val="20"/>
              <w:szCs w:val="20"/>
            </w:rPr>
          </w:rPrChange>
        </w:rPr>
        <w:t xml:space="preserve"> Main (median: ~10%, range: 6-16%), and Swift </w:t>
      </w:r>
      <w:r w:rsidR="00060FEB" w:rsidRPr="00AD7B82">
        <w:rPr>
          <w:rFonts w:ascii="Garamond" w:hAnsi="Garamond"/>
          <w:sz w:val="22"/>
          <w:szCs w:val="22"/>
          <w:rPrChange w:id="33" w:author="Benjamin J. Makhlouf" w:date="2025-07-26T11:37:00Z" w16du:dateUtc="2025-07-26T18:37:00Z">
            <w:rPr>
              <w:rFonts w:ascii="Garamond" w:hAnsi="Garamond"/>
              <w:sz w:val="20"/>
              <w:szCs w:val="20"/>
            </w:rPr>
          </w:rPrChange>
        </w:rPr>
        <w:t xml:space="preserve">River </w:t>
      </w:r>
      <w:r w:rsidR="005C58CB" w:rsidRPr="00AD7B82">
        <w:rPr>
          <w:rFonts w:ascii="Garamond" w:hAnsi="Garamond"/>
          <w:sz w:val="22"/>
          <w:szCs w:val="22"/>
          <w:rPrChange w:id="34" w:author="Benjamin J. Makhlouf" w:date="2025-07-26T11:37:00Z" w16du:dateUtc="2025-07-26T18:37:00Z">
            <w:rPr>
              <w:rFonts w:ascii="Garamond" w:hAnsi="Garamond"/>
              <w:sz w:val="20"/>
              <w:szCs w:val="20"/>
            </w:rPr>
          </w:rPrChange>
        </w:rPr>
        <w:t>(median: ~8%, range: 4-14%), with moderate contributions from</w:t>
      </w:r>
      <w:r w:rsidR="00060FEB" w:rsidRPr="00AD7B82">
        <w:rPr>
          <w:rFonts w:ascii="Garamond" w:hAnsi="Garamond"/>
          <w:sz w:val="22"/>
          <w:szCs w:val="22"/>
          <w:rPrChange w:id="35" w:author="Benjamin J. Makhlouf" w:date="2025-07-26T11:37:00Z" w16du:dateUtc="2025-07-26T18:37:00Z">
            <w:rPr>
              <w:rFonts w:ascii="Garamond" w:hAnsi="Garamond"/>
              <w:sz w:val="20"/>
              <w:szCs w:val="20"/>
            </w:rPr>
          </w:rPrChange>
        </w:rPr>
        <w:t xml:space="preserve"> the</w:t>
      </w:r>
      <w:r w:rsidR="005C58CB" w:rsidRPr="00AD7B82">
        <w:rPr>
          <w:rFonts w:ascii="Garamond" w:hAnsi="Garamond"/>
          <w:sz w:val="22"/>
          <w:szCs w:val="22"/>
          <w:rPrChange w:id="36" w:author="Benjamin J. Makhlouf" w:date="2025-07-26T11:37:00Z" w16du:dateUtc="2025-07-26T18:37:00Z">
            <w:rPr>
              <w:rFonts w:ascii="Garamond" w:hAnsi="Garamond"/>
              <w:sz w:val="20"/>
              <w:szCs w:val="20"/>
            </w:rPr>
          </w:rPrChange>
        </w:rPr>
        <w:t xml:space="preserve"> </w:t>
      </w:r>
      <w:proofErr w:type="spellStart"/>
      <w:r w:rsidR="005C58CB" w:rsidRPr="00AD7B82">
        <w:rPr>
          <w:rFonts w:ascii="Garamond" w:hAnsi="Garamond"/>
          <w:sz w:val="22"/>
          <w:szCs w:val="22"/>
          <w:rPrChange w:id="37" w:author="Benjamin J. Makhlouf" w:date="2025-07-26T11:37:00Z" w16du:dateUtc="2025-07-26T18:37:00Z">
            <w:rPr>
              <w:rFonts w:ascii="Garamond" w:hAnsi="Garamond"/>
              <w:sz w:val="20"/>
              <w:szCs w:val="20"/>
            </w:rPr>
          </w:rPrChange>
        </w:rPr>
        <w:t>Takotna</w:t>
      </w:r>
      <w:proofErr w:type="spellEnd"/>
      <w:r w:rsidR="005C58CB" w:rsidRPr="00AD7B82">
        <w:rPr>
          <w:rFonts w:ascii="Garamond" w:hAnsi="Garamond"/>
          <w:sz w:val="22"/>
          <w:szCs w:val="22"/>
          <w:rPrChange w:id="38" w:author="Benjamin J. Makhlouf" w:date="2025-07-26T11:37:00Z" w16du:dateUtc="2025-07-26T18:37:00Z">
            <w:rPr>
              <w:rFonts w:ascii="Garamond" w:hAnsi="Garamond"/>
              <w:sz w:val="20"/>
              <w:szCs w:val="20"/>
            </w:rPr>
          </w:rPrChange>
        </w:rPr>
        <w:t xml:space="preserve"> </w:t>
      </w:r>
      <w:r w:rsidR="00060FEB" w:rsidRPr="00AD7B82">
        <w:rPr>
          <w:rFonts w:ascii="Garamond" w:hAnsi="Garamond"/>
          <w:sz w:val="22"/>
          <w:szCs w:val="22"/>
          <w:rPrChange w:id="39" w:author="Benjamin J. Makhlouf" w:date="2025-07-26T11:37:00Z" w16du:dateUtc="2025-07-26T18:37:00Z">
            <w:rPr>
              <w:rFonts w:ascii="Garamond" w:hAnsi="Garamond"/>
              <w:sz w:val="20"/>
              <w:szCs w:val="20"/>
            </w:rPr>
          </w:rPrChange>
        </w:rPr>
        <w:t xml:space="preserve">River </w:t>
      </w:r>
      <w:r w:rsidR="005C58CB" w:rsidRPr="00AD7B82">
        <w:rPr>
          <w:rFonts w:ascii="Garamond" w:hAnsi="Garamond"/>
          <w:sz w:val="22"/>
          <w:szCs w:val="22"/>
          <w:rPrChange w:id="40" w:author="Benjamin J. Makhlouf" w:date="2025-07-26T11:37:00Z" w16du:dateUtc="2025-07-26T18:37:00Z">
            <w:rPr>
              <w:rFonts w:ascii="Garamond" w:hAnsi="Garamond"/>
              <w:sz w:val="20"/>
              <w:szCs w:val="20"/>
            </w:rPr>
          </w:rPrChange>
        </w:rPr>
        <w:t>and Nixon Fork (~8%) and some middle-watershed stocks including Stony</w:t>
      </w:r>
      <w:r w:rsidR="00060FEB" w:rsidRPr="00AD7B82">
        <w:rPr>
          <w:rFonts w:ascii="Garamond" w:hAnsi="Garamond"/>
          <w:sz w:val="22"/>
          <w:szCs w:val="22"/>
          <w:rPrChange w:id="41" w:author="Benjamin J. Makhlouf" w:date="2025-07-26T11:37:00Z" w16du:dateUtc="2025-07-26T18:37:00Z">
            <w:rPr>
              <w:rFonts w:ascii="Garamond" w:hAnsi="Garamond"/>
              <w:sz w:val="20"/>
              <w:szCs w:val="20"/>
            </w:rPr>
          </w:rPrChange>
        </w:rPr>
        <w:t xml:space="preserve"> River</w:t>
      </w:r>
      <w:r w:rsidR="005C58CB" w:rsidRPr="00AD7B82">
        <w:rPr>
          <w:rFonts w:ascii="Garamond" w:hAnsi="Garamond"/>
          <w:sz w:val="22"/>
          <w:szCs w:val="22"/>
          <w:rPrChange w:id="42" w:author="Benjamin J. Makhlouf" w:date="2025-07-26T11:37:00Z" w16du:dateUtc="2025-07-26T18:37:00Z">
            <w:rPr>
              <w:rFonts w:ascii="Garamond" w:hAnsi="Garamond"/>
              <w:sz w:val="20"/>
              <w:szCs w:val="20"/>
            </w:rPr>
          </w:rPrChange>
        </w:rPr>
        <w:t xml:space="preserve"> (~6%) and </w:t>
      </w:r>
      <w:proofErr w:type="spellStart"/>
      <w:r w:rsidR="005C58CB" w:rsidRPr="00AD7B82">
        <w:rPr>
          <w:rFonts w:ascii="Garamond" w:hAnsi="Garamond"/>
          <w:sz w:val="22"/>
          <w:szCs w:val="22"/>
          <w:rPrChange w:id="43" w:author="Benjamin J. Makhlouf" w:date="2025-07-26T11:37:00Z" w16du:dateUtc="2025-07-26T18:37:00Z">
            <w:rPr>
              <w:rFonts w:ascii="Garamond" w:hAnsi="Garamond"/>
              <w:sz w:val="20"/>
              <w:szCs w:val="20"/>
            </w:rPr>
          </w:rPrChange>
        </w:rPr>
        <w:t>Holitna</w:t>
      </w:r>
      <w:proofErr w:type="spellEnd"/>
      <w:r w:rsidR="005C58CB" w:rsidRPr="00AD7B82">
        <w:rPr>
          <w:rFonts w:ascii="Garamond" w:hAnsi="Garamond"/>
          <w:sz w:val="22"/>
          <w:szCs w:val="22"/>
          <w:rPrChange w:id="44" w:author="Benjamin J. Makhlouf" w:date="2025-07-26T11:37:00Z" w16du:dateUtc="2025-07-26T18:37:00Z">
            <w:rPr>
              <w:rFonts w:ascii="Garamond" w:hAnsi="Garamond"/>
              <w:sz w:val="20"/>
              <w:szCs w:val="20"/>
            </w:rPr>
          </w:rPrChange>
        </w:rPr>
        <w:t xml:space="preserve"> </w:t>
      </w:r>
      <w:r w:rsidR="00060FEB" w:rsidRPr="00AD7B82">
        <w:rPr>
          <w:rFonts w:ascii="Garamond" w:hAnsi="Garamond"/>
          <w:sz w:val="22"/>
          <w:szCs w:val="22"/>
          <w:rPrChange w:id="45" w:author="Benjamin J. Makhlouf" w:date="2025-07-26T11:37:00Z" w16du:dateUtc="2025-07-26T18:37:00Z">
            <w:rPr>
              <w:rFonts w:ascii="Garamond" w:hAnsi="Garamond"/>
              <w:sz w:val="20"/>
              <w:szCs w:val="20"/>
            </w:rPr>
          </w:rPrChange>
        </w:rPr>
        <w:t xml:space="preserve">River </w:t>
      </w:r>
      <w:r w:rsidR="005C58CB" w:rsidRPr="00AD7B82">
        <w:rPr>
          <w:rFonts w:ascii="Garamond" w:hAnsi="Garamond"/>
          <w:sz w:val="22"/>
          <w:szCs w:val="22"/>
          <w:rPrChange w:id="46" w:author="Benjamin J. Makhlouf" w:date="2025-07-26T11:37:00Z" w16du:dateUtc="2025-07-26T18:37:00Z">
            <w:rPr>
              <w:rFonts w:ascii="Garamond" w:hAnsi="Garamond"/>
              <w:sz w:val="20"/>
              <w:szCs w:val="20"/>
            </w:rPr>
          </w:rPrChange>
        </w:rPr>
        <w:t xml:space="preserve">(~5%). Upper watershed stocks exhibited substantially higher inter-annual variability during Q1 as compared to the other three </w:t>
      </w:r>
      <w:r w:rsidR="00060FEB" w:rsidRPr="00AD7B82">
        <w:rPr>
          <w:rFonts w:ascii="Garamond" w:hAnsi="Garamond"/>
          <w:sz w:val="22"/>
          <w:szCs w:val="22"/>
          <w:rPrChange w:id="47" w:author="Benjamin J. Makhlouf" w:date="2025-07-26T11:37:00Z" w16du:dateUtc="2025-07-26T18:37:00Z">
            <w:rPr>
              <w:rFonts w:ascii="Garamond" w:hAnsi="Garamond"/>
              <w:sz w:val="20"/>
              <w:szCs w:val="20"/>
            </w:rPr>
          </w:rPrChange>
        </w:rPr>
        <w:t xml:space="preserve">seasonal </w:t>
      </w:r>
      <w:r w:rsidR="005C58CB" w:rsidRPr="00AD7B82">
        <w:rPr>
          <w:rFonts w:ascii="Garamond" w:hAnsi="Garamond"/>
          <w:sz w:val="22"/>
          <w:szCs w:val="22"/>
          <w:rPrChange w:id="48" w:author="Benjamin J. Makhlouf" w:date="2025-07-26T11:37:00Z" w16du:dateUtc="2025-07-26T18:37:00Z">
            <w:rPr>
              <w:rFonts w:ascii="Garamond" w:hAnsi="Garamond"/>
              <w:sz w:val="20"/>
              <w:szCs w:val="20"/>
            </w:rPr>
          </w:rPrChange>
        </w:rPr>
        <w:t>quartiles.</w:t>
      </w:r>
      <w:r w:rsidR="00060FEB" w:rsidRPr="00AD7B82">
        <w:rPr>
          <w:rFonts w:ascii="Garamond" w:hAnsi="Garamond"/>
          <w:sz w:val="22"/>
          <w:szCs w:val="22"/>
          <w:rPrChange w:id="49" w:author="Benjamin J. Makhlouf" w:date="2025-07-26T11:37:00Z" w16du:dateUtc="2025-07-26T18:37:00Z">
            <w:rPr>
              <w:rFonts w:ascii="Garamond" w:hAnsi="Garamond"/>
              <w:sz w:val="20"/>
              <w:szCs w:val="20"/>
            </w:rPr>
          </w:rPrChange>
        </w:rPr>
        <w:t xml:space="preserve"> </w:t>
      </w:r>
      <w:r w:rsidR="005A53C9" w:rsidRPr="00AD7B82">
        <w:rPr>
          <w:rFonts w:ascii="Garamond" w:hAnsi="Garamond"/>
          <w:sz w:val="22"/>
          <w:szCs w:val="22"/>
          <w:rPrChange w:id="50" w:author="Benjamin J. Makhlouf" w:date="2025-07-26T11:37:00Z" w16du:dateUtc="2025-07-26T18:37:00Z">
            <w:rPr>
              <w:rFonts w:ascii="Garamond" w:hAnsi="Garamond"/>
              <w:sz w:val="20"/>
              <w:szCs w:val="20"/>
            </w:rPr>
          </w:rPrChange>
        </w:rPr>
        <w:t xml:space="preserve">The distribution of returns became more </w:t>
      </w:r>
      <w:r w:rsidR="00060FEB" w:rsidRPr="00AD7B82">
        <w:rPr>
          <w:rFonts w:ascii="Garamond" w:hAnsi="Garamond"/>
          <w:sz w:val="22"/>
          <w:szCs w:val="22"/>
          <w:rPrChange w:id="51" w:author="Benjamin J. Makhlouf" w:date="2025-07-26T11:37:00Z" w16du:dateUtc="2025-07-26T18:37:00Z">
            <w:rPr>
              <w:rFonts w:ascii="Garamond" w:hAnsi="Garamond"/>
              <w:sz w:val="20"/>
              <w:szCs w:val="20"/>
            </w:rPr>
          </w:rPrChange>
        </w:rPr>
        <w:t xml:space="preserve">widely distributed </w:t>
      </w:r>
      <w:r w:rsidR="005A53C9" w:rsidRPr="00AD7B82">
        <w:rPr>
          <w:rFonts w:ascii="Garamond" w:hAnsi="Garamond"/>
          <w:sz w:val="22"/>
          <w:szCs w:val="22"/>
          <w:rPrChange w:id="52" w:author="Benjamin J. Makhlouf" w:date="2025-07-26T11:37:00Z" w16du:dateUtc="2025-07-26T18:37:00Z">
            <w:rPr>
              <w:rFonts w:ascii="Garamond" w:hAnsi="Garamond"/>
              <w:sz w:val="20"/>
              <w:szCs w:val="20"/>
            </w:rPr>
          </w:rPrChange>
        </w:rPr>
        <w:t xml:space="preserve">across the watershed during Q2 (June 12-21), with contributions more evenly distributed among management units compared to the upper-watershed dominance of Q1. Upper watershed contributions remained important but began declining: Big River decreased from 12% to 10%, Upper Kusko Main from 10% to 9%, and Swift from 8% to 7%. Simultaneously, middle-watershed stocks increased </w:t>
      </w:r>
      <w:r w:rsidR="00060FEB" w:rsidRPr="00AD7B82">
        <w:rPr>
          <w:rFonts w:ascii="Garamond" w:hAnsi="Garamond"/>
          <w:sz w:val="22"/>
          <w:szCs w:val="22"/>
          <w:rPrChange w:id="53" w:author="Benjamin J. Makhlouf" w:date="2025-07-26T11:37:00Z" w16du:dateUtc="2025-07-26T18:37:00Z">
            <w:rPr>
              <w:rFonts w:ascii="Garamond" w:hAnsi="Garamond"/>
              <w:sz w:val="20"/>
              <w:szCs w:val="20"/>
            </w:rPr>
          </w:rPrChange>
        </w:rPr>
        <w:t xml:space="preserve">in </w:t>
      </w:r>
      <w:r w:rsidR="005A53C9" w:rsidRPr="00AD7B82">
        <w:rPr>
          <w:rFonts w:ascii="Garamond" w:hAnsi="Garamond"/>
          <w:sz w:val="22"/>
          <w:szCs w:val="22"/>
          <w:rPrChange w:id="54" w:author="Benjamin J. Makhlouf" w:date="2025-07-26T11:37:00Z" w16du:dateUtc="2025-07-26T18:37:00Z">
            <w:rPr>
              <w:rFonts w:ascii="Garamond" w:hAnsi="Garamond"/>
              <w:sz w:val="20"/>
              <w:szCs w:val="20"/>
            </w:rPr>
          </w:rPrChange>
        </w:rPr>
        <w:t xml:space="preserve">relative importance, with </w:t>
      </w:r>
      <w:proofErr w:type="spellStart"/>
      <w:r w:rsidR="005A53C9" w:rsidRPr="00AD7B82">
        <w:rPr>
          <w:rFonts w:ascii="Garamond" w:hAnsi="Garamond"/>
          <w:sz w:val="22"/>
          <w:szCs w:val="22"/>
          <w:rPrChange w:id="55" w:author="Benjamin J. Makhlouf" w:date="2025-07-26T11:37:00Z" w16du:dateUtc="2025-07-26T18:37:00Z">
            <w:rPr>
              <w:rFonts w:ascii="Garamond" w:hAnsi="Garamond"/>
              <w:sz w:val="20"/>
              <w:szCs w:val="20"/>
            </w:rPr>
          </w:rPrChange>
        </w:rPr>
        <w:t>Holitna</w:t>
      </w:r>
      <w:proofErr w:type="spellEnd"/>
      <w:r w:rsidR="005A53C9" w:rsidRPr="00AD7B82">
        <w:rPr>
          <w:rFonts w:ascii="Garamond" w:hAnsi="Garamond"/>
          <w:sz w:val="22"/>
          <w:szCs w:val="22"/>
          <w:rPrChange w:id="56" w:author="Benjamin J. Makhlouf" w:date="2025-07-26T11:37:00Z" w16du:dateUtc="2025-07-26T18:37:00Z">
            <w:rPr>
              <w:rFonts w:ascii="Garamond" w:hAnsi="Garamond"/>
              <w:sz w:val="20"/>
              <w:szCs w:val="20"/>
            </w:rPr>
          </w:rPrChange>
        </w:rPr>
        <w:t xml:space="preserve"> rising from 5% to 7%, Middle Kusko Main from 4% to 6%, and Aniak from 3% to 5%. Stony River emerged as a consistently strong contributor (median: ~8%, range: 6-10%) with reduced variability compared to Q1 patterns (range: 4-12%). </w:t>
      </w:r>
      <w:r w:rsidR="005C58CB" w:rsidRPr="00AD7B82">
        <w:rPr>
          <w:rFonts w:ascii="Garamond" w:hAnsi="Garamond"/>
          <w:sz w:val="22"/>
          <w:szCs w:val="22"/>
          <w:rPrChange w:id="57" w:author="Benjamin J. Makhlouf" w:date="2025-07-26T11:37:00Z" w16du:dateUtc="2025-07-26T18:37:00Z">
            <w:rPr>
              <w:rFonts w:ascii="Garamond" w:hAnsi="Garamond"/>
              <w:sz w:val="20"/>
              <w:szCs w:val="20"/>
            </w:rPr>
          </w:rPrChange>
        </w:rPr>
        <w:t xml:space="preserve">Q3 returns (June 22-July 1) marked a clear transition toward middle-watershed </w:t>
      </w:r>
      <w:r w:rsidR="005A53C9" w:rsidRPr="00AD7B82">
        <w:rPr>
          <w:rFonts w:ascii="Garamond" w:hAnsi="Garamond"/>
          <w:sz w:val="22"/>
          <w:szCs w:val="22"/>
          <w:rPrChange w:id="58" w:author="Benjamin J. Makhlouf" w:date="2025-07-26T11:37:00Z" w16du:dateUtc="2025-07-26T18:37:00Z">
            <w:rPr>
              <w:rFonts w:ascii="Garamond" w:hAnsi="Garamond"/>
              <w:sz w:val="20"/>
              <w:szCs w:val="20"/>
            </w:rPr>
          </w:rPrChange>
        </w:rPr>
        <w:t xml:space="preserve">stocks </w:t>
      </w:r>
      <w:r w:rsidR="005C58CB" w:rsidRPr="00AD7B82">
        <w:rPr>
          <w:rFonts w:ascii="Garamond" w:hAnsi="Garamond"/>
          <w:sz w:val="22"/>
          <w:szCs w:val="22"/>
          <w:rPrChange w:id="59" w:author="Benjamin J. Makhlouf" w:date="2025-07-26T11:37:00Z" w16du:dateUtc="2025-07-26T18:37:00Z">
            <w:rPr>
              <w:rFonts w:ascii="Garamond" w:hAnsi="Garamond"/>
              <w:sz w:val="20"/>
              <w:szCs w:val="20"/>
            </w:rPr>
          </w:rPrChange>
        </w:rPr>
        <w:t xml:space="preserve">and represented the most consistent period across years. Upper Kuskokwim stocks showed substantial declines - Big River dropped from 12% to 6%, Upper Kusko Main from 10% to 7%, and Swift from 8% to 4%. Conversely, middle-watershed stocks peaked in importance: Stony maintained ~8% contribution, </w:t>
      </w:r>
      <w:proofErr w:type="spellStart"/>
      <w:r w:rsidR="005C58CB" w:rsidRPr="00AD7B82">
        <w:rPr>
          <w:rFonts w:ascii="Garamond" w:hAnsi="Garamond"/>
          <w:sz w:val="22"/>
          <w:szCs w:val="22"/>
          <w:rPrChange w:id="60" w:author="Benjamin J. Makhlouf" w:date="2025-07-26T11:37:00Z" w16du:dateUtc="2025-07-26T18:37:00Z">
            <w:rPr>
              <w:rFonts w:ascii="Garamond" w:hAnsi="Garamond"/>
              <w:sz w:val="20"/>
              <w:szCs w:val="20"/>
            </w:rPr>
          </w:rPrChange>
        </w:rPr>
        <w:t>Holitna</w:t>
      </w:r>
      <w:proofErr w:type="spellEnd"/>
      <w:r w:rsidR="005C58CB" w:rsidRPr="00AD7B82">
        <w:rPr>
          <w:rFonts w:ascii="Garamond" w:hAnsi="Garamond"/>
          <w:sz w:val="22"/>
          <w:szCs w:val="22"/>
          <w:rPrChange w:id="61" w:author="Benjamin J. Makhlouf" w:date="2025-07-26T11:37:00Z" w16du:dateUtc="2025-07-26T18:37:00Z">
            <w:rPr>
              <w:rFonts w:ascii="Garamond" w:hAnsi="Garamond"/>
              <w:sz w:val="20"/>
              <w:szCs w:val="20"/>
            </w:rPr>
          </w:rPrChange>
        </w:rPr>
        <w:t xml:space="preserve"> increased to ~8%, and Middle Kusko Main reached </w:t>
      </w:r>
      <w:r w:rsidR="005C58CB" w:rsidRPr="00AD7B82">
        <w:rPr>
          <w:rFonts w:ascii="Garamond" w:hAnsi="Garamond"/>
          <w:sz w:val="22"/>
          <w:szCs w:val="22"/>
          <w:rPrChange w:id="62" w:author="Benjamin J. Makhlouf" w:date="2025-07-26T11:37:00Z" w16du:dateUtc="2025-07-26T18:37:00Z">
            <w:rPr>
              <w:rFonts w:ascii="Garamond" w:hAnsi="Garamond"/>
              <w:sz w:val="20"/>
              <w:szCs w:val="20"/>
            </w:rPr>
          </w:rPrChange>
        </w:rPr>
        <w:lastRenderedPageBreak/>
        <w:t xml:space="preserve">~7%. This quartile exhibited the </w:t>
      </w:r>
      <w:r w:rsidR="005A53C9" w:rsidRPr="00AD7B82">
        <w:rPr>
          <w:rFonts w:ascii="Garamond" w:hAnsi="Garamond"/>
          <w:sz w:val="22"/>
          <w:szCs w:val="22"/>
          <w:rPrChange w:id="63" w:author="Benjamin J. Makhlouf" w:date="2025-07-26T11:37:00Z" w16du:dateUtc="2025-07-26T18:37:00Z">
            <w:rPr>
              <w:rFonts w:ascii="Garamond" w:hAnsi="Garamond"/>
              <w:sz w:val="20"/>
              <w:szCs w:val="20"/>
            </w:rPr>
          </w:rPrChange>
        </w:rPr>
        <w:t xml:space="preserve">most </w:t>
      </w:r>
      <w:r w:rsidR="00EE5153" w:rsidRPr="00AD7B82">
        <w:rPr>
          <w:rFonts w:ascii="Garamond" w:hAnsi="Garamond"/>
          <w:sz w:val="22"/>
          <w:szCs w:val="22"/>
          <w:rPrChange w:id="64" w:author="Benjamin J. Makhlouf" w:date="2025-07-26T11:37:00Z" w16du:dateUtc="2025-07-26T18:37:00Z">
            <w:rPr>
              <w:rFonts w:ascii="Garamond" w:hAnsi="Garamond"/>
              <w:sz w:val="20"/>
              <w:szCs w:val="20"/>
            </w:rPr>
          </w:rPrChange>
        </w:rPr>
        <w:t>consistent</w:t>
      </w:r>
      <w:r w:rsidR="005A53C9" w:rsidRPr="00AD7B82">
        <w:rPr>
          <w:rFonts w:ascii="Garamond" w:hAnsi="Garamond"/>
          <w:sz w:val="22"/>
          <w:szCs w:val="22"/>
          <w:rPrChange w:id="65" w:author="Benjamin J. Makhlouf" w:date="2025-07-26T11:37:00Z" w16du:dateUtc="2025-07-26T18:37:00Z">
            <w:rPr>
              <w:rFonts w:ascii="Garamond" w:hAnsi="Garamond"/>
              <w:sz w:val="20"/>
              <w:szCs w:val="20"/>
            </w:rPr>
          </w:rPrChange>
        </w:rPr>
        <w:t xml:space="preserve"> distribution </w:t>
      </w:r>
      <w:r w:rsidR="005C58CB" w:rsidRPr="00AD7B82">
        <w:rPr>
          <w:rFonts w:ascii="Garamond" w:hAnsi="Garamond"/>
          <w:sz w:val="22"/>
          <w:szCs w:val="22"/>
          <w:rPrChange w:id="66" w:author="Benjamin J. Makhlouf" w:date="2025-07-26T11:37:00Z" w16du:dateUtc="2025-07-26T18:37:00Z">
            <w:rPr>
              <w:rFonts w:ascii="Garamond" w:hAnsi="Garamond"/>
              <w:sz w:val="20"/>
              <w:szCs w:val="20"/>
            </w:rPr>
          </w:rPrChange>
        </w:rPr>
        <w:t>(smallest interquartile ranges) for most stocks</w:t>
      </w:r>
      <w:r w:rsidR="005A53C9" w:rsidRPr="00AD7B82">
        <w:rPr>
          <w:rFonts w:ascii="Garamond" w:hAnsi="Garamond"/>
          <w:sz w:val="22"/>
          <w:szCs w:val="22"/>
          <w:rPrChange w:id="67" w:author="Benjamin J. Makhlouf" w:date="2025-07-26T11:37:00Z" w16du:dateUtc="2025-07-26T18:37:00Z">
            <w:rPr>
              <w:rFonts w:ascii="Garamond" w:hAnsi="Garamond"/>
              <w:sz w:val="20"/>
              <w:szCs w:val="20"/>
            </w:rPr>
          </w:rPrChange>
        </w:rPr>
        <w:t xml:space="preserve">. </w:t>
      </w:r>
      <w:r w:rsidR="005C58CB" w:rsidRPr="00AD7B82">
        <w:rPr>
          <w:rFonts w:ascii="Garamond" w:hAnsi="Garamond"/>
          <w:sz w:val="22"/>
          <w:szCs w:val="22"/>
          <w:rPrChange w:id="68" w:author="Benjamin J. Makhlouf" w:date="2025-07-26T11:37:00Z" w16du:dateUtc="2025-07-26T18:37:00Z">
            <w:rPr>
              <w:rFonts w:ascii="Garamond" w:hAnsi="Garamond"/>
              <w:sz w:val="20"/>
              <w:szCs w:val="20"/>
            </w:rPr>
          </w:rPrChange>
        </w:rPr>
        <w:t xml:space="preserve">Late-season returns (Q4: July 2 onward) demonstrated the most dramatic compositional shift, with several stocks showing </w:t>
      </w:r>
      <w:proofErr w:type="gramStart"/>
      <w:r w:rsidR="005C58CB" w:rsidRPr="00AD7B82">
        <w:rPr>
          <w:rFonts w:ascii="Garamond" w:hAnsi="Garamond"/>
          <w:sz w:val="22"/>
          <w:szCs w:val="22"/>
          <w:rPrChange w:id="69" w:author="Benjamin J. Makhlouf" w:date="2025-07-26T11:37:00Z" w16du:dateUtc="2025-07-26T18:37:00Z">
            <w:rPr>
              <w:rFonts w:ascii="Garamond" w:hAnsi="Garamond"/>
              <w:sz w:val="20"/>
              <w:szCs w:val="20"/>
            </w:rPr>
          </w:rPrChange>
        </w:rPr>
        <w:t>3-5 fold</w:t>
      </w:r>
      <w:proofErr w:type="gramEnd"/>
      <w:r w:rsidR="005C58CB" w:rsidRPr="00AD7B82">
        <w:rPr>
          <w:rFonts w:ascii="Garamond" w:hAnsi="Garamond"/>
          <w:sz w:val="22"/>
          <w:szCs w:val="22"/>
          <w:rPrChange w:id="70" w:author="Benjamin J. Makhlouf" w:date="2025-07-26T11:37:00Z" w16du:dateUtc="2025-07-26T18:37:00Z">
            <w:rPr>
              <w:rFonts w:ascii="Garamond" w:hAnsi="Garamond"/>
              <w:sz w:val="20"/>
              <w:szCs w:val="20"/>
            </w:rPr>
          </w:rPrChange>
        </w:rPr>
        <w:t xml:space="preserve"> changes from their Q1 contributions. Upper-watershed contributions reached their seasonal minimum</w:t>
      </w:r>
      <w:r w:rsidR="005A53C9" w:rsidRPr="00AD7B82">
        <w:rPr>
          <w:rFonts w:ascii="Garamond" w:hAnsi="Garamond"/>
          <w:sz w:val="22"/>
          <w:szCs w:val="22"/>
          <w:rPrChange w:id="71" w:author="Benjamin J. Makhlouf" w:date="2025-07-26T11:37:00Z" w16du:dateUtc="2025-07-26T18:37:00Z">
            <w:rPr>
              <w:rFonts w:ascii="Garamond" w:hAnsi="Garamond"/>
              <w:sz w:val="20"/>
              <w:szCs w:val="20"/>
            </w:rPr>
          </w:rPrChange>
        </w:rPr>
        <w:t xml:space="preserve">; </w:t>
      </w:r>
      <w:r w:rsidR="005C58CB" w:rsidRPr="00AD7B82">
        <w:rPr>
          <w:rFonts w:ascii="Garamond" w:hAnsi="Garamond"/>
          <w:sz w:val="22"/>
          <w:szCs w:val="22"/>
          <w:rPrChange w:id="72" w:author="Benjamin J. Makhlouf" w:date="2025-07-26T11:37:00Z" w16du:dateUtc="2025-07-26T18:37:00Z">
            <w:rPr>
              <w:rFonts w:ascii="Garamond" w:hAnsi="Garamond"/>
              <w:sz w:val="20"/>
              <w:szCs w:val="20"/>
            </w:rPr>
          </w:rPrChange>
        </w:rPr>
        <w:t>Big River declined to ~4%</w:t>
      </w:r>
      <w:r w:rsidR="005A53C9" w:rsidRPr="00AD7B82">
        <w:rPr>
          <w:rFonts w:ascii="Garamond" w:hAnsi="Garamond"/>
          <w:sz w:val="22"/>
          <w:szCs w:val="22"/>
          <w:rPrChange w:id="73" w:author="Benjamin J. Makhlouf" w:date="2025-07-26T11:37:00Z" w16du:dateUtc="2025-07-26T18:37:00Z">
            <w:rPr>
              <w:rFonts w:ascii="Garamond" w:hAnsi="Garamond"/>
              <w:sz w:val="20"/>
              <w:szCs w:val="20"/>
            </w:rPr>
          </w:rPrChange>
        </w:rPr>
        <w:t xml:space="preserve">, </w:t>
      </w:r>
      <w:r w:rsidR="005C58CB" w:rsidRPr="00AD7B82">
        <w:rPr>
          <w:rFonts w:ascii="Garamond" w:hAnsi="Garamond"/>
          <w:sz w:val="22"/>
          <w:szCs w:val="22"/>
          <w:rPrChange w:id="74" w:author="Benjamin J. Makhlouf" w:date="2025-07-26T11:37:00Z" w16du:dateUtc="2025-07-26T18:37:00Z">
            <w:rPr>
              <w:rFonts w:ascii="Garamond" w:hAnsi="Garamond"/>
              <w:sz w:val="20"/>
              <w:szCs w:val="20"/>
            </w:rPr>
          </w:rPrChange>
        </w:rPr>
        <w:t xml:space="preserve">Upper Kusko Main to ~6%, and Swift to ~3%. Middle-watershed stocks maintained substantial but increasingly variable contributions, with wider distributions than Q3. Most notably, lower-watershed stocks reached their peak contributions during Q4: Aniak increased from ~3% in Q1 to ~9% in Q4, Kwethluk from ~2% to ~8%, and </w:t>
      </w:r>
      <w:proofErr w:type="spellStart"/>
      <w:r w:rsidR="005C58CB" w:rsidRPr="00AD7B82">
        <w:rPr>
          <w:rFonts w:ascii="Garamond" w:hAnsi="Garamond"/>
          <w:sz w:val="22"/>
          <w:szCs w:val="22"/>
          <w:rPrChange w:id="75" w:author="Benjamin J. Makhlouf" w:date="2025-07-26T11:37:00Z" w16du:dateUtc="2025-07-26T18:37:00Z">
            <w:rPr>
              <w:rFonts w:ascii="Garamond" w:hAnsi="Garamond"/>
              <w:sz w:val="20"/>
              <w:szCs w:val="20"/>
            </w:rPr>
          </w:rPrChange>
        </w:rPr>
        <w:t>Kisaralik</w:t>
      </w:r>
      <w:proofErr w:type="spellEnd"/>
      <w:r w:rsidR="005C58CB" w:rsidRPr="00AD7B82">
        <w:rPr>
          <w:rFonts w:ascii="Garamond" w:hAnsi="Garamond"/>
          <w:sz w:val="22"/>
          <w:szCs w:val="22"/>
          <w:rPrChange w:id="76" w:author="Benjamin J. Makhlouf" w:date="2025-07-26T11:37:00Z" w16du:dateUtc="2025-07-26T18:37:00Z">
            <w:rPr>
              <w:rFonts w:ascii="Garamond" w:hAnsi="Garamond"/>
              <w:sz w:val="20"/>
              <w:szCs w:val="20"/>
            </w:rPr>
          </w:rPrChange>
        </w:rPr>
        <w:t xml:space="preserve"> from ~1% to ~6%. These lower-watershed stocks also exhibited the highest variability in Q4, with outliers suggesting some years had </w:t>
      </w:r>
      <w:r w:rsidR="005A53C9" w:rsidRPr="00AD7B82">
        <w:rPr>
          <w:rFonts w:ascii="Garamond" w:hAnsi="Garamond"/>
          <w:sz w:val="22"/>
          <w:szCs w:val="22"/>
          <w:rPrChange w:id="77" w:author="Benjamin J. Makhlouf" w:date="2025-07-26T11:37:00Z" w16du:dateUtc="2025-07-26T18:37:00Z">
            <w:rPr>
              <w:rFonts w:ascii="Garamond" w:hAnsi="Garamond"/>
              <w:sz w:val="20"/>
              <w:szCs w:val="20"/>
            </w:rPr>
          </w:rPrChange>
        </w:rPr>
        <w:t xml:space="preserve">more significant </w:t>
      </w:r>
      <w:r w:rsidR="005C58CB" w:rsidRPr="00AD7B82">
        <w:rPr>
          <w:rFonts w:ascii="Garamond" w:hAnsi="Garamond"/>
          <w:sz w:val="22"/>
          <w:szCs w:val="22"/>
          <w:rPrChange w:id="78" w:author="Benjamin J. Makhlouf" w:date="2025-07-26T11:37:00Z" w16du:dateUtc="2025-07-26T18:37:00Z">
            <w:rPr>
              <w:rFonts w:ascii="Garamond" w:hAnsi="Garamond"/>
              <w:sz w:val="20"/>
              <w:szCs w:val="20"/>
            </w:rPr>
          </w:rPrChange>
        </w:rPr>
        <w:t>late-season contributions from these</w:t>
      </w:r>
      <w:r w:rsidR="005A53C9" w:rsidRPr="00AD7B82">
        <w:rPr>
          <w:rFonts w:ascii="Garamond" w:hAnsi="Garamond"/>
          <w:sz w:val="22"/>
          <w:szCs w:val="22"/>
          <w:rPrChange w:id="79" w:author="Benjamin J. Makhlouf" w:date="2025-07-26T11:37:00Z" w16du:dateUtc="2025-07-26T18:37:00Z">
            <w:rPr>
              <w:rFonts w:ascii="Garamond" w:hAnsi="Garamond"/>
              <w:sz w:val="20"/>
              <w:szCs w:val="20"/>
            </w:rPr>
          </w:rPrChange>
        </w:rPr>
        <w:t xml:space="preserve"> stocks</w:t>
      </w:r>
      <w:r w:rsidR="005C58CB" w:rsidRPr="00AD7B82">
        <w:rPr>
          <w:rFonts w:ascii="Garamond" w:hAnsi="Garamond"/>
          <w:sz w:val="22"/>
          <w:szCs w:val="22"/>
          <w:rPrChange w:id="80" w:author="Benjamin J. Makhlouf" w:date="2025-07-26T11:37:00Z" w16du:dateUtc="2025-07-26T18:37:00Z">
            <w:rPr>
              <w:rFonts w:ascii="Garamond" w:hAnsi="Garamond"/>
              <w:sz w:val="20"/>
              <w:szCs w:val="20"/>
            </w:rPr>
          </w:rPrChange>
        </w:rPr>
        <w:t>.</w:t>
      </w:r>
    </w:p>
    <w:p w14:paraId="6BA9CF63" w14:textId="31991629" w:rsidR="00397FF6" w:rsidRPr="00AD7B82" w:rsidRDefault="00517577" w:rsidP="00354EC0">
      <w:pPr>
        <w:pStyle w:val="whitespace-normal"/>
        <w:spacing w:line="480" w:lineRule="auto"/>
        <w:ind w:firstLine="720"/>
        <w:rPr>
          <w:rFonts w:ascii="Garamond" w:hAnsi="Garamond"/>
          <w:sz w:val="22"/>
          <w:szCs w:val="22"/>
        </w:rPr>
      </w:pPr>
      <w:r w:rsidRPr="00AD7B82">
        <w:rPr>
          <w:rFonts w:ascii="Garamond" w:hAnsi="Garamond"/>
          <w:sz w:val="22"/>
          <w:szCs w:val="22"/>
        </w:rPr>
        <w:t>We also used c</w:t>
      </w:r>
      <w:r w:rsidR="00CF03CC" w:rsidRPr="00AD7B82">
        <w:rPr>
          <w:rFonts w:ascii="Garamond" w:hAnsi="Garamond"/>
          <w:sz w:val="22"/>
          <w:szCs w:val="22"/>
        </w:rPr>
        <w:t>umulative distribution plots</w:t>
      </w:r>
      <w:r w:rsidR="001419E1" w:rsidRPr="00AD7B82">
        <w:rPr>
          <w:rFonts w:ascii="Garamond" w:hAnsi="Garamond"/>
          <w:sz w:val="22"/>
          <w:szCs w:val="22"/>
        </w:rPr>
        <w:t xml:space="preserve"> to</w:t>
      </w:r>
      <w:r w:rsidR="00CF03CC" w:rsidRPr="00AD7B82">
        <w:rPr>
          <w:rFonts w:ascii="Garamond" w:hAnsi="Garamond"/>
          <w:sz w:val="22"/>
          <w:szCs w:val="22"/>
        </w:rPr>
        <w:t xml:space="preserve"> further illustrate the pattern of consistently early returning upper Kuskokwim stocks and late-returning lower Kuskokwim stocks. As compared to the relatively coarse spatial scale of quartile analysis, these data illustrate variation in run timing among stocks at a finer spatial scale that is independent of the quartile cutoff dates. This analysis reveal</w:t>
      </w:r>
      <w:r w:rsidR="001419E1" w:rsidRPr="00AD7B82">
        <w:rPr>
          <w:rFonts w:ascii="Garamond" w:hAnsi="Garamond"/>
          <w:sz w:val="22"/>
          <w:szCs w:val="22"/>
        </w:rPr>
        <w:t>ed</w:t>
      </w:r>
      <w:r w:rsidR="00CF03CC" w:rsidRPr="00AD7B82">
        <w:rPr>
          <w:rFonts w:ascii="Garamond" w:hAnsi="Garamond"/>
          <w:sz w:val="22"/>
          <w:szCs w:val="22"/>
        </w:rPr>
        <w:t xml:space="preserve"> whether the timing of stock contribution varies based on the relative timing of the run (i.e. early returning vs late returning or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r w:rsidR="001419E1" w:rsidRPr="00AD7B82">
        <w:rPr>
          <w:rFonts w:ascii="Garamond" w:hAnsi="Garamond"/>
          <w:sz w:val="22"/>
          <w:szCs w:val="22"/>
        </w:rPr>
        <w:t>extended</w:t>
      </w:r>
      <w:r w:rsidR="00CF03CC" w:rsidRPr="00AD7B82">
        <w:rPr>
          <w:rFonts w:ascii="Garamond" w:hAnsi="Garamond"/>
          <w:sz w:val="22"/>
          <w:szCs w:val="22"/>
        </w:rPr>
        <w:t xml:space="preserve"> run</w:t>
      </w:r>
      <w:proofErr w:type="gramStart"/>
      <w:r w:rsidR="00CF03CC" w:rsidRPr="00AD7B82">
        <w:rPr>
          <w:rFonts w:ascii="Garamond" w:hAnsi="Garamond"/>
          <w:sz w:val="22"/>
          <w:szCs w:val="22"/>
        </w:rPr>
        <w:t>), and</w:t>
      </w:r>
      <w:proofErr w:type="gramEnd"/>
      <w:r w:rsidR="00CF03CC" w:rsidRPr="00AD7B82">
        <w:rPr>
          <w:rFonts w:ascii="Garamond" w:hAnsi="Garamond"/>
          <w:sz w:val="22"/>
          <w:szCs w:val="22"/>
        </w:rPr>
        <w:t xml:space="preserve"> is independent of the total contribution of the stock to the overall run.</w:t>
      </w:r>
      <w:r w:rsidR="00FE3CBB" w:rsidRPr="00AD7B82">
        <w:rPr>
          <w:rFonts w:ascii="Garamond" w:hAnsi="Garamond"/>
          <w:sz w:val="22"/>
          <w:szCs w:val="22"/>
        </w:rPr>
        <w:t xml:space="preserve"> </w:t>
      </w:r>
      <w:r w:rsidR="00CF03CC" w:rsidRPr="00AD7B82">
        <w:rPr>
          <w:rFonts w:ascii="Garamond" w:hAnsi="Garamond"/>
          <w:sz w:val="22"/>
          <w:szCs w:val="22"/>
        </w:rPr>
        <w:t xml:space="preserve">Upper watershed stocks demonstrated characteristically steep early-season curves, with populations like Big River, Swift, and Upper Kusko Main reaching 50% of their annual contribution more quickly than lower stocks. In most years, these populations arrive within a predictable window during the early portion of the season, </w:t>
      </w:r>
      <w:r w:rsidR="00CF03CC" w:rsidRPr="00AD7B82">
        <w:rPr>
          <w:rStyle w:val="Strong"/>
          <w:rFonts w:ascii="Garamond" w:eastAsiaTheme="majorEastAsia" w:hAnsi="Garamond"/>
          <w:b w:val="0"/>
          <w:bCs w:val="0"/>
          <w:sz w:val="22"/>
          <w:szCs w:val="22"/>
        </w:rPr>
        <w:t>with most upper watershed stocks reaching the majority (&gt;50%) of their annual contribution within the first three weeks of the run</w:t>
      </w:r>
      <w:r w:rsidR="00CF03CC" w:rsidRPr="00AD7B82">
        <w:rPr>
          <w:rFonts w:ascii="Garamond" w:hAnsi="Garamond"/>
          <w:sz w:val="22"/>
          <w:szCs w:val="22"/>
        </w:rPr>
        <w:t xml:space="preserve">. Lower watershed stocks exhibited markedly different cumulative patterns with gradual, extended curves reflecting protracted run timing that spans the entirety of the run. Populations such as Aniak, Kwethluk, and </w:t>
      </w:r>
      <w:proofErr w:type="spellStart"/>
      <w:r w:rsidR="00CF03CC" w:rsidRPr="00AD7B82">
        <w:rPr>
          <w:rFonts w:ascii="Garamond" w:hAnsi="Garamond"/>
          <w:sz w:val="22"/>
          <w:szCs w:val="22"/>
        </w:rPr>
        <w:t>Kisaralik</w:t>
      </w:r>
      <w:proofErr w:type="spellEnd"/>
      <w:r w:rsidR="00CF03CC" w:rsidRPr="00AD7B82">
        <w:rPr>
          <w:rFonts w:ascii="Garamond" w:hAnsi="Garamond"/>
          <w:sz w:val="22"/>
          <w:szCs w:val="22"/>
        </w:rPr>
        <w:t xml:space="preserve"> showed substantially lower early-season contributions, with their steepest accumulation occurring later in the season, a pattern that further supports the average higher contribution of these stocks in the fourth quartile of our dataset.  Despite varying total run size, timing, and duration, the relative timing patterns among management units remained consistent among all years of our dataset with the timing offset between upper and lower stocks persisting regardless of the run dynamics.</w:t>
      </w:r>
    </w:p>
    <w:p w14:paraId="425125A7" w14:textId="2FA86EA7" w:rsidR="00397FF6" w:rsidRPr="00354EC0" w:rsidRDefault="00397FF6" w:rsidP="00397FF6">
      <w:pPr>
        <w:pStyle w:val="whitespace-normal"/>
        <w:spacing w:line="480" w:lineRule="auto"/>
        <w:rPr>
          <w:rFonts w:ascii="Garamond" w:hAnsi="Garamond"/>
          <w:b/>
          <w:bCs/>
          <w:sz w:val="20"/>
          <w:szCs w:val="20"/>
        </w:rPr>
      </w:pPr>
      <w:r w:rsidRPr="00354EC0">
        <w:rPr>
          <w:rFonts w:ascii="Garamond" w:hAnsi="Garamond"/>
          <w:b/>
          <w:bCs/>
          <w:sz w:val="20"/>
          <w:szCs w:val="20"/>
        </w:rPr>
        <w:lastRenderedPageBreak/>
        <w:t xml:space="preserve">Front end closure protections </w:t>
      </w:r>
    </w:p>
    <w:p w14:paraId="6611E3D5" w14:textId="2D4187B1" w:rsidR="00CF03CC" w:rsidRPr="00AD7B82" w:rsidRDefault="00DC75BB" w:rsidP="00354EC0">
      <w:pPr>
        <w:pStyle w:val="whitespace-normal"/>
        <w:spacing w:line="480" w:lineRule="auto"/>
        <w:ind w:firstLine="720"/>
        <w:rPr>
          <w:rFonts w:ascii="Garamond" w:hAnsi="Garamond"/>
          <w:sz w:val="22"/>
          <w:szCs w:val="22"/>
          <w:rPrChange w:id="81" w:author="Benjamin J. Makhlouf" w:date="2025-07-26T11:37:00Z" w16du:dateUtc="2025-07-26T18:37:00Z">
            <w:rPr>
              <w:rFonts w:ascii="Garamond" w:hAnsi="Garamond"/>
              <w:sz w:val="20"/>
              <w:szCs w:val="20"/>
            </w:rPr>
          </w:rPrChange>
        </w:rPr>
      </w:pPr>
      <w:r w:rsidRPr="00AD7B82">
        <w:rPr>
          <w:rFonts w:ascii="Garamond" w:hAnsi="Garamond"/>
          <w:sz w:val="22"/>
          <w:szCs w:val="22"/>
          <w:rPrChange w:id="82" w:author="Benjamin J. Makhlouf" w:date="2025-07-26T11:37:00Z" w16du:dateUtc="2025-07-26T18:37:00Z">
            <w:rPr>
              <w:rFonts w:ascii="Garamond" w:hAnsi="Garamond"/>
              <w:sz w:val="20"/>
              <w:szCs w:val="20"/>
            </w:rPr>
          </w:rPrChange>
        </w:rPr>
        <w:t xml:space="preserve">Analysis of the protection offered to stocks across the basin based on a front-end </w:t>
      </w:r>
      <w:ins w:id="83" w:author="Daniel Schindler" w:date="2025-07-17T14:36:00Z" w16du:dateUtc="2025-07-17T22:36:00Z">
        <w:r w:rsidR="00B40601" w:rsidRPr="00AD7B82">
          <w:rPr>
            <w:rFonts w:ascii="Garamond" w:hAnsi="Garamond"/>
            <w:sz w:val="22"/>
            <w:szCs w:val="22"/>
            <w:rPrChange w:id="84" w:author="Benjamin J. Makhlouf" w:date="2025-07-26T11:37:00Z" w16du:dateUtc="2025-07-26T18:37:00Z">
              <w:rPr>
                <w:rFonts w:ascii="Garamond" w:hAnsi="Garamond"/>
                <w:sz w:val="20"/>
                <w:szCs w:val="20"/>
              </w:rPr>
            </w:rPrChange>
          </w:rPr>
          <w:t xml:space="preserve">fishery </w:t>
        </w:r>
      </w:ins>
      <w:r w:rsidRPr="00AD7B82">
        <w:rPr>
          <w:rFonts w:ascii="Garamond" w:hAnsi="Garamond"/>
          <w:sz w:val="22"/>
          <w:szCs w:val="22"/>
          <w:rPrChange w:id="85" w:author="Benjamin J. Makhlouf" w:date="2025-07-26T11:37:00Z" w16du:dateUtc="2025-07-26T18:37:00Z">
            <w:rPr>
              <w:rFonts w:ascii="Garamond" w:hAnsi="Garamond"/>
              <w:sz w:val="20"/>
              <w:szCs w:val="20"/>
            </w:rPr>
          </w:rPrChange>
        </w:rPr>
        <w:t xml:space="preserve">closure illustrated a range of protection across stocks with clearly higher protection afforded to upper Kuskokwim stocks. Upper watershed stocks showed the highest closure protection rates, with East Fork Kuskokwim receiving the greatest benefit (median: 21.3%, range: 9.9-45.3%). Despite East Fork Kuskokwim contributing minimally to the total watershed run (~2-3% annually), approximately one-quarter of its total returns are protected by a front-end closure. Several other upper Kuskokwim stocks showed similarly high proportional protection, including the North Fork (median: 22.5%, range: 5.8-31.0%), </w:t>
      </w:r>
      <w:proofErr w:type="spellStart"/>
      <w:r w:rsidRPr="00AD7B82">
        <w:rPr>
          <w:rFonts w:ascii="Garamond" w:hAnsi="Garamond"/>
          <w:sz w:val="22"/>
          <w:szCs w:val="22"/>
          <w:rPrChange w:id="86" w:author="Benjamin J. Makhlouf" w:date="2025-07-26T11:37:00Z" w16du:dateUtc="2025-07-26T18:37:00Z">
            <w:rPr>
              <w:rFonts w:ascii="Garamond" w:hAnsi="Garamond"/>
              <w:sz w:val="20"/>
              <w:szCs w:val="20"/>
            </w:rPr>
          </w:rPrChange>
        </w:rPr>
        <w:t>Tatlawiksuk</w:t>
      </w:r>
      <w:proofErr w:type="spellEnd"/>
      <w:r w:rsidRPr="00AD7B82">
        <w:rPr>
          <w:rFonts w:ascii="Garamond" w:hAnsi="Garamond"/>
          <w:sz w:val="22"/>
          <w:szCs w:val="22"/>
          <w:rPrChange w:id="87" w:author="Benjamin J. Makhlouf" w:date="2025-07-26T11:37:00Z" w16du:dateUtc="2025-07-26T18:37:00Z">
            <w:rPr>
              <w:rFonts w:ascii="Garamond" w:hAnsi="Garamond"/>
              <w:sz w:val="20"/>
              <w:szCs w:val="20"/>
            </w:rPr>
          </w:rPrChange>
        </w:rPr>
        <w:t xml:space="preserve"> (median: 17.2%, range: 3.1-39.5%), Big River (median: 15.9%, range: 2.4-41.3%), Swift (median: 14.9%, range: 2.9-36.2%), South Fork (median: 12.3%, range: 2.7-31.7%), and Upper Kuskokwim (median: 11.4%, range: 2.8-27.4%). Of the stocks with the highest protection (&gt;11% median), all were found in the upper portions of the watershed. Notably, </w:t>
      </w:r>
      <w:proofErr w:type="spellStart"/>
      <w:r w:rsidRPr="00AD7B82">
        <w:rPr>
          <w:rFonts w:ascii="Garamond" w:hAnsi="Garamond"/>
          <w:sz w:val="22"/>
          <w:szCs w:val="22"/>
          <w:rPrChange w:id="88" w:author="Benjamin J. Makhlouf" w:date="2025-07-26T11:37:00Z" w16du:dateUtc="2025-07-26T18:37:00Z">
            <w:rPr>
              <w:rFonts w:ascii="Garamond" w:hAnsi="Garamond"/>
              <w:sz w:val="20"/>
              <w:szCs w:val="20"/>
            </w:rPr>
          </w:rPrChange>
        </w:rPr>
        <w:t>Takotna</w:t>
      </w:r>
      <w:proofErr w:type="spellEnd"/>
      <w:r w:rsidRPr="00AD7B82">
        <w:rPr>
          <w:rFonts w:ascii="Garamond" w:hAnsi="Garamond"/>
          <w:sz w:val="22"/>
          <w:szCs w:val="22"/>
          <w:rPrChange w:id="89" w:author="Benjamin J. Makhlouf" w:date="2025-07-26T11:37:00Z" w16du:dateUtc="2025-07-26T18:37:00Z">
            <w:rPr>
              <w:rFonts w:ascii="Garamond" w:hAnsi="Garamond"/>
              <w:sz w:val="20"/>
              <w:szCs w:val="20"/>
            </w:rPr>
          </w:rPrChange>
        </w:rPr>
        <w:t xml:space="preserve"> and Nixon Fork received relatively modest protection (median: 6.6%, range: 0.9-18.3%) despite its position at the top of the watershed. In contrast, stocks positioned lower in the watershed received less protection from the front-end closure. Middle watershed stocks including Stony (median: 7.6%, range: 2.9-22.1</w:t>
      </w:r>
      <w:proofErr w:type="gramStart"/>
      <w:r w:rsidRPr="00AD7B82">
        <w:rPr>
          <w:rFonts w:ascii="Garamond" w:hAnsi="Garamond"/>
          <w:sz w:val="22"/>
          <w:szCs w:val="22"/>
          <w:rPrChange w:id="90" w:author="Benjamin J. Makhlouf" w:date="2025-07-26T11:37:00Z" w16du:dateUtc="2025-07-26T18:37:00Z">
            <w:rPr>
              <w:rFonts w:ascii="Garamond" w:hAnsi="Garamond"/>
              <w:sz w:val="20"/>
              <w:szCs w:val="20"/>
            </w:rPr>
          </w:rPrChange>
        </w:rPr>
        <w:t>%)  Middle</w:t>
      </w:r>
      <w:proofErr w:type="gramEnd"/>
      <w:r w:rsidRPr="00AD7B82">
        <w:rPr>
          <w:rFonts w:ascii="Garamond" w:hAnsi="Garamond"/>
          <w:sz w:val="22"/>
          <w:szCs w:val="22"/>
          <w:rPrChange w:id="91" w:author="Benjamin J. Makhlouf" w:date="2025-07-26T11:37:00Z" w16du:dateUtc="2025-07-26T18:37:00Z">
            <w:rPr>
              <w:rFonts w:ascii="Garamond" w:hAnsi="Garamond"/>
              <w:sz w:val="20"/>
              <w:szCs w:val="20"/>
            </w:rPr>
          </w:rPrChange>
        </w:rPr>
        <w:t xml:space="preserve"> Kusko Main (median: 5.5%, range: 4.7-17.7%</w:t>
      </w:r>
      <w:proofErr w:type="gramStart"/>
      <w:r w:rsidRPr="00AD7B82">
        <w:rPr>
          <w:rFonts w:ascii="Garamond" w:hAnsi="Garamond"/>
          <w:sz w:val="22"/>
          <w:szCs w:val="22"/>
          <w:rPrChange w:id="92" w:author="Benjamin J. Makhlouf" w:date="2025-07-26T11:37:00Z" w16du:dateUtc="2025-07-26T18:37:00Z">
            <w:rPr>
              <w:rFonts w:ascii="Garamond" w:hAnsi="Garamond"/>
              <w:sz w:val="20"/>
              <w:szCs w:val="20"/>
            </w:rPr>
          </w:rPrChange>
        </w:rPr>
        <w:t>) ,</w:t>
      </w:r>
      <w:proofErr w:type="gramEnd"/>
      <w:r w:rsidRPr="00AD7B82">
        <w:rPr>
          <w:rFonts w:ascii="Garamond" w:hAnsi="Garamond"/>
          <w:sz w:val="22"/>
          <w:szCs w:val="22"/>
          <w:rPrChange w:id="93" w:author="Benjamin J. Makhlouf" w:date="2025-07-26T11:37:00Z" w16du:dateUtc="2025-07-26T18:37:00Z">
            <w:rPr>
              <w:rFonts w:ascii="Garamond" w:hAnsi="Garamond"/>
              <w:sz w:val="20"/>
              <w:szCs w:val="20"/>
            </w:rPr>
          </w:rPrChange>
        </w:rPr>
        <w:t xml:space="preserve"> and </w:t>
      </w:r>
      <w:proofErr w:type="spellStart"/>
      <w:r w:rsidRPr="00AD7B82">
        <w:rPr>
          <w:rFonts w:ascii="Garamond" w:hAnsi="Garamond"/>
          <w:sz w:val="22"/>
          <w:szCs w:val="22"/>
          <w:rPrChange w:id="94" w:author="Benjamin J. Makhlouf" w:date="2025-07-26T11:37:00Z" w16du:dateUtc="2025-07-26T18:37:00Z">
            <w:rPr>
              <w:rFonts w:ascii="Garamond" w:hAnsi="Garamond"/>
              <w:sz w:val="20"/>
              <w:szCs w:val="20"/>
            </w:rPr>
          </w:rPrChange>
        </w:rPr>
        <w:t>Hohlitna</w:t>
      </w:r>
      <w:proofErr w:type="spellEnd"/>
      <w:r w:rsidRPr="00AD7B82">
        <w:rPr>
          <w:rFonts w:ascii="Garamond" w:hAnsi="Garamond"/>
          <w:sz w:val="22"/>
          <w:szCs w:val="22"/>
          <w:rPrChange w:id="95" w:author="Benjamin J. Makhlouf" w:date="2025-07-26T11:37:00Z" w16du:dateUtc="2025-07-26T18:37:00Z">
            <w:rPr>
              <w:rFonts w:ascii="Garamond" w:hAnsi="Garamond"/>
              <w:sz w:val="20"/>
              <w:szCs w:val="20"/>
            </w:rPr>
          </w:rPrChange>
        </w:rPr>
        <w:t xml:space="preserve"> </w:t>
      </w:r>
      <w:proofErr w:type="gramStart"/>
      <w:r w:rsidRPr="00AD7B82">
        <w:rPr>
          <w:rFonts w:ascii="Garamond" w:hAnsi="Garamond"/>
          <w:sz w:val="22"/>
          <w:szCs w:val="22"/>
          <w:rPrChange w:id="96" w:author="Benjamin J. Makhlouf" w:date="2025-07-26T11:37:00Z" w16du:dateUtc="2025-07-26T18:37:00Z">
            <w:rPr>
              <w:rFonts w:ascii="Garamond" w:hAnsi="Garamond"/>
              <w:sz w:val="20"/>
              <w:szCs w:val="20"/>
            </w:rPr>
          </w:rPrChange>
        </w:rPr>
        <w:t>( median</w:t>
      </w:r>
      <w:proofErr w:type="gramEnd"/>
      <w:r w:rsidRPr="00AD7B82">
        <w:rPr>
          <w:rFonts w:ascii="Garamond" w:hAnsi="Garamond"/>
          <w:sz w:val="22"/>
          <w:szCs w:val="22"/>
          <w:rPrChange w:id="97" w:author="Benjamin J. Makhlouf" w:date="2025-07-26T11:37:00Z" w16du:dateUtc="2025-07-26T18:37:00Z">
            <w:rPr>
              <w:rFonts w:ascii="Garamond" w:hAnsi="Garamond"/>
              <w:sz w:val="20"/>
              <w:szCs w:val="20"/>
            </w:rPr>
          </w:rPrChange>
        </w:rPr>
        <w:t xml:space="preserve">: 5.6%, range: 2.7 – 18.4%) showed modest median protection, but with ranges that indicate a high level of protection in at least one year of our dataset. Several stocks lower in the watershed, however, received consistently minimal protection. Lower Kusko, </w:t>
      </w:r>
      <w:proofErr w:type="spellStart"/>
      <w:r w:rsidRPr="00AD7B82">
        <w:rPr>
          <w:rFonts w:ascii="Garamond" w:hAnsi="Garamond"/>
          <w:sz w:val="22"/>
          <w:szCs w:val="22"/>
          <w:rPrChange w:id="98" w:author="Benjamin J. Makhlouf" w:date="2025-07-26T11:37:00Z" w16du:dateUtc="2025-07-26T18:37:00Z">
            <w:rPr>
              <w:rFonts w:ascii="Garamond" w:hAnsi="Garamond"/>
              <w:sz w:val="20"/>
              <w:szCs w:val="20"/>
            </w:rPr>
          </w:rPrChange>
        </w:rPr>
        <w:t>Kisaralik</w:t>
      </w:r>
      <w:proofErr w:type="spellEnd"/>
      <w:r w:rsidRPr="00AD7B82">
        <w:rPr>
          <w:rFonts w:ascii="Garamond" w:hAnsi="Garamond"/>
          <w:sz w:val="22"/>
          <w:szCs w:val="22"/>
          <w:rPrChange w:id="99" w:author="Benjamin J. Makhlouf" w:date="2025-07-26T11:37:00Z" w16du:dateUtc="2025-07-26T18:37:00Z">
            <w:rPr>
              <w:rFonts w:ascii="Garamond" w:hAnsi="Garamond"/>
              <w:sz w:val="20"/>
              <w:szCs w:val="20"/>
            </w:rPr>
          </w:rPrChange>
        </w:rPr>
        <w:t xml:space="preserve">, Aniak, </w:t>
      </w:r>
      <w:proofErr w:type="spellStart"/>
      <w:r w:rsidRPr="00AD7B82">
        <w:rPr>
          <w:rFonts w:ascii="Garamond" w:hAnsi="Garamond"/>
          <w:sz w:val="22"/>
          <w:szCs w:val="22"/>
          <w:rPrChange w:id="100" w:author="Benjamin J. Makhlouf" w:date="2025-07-26T11:37:00Z" w16du:dateUtc="2025-07-26T18:37:00Z">
            <w:rPr>
              <w:rFonts w:ascii="Garamond" w:hAnsi="Garamond"/>
              <w:sz w:val="20"/>
              <w:szCs w:val="20"/>
            </w:rPr>
          </w:rPrChange>
        </w:rPr>
        <w:t>Tuluksak</w:t>
      </w:r>
      <w:proofErr w:type="spellEnd"/>
      <w:r w:rsidRPr="00AD7B82">
        <w:rPr>
          <w:rFonts w:ascii="Garamond" w:hAnsi="Garamond"/>
          <w:sz w:val="22"/>
          <w:szCs w:val="22"/>
          <w:rPrChange w:id="101" w:author="Benjamin J. Makhlouf" w:date="2025-07-26T11:37:00Z" w16du:dateUtc="2025-07-26T18:37:00Z">
            <w:rPr>
              <w:rFonts w:ascii="Garamond" w:hAnsi="Garamond"/>
              <w:sz w:val="20"/>
              <w:szCs w:val="20"/>
            </w:rPr>
          </w:rPrChange>
        </w:rPr>
        <w:t xml:space="preserve">, </w:t>
      </w:r>
      <w:proofErr w:type="spellStart"/>
      <w:r w:rsidRPr="00AD7B82">
        <w:rPr>
          <w:rFonts w:ascii="Garamond" w:hAnsi="Garamond"/>
          <w:sz w:val="22"/>
          <w:szCs w:val="22"/>
          <w:rPrChange w:id="102" w:author="Benjamin J. Makhlouf" w:date="2025-07-26T11:37:00Z" w16du:dateUtc="2025-07-26T18:37:00Z">
            <w:rPr>
              <w:rFonts w:ascii="Garamond" w:hAnsi="Garamond"/>
              <w:sz w:val="20"/>
              <w:szCs w:val="20"/>
            </w:rPr>
          </w:rPrChange>
        </w:rPr>
        <w:t>Oskakawlik</w:t>
      </w:r>
      <w:proofErr w:type="spellEnd"/>
      <w:r w:rsidRPr="00AD7B82">
        <w:rPr>
          <w:rFonts w:ascii="Garamond" w:hAnsi="Garamond"/>
          <w:sz w:val="22"/>
          <w:szCs w:val="22"/>
          <w:rPrChange w:id="103" w:author="Benjamin J. Makhlouf" w:date="2025-07-26T11:37:00Z" w16du:dateUtc="2025-07-26T18:37:00Z">
            <w:rPr>
              <w:rFonts w:ascii="Garamond" w:hAnsi="Garamond"/>
              <w:sz w:val="20"/>
              <w:szCs w:val="20"/>
            </w:rPr>
          </w:rPrChange>
        </w:rPr>
        <w:t xml:space="preserve">, Kwethluk, and </w:t>
      </w:r>
      <w:proofErr w:type="spellStart"/>
      <w:r w:rsidRPr="00AD7B82">
        <w:rPr>
          <w:rFonts w:ascii="Garamond" w:hAnsi="Garamond"/>
          <w:sz w:val="22"/>
          <w:szCs w:val="22"/>
          <w:rPrChange w:id="104" w:author="Benjamin J. Makhlouf" w:date="2025-07-26T11:37:00Z" w16du:dateUtc="2025-07-26T18:37:00Z">
            <w:rPr>
              <w:rFonts w:ascii="Garamond" w:hAnsi="Garamond"/>
              <w:sz w:val="20"/>
              <w:szCs w:val="20"/>
            </w:rPr>
          </w:rPrChange>
        </w:rPr>
        <w:t>Holitna</w:t>
      </w:r>
      <w:proofErr w:type="spellEnd"/>
      <w:r w:rsidRPr="00AD7B82">
        <w:rPr>
          <w:rFonts w:ascii="Garamond" w:hAnsi="Garamond"/>
          <w:sz w:val="22"/>
          <w:szCs w:val="22"/>
          <w:rPrChange w:id="105" w:author="Benjamin J. Makhlouf" w:date="2025-07-26T11:37:00Z" w16du:dateUtc="2025-07-26T18:37:00Z">
            <w:rPr>
              <w:rFonts w:ascii="Garamond" w:hAnsi="Garamond"/>
              <w:sz w:val="20"/>
              <w:szCs w:val="20"/>
            </w:rPr>
          </w:rPrChange>
        </w:rPr>
        <w:t xml:space="preserve"> all demonstrated low protection rates (medians: 2.9-8.0%), with George River showing the lowest protection of all stocks (median: 3.9%, range: 1.7-8.4%), indicating that the vast majority of these stocks' contributions occur outside of the front-end closure window and are therefore subject to fishing pressure during the open fishing period.</w:t>
      </w:r>
    </w:p>
    <w:p w14:paraId="674B7FF7" w14:textId="252A9142" w:rsidR="00397FF6" w:rsidRPr="00AD7B82" w:rsidRDefault="000854BE" w:rsidP="00397FF6">
      <w:pPr>
        <w:pStyle w:val="whitespace-normal"/>
        <w:spacing w:line="480" w:lineRule="auto"/>
        <w:rPr>
          <w:rFonts w:ascii="Garamond" w:hAnsi="Garamond"/>
          <w:b/>
          <w:bCs/>
          <w:sz w:val="22"/>
          <w:szCs w:val="22"/>
          <w:u w:val="single"/>
          <w:rPrChange w:id="106" w:author="Benjamin J. Makhlouf" w:date="2025-07-26T11:38:00Z" w16du:dateUtc="2025-07-26T18:38:00Z">
            <w:rPr>
              <w:rFonts w:ascii="Garamond" w:hAnsi="Garamond"/>
              <w:b/>
              <w:bCs/>
              <w:u w:val="single"/>
            </w:rPr>
          </w:rPrChange>
        </w:rPr>
      </w:pPr>
      <w:r w:rsidRPr="00AD7B82">
        <w:rPr>
          <w:rFonts w:ascii="Garamond" w:hAnsi="Garamond"/>
          <w:b/>
          <w:bCs/>
          <w:sz w:val="22"/>
          <w:szCs w:val="22"/>
          <w:u w:val="single"/>
          <w:rPrChange w:id="107" w:author="Benjamin J. Makhlouf" w:date="2025-07-26T11:38:00Z" w16du:dateUtc="2025-07-26T18:38:00Z">
            <w:rPr>
              <w:rFonts w:ascii="Garamond" w:hAnsi="Garamond"/>
              <w:b/>
              <w:bCs/>
              <w:u w:val="single"/>
            </w:rPr>
          </w:rPrChange>
        </w:rPr>
        <w:t>Discussion</w:t>
      </w:r>
    </w:p>
    <w:p w14:paraId="5BD6A94C" w14:textId="04EBD500" w:rsidR="004A6CF4" w:rsidRDefault="002549E1" w:rsidP="00F55974">
      <w:pPr>
        <w:pStyle w:val="whitespace-normal"/>
        <w:spacing w:line="480" w:lineRule="auto"/>
        <w:rPr>
          <w:rFonts w:ascii="Garamond" w:hAnsi="Garamond"/>
          <w:sz w:val="22"/>
          <w:szCs w:val="22"/>
        </w:rPr>
      </w:pPr>
      <w:r w:rsidRPr="00AD7B82">
        <w:rPr>
          <w:rFonts w:ascii="Garamond" w:hAnsi="Garamond"/>
          <w:b/>
          <w:bCs/>
          <w:sz w:val="22"/>
          <w:szCs w:val="22"/>
          <w:rPrChange w:id="108" w:author="Benjamin J. Makhlouf" w:date="2025-07-26T11:38:00Z" w16du:dateUtc="2025-07-26T18:38:00Z">
            <w:rPr>
              <w:rFonts w:ascii="Garamond" w:hAnsi="Garamond"/>
              <w:b/>
              <w:bCs/>
            </w:rPr>
          </w:rPrChange>
        </w:rPr>
        <w:tab/>
      </w:r>
      <w:r w:rsidR="00F55974" w:rsidRPr="00AD7B82">
        <w:rPr>
          <w:rFonts w:ascii="Garamond" w:hAnsi="Garamond"/>
          <w:sz w:val="22"/>
          <w:szCs w:val="22"/>
          <w:rPrChange w:id="109" w:author="Benjamin J. Makhlouf" w:date="2025-07-26T11:38:00Z" w16du:dateUtc="2025-07-26T18:38:00Z">
            <w:rPr>
              <w:rFonts w:ascii="Garamond" w:hAnsi="Garamond"/>
            </w:rPr>
          </w:rPrChange>
        </w:rPr>
        <w:t>Understanding the spatial and temporal patterns governing metapopulation dynamic</w:t>
      </w:r>
      <w:r w:rsidR="00717B12">
        <w:rPr>
          <w:rFonts w:ascii="Garamond" w:hAnsi="Garamond"/>
          <w:sz w:val="22"/>
          <w:szCs w:val="22"/>
        </w:rPr>
        <w:t>s</w:t>
      </w:r>
      <w:r w:rsidR="00F55974" w:rsidRPr="00717B12">
        <w:rPr>
          <w:rFonts w:ascii="Garamond" w:hAnsi="Garamond"/>
          <w:sz w:val="22"/>
          <w:szCs w:val="22"/>
        </w:rPr>
        <w:t xml:space="preserve"> is critical to developing management strategies which stabilize resource availability and build resilience to future </w:t>
      </w:r>
      <w:r w:rsidR="001679D4" w:rsidRPr="00717B12">
        <w:rPr>
          <w:rFonts w:ascii="Garamond" w:hAnsi="Garamond"/>
          <w:sz w:val="22"/>
          <w:szCs w:val="22"/>
        </w:rPr>
        <w:t>environmental change</w:t>
      </w:r>
      <w:r w:rsidR="00F55974" w:rsidRPr="00717B12">
        <w:rPr>
          <w:rFonts w:ascii="Garamond" w:hAnsi="Garamond"/>
          <w:sz w:val="22"/>
          <w:szCs w:val="22"/>
        </w:rPr>
        <w:t xml:space="preserve">. Here, we illustrate the spatiotemporal patterns of Chinook salmon </w:t>
      </w:r>
      <w:r w:rsidR="001679D4" w:rsidRPr="00717B12">
        <w:rPr>
          <w:rFonts w:ascii="Garamond" w:hAnsi="Garamond"/>
          <w:sz w:val="22"/>
          <w:szCs w:val="22"/>
        </w:rPr>
        <w:t xml:space="preserve">migration </w:t>
      </w:r>
      <w:r w:rsidR="00F55974" w:rsidRPr="00717B12">
        <w:rPr>
          <w:rFonts w:ascii="Garamond" w:hAnsi="Garamond"/>
          <w:sz w:val="22"/>
          <w:szCs w:val="22"/>
        </w:rPr>
        <w:t xml:space="preserve">in the </w:t>
      </w:r>
      <w:r w:rsidR="00F55974" w:rsidRPr="00717B12">
        <w:rPr>
          <w:rFonts w:ascii="Garamond" w:hAnsi="Garamond"/>
          <w:sz w:val="22"/>
          <w:szCs w:val="22"/>
        </w:rPr>
        <w:lastRenderedPageBreak/>
        <w:t>Kuskokwim River-Basin</w:t>
      </w:r>
      <w:r w:rsidR="00717B12">
        <w:rPr>
          <w:rFonts w:ascii="Garamond" w:hAnsi="Garamond"/>
          <w:sz w:val="22"/>
          <w:szCs w:val="22"/>
        </w:rPr>
        <w:t xml:space="preserve"> </w:t>
      </w:r>
      <w:r w:rsidR="00F55974" w:rsidRPr="00717B12">
        <w:rPr>
          <w:rFonts w:ascii="Garamond" w:hAnsi="Garamond"/>
          <w:sz w:val="22"/>
          <w:szCs w:val="22"/>
        </w:rPr>
        <w:t>over several years and at a finer spatial scale than previously available</w:t>
      </w:r>
      <w:r w:rsidR="00717B12">
        <w:rPr>
          <w:rFonts w:ascii="Garamond" w:hAnsi="Garamond"/>
          <w:sz w:val="22"/>
          <w:szCs w:val="22"/>
        </w:rPr>
        <w:t>, revealing a clear and consistent pattern of early return timing for stocks in the upper portion of the watershed and progressively later return timing for those in the lower river. This pattern has been observed in other salmon ecosystems and preliminarily in the Kuskokwim river-basin</w:t>
      </w:r>
      <w:r w:rsidR="00895FC7">
        <w:rPr>
          <w:rFonts w:ascii="Garamond" w:hAnsi="Garamond"/>
          <w:sz w:val="22"/>
          <w:szCs w:val="22"/>
        </w:rPr>
        <w:t xml:space="preserve"> (Clark et al., 2015, Lillard report). These analyses corroborate these </w:t>
      </w:r>
      <w:r w:rsidR="004A6CF4">
        <w:rPr>
          <w:rFonts w:ascii="Garamond" w:hAnsi="Garamond"/>
          <w:sz w:val="22"/>
          <w:szCs w:val="22"/>
        </w:rPr>
        <w:t>findings and</w:t>
      </w:r>
      <w:r w:rsidR="00895FC7">
        <w:rPr>
          <w:rFonts w:ascii="Garamond" w:hAnsi="Garamond"/>
          <w:sz w:val="22"/>
          <w:szCs w:val="22"/>
        </w:rPr>
        <w:t xml:space="preserve"> demonstrate the consistency of this pattern over several years and overall run dynamics</w:t>
      </w:r>
      <w:r w:rsidR="004A6CF4">
        <w:rPr>
          <w:rFonts w:ascii="Garamond" w:hAnsi="Garamond"/>
          <w:sz w:val="22"/>
          <w:szCs w:val="22"/>
        </w:rPr>
        <w:t xml:space="preserve">. The results of the cumulative distribution analysis, which illustrate the consistent pattern across all years regardless of the overall run timing indicate that this pattern is robust to changes in the timing and duration of the overall run. </w:t>
      </w:r>
    </w:p>
    <w:p w14:paraId="3A449161" w14:textId="125937E9" w:rsidR="004A6CF4" w:rsidRDefault="004A6CF4" w:rsidP="00F55974">
      <w:pPr>
        <w:pStyle w:val="whitespace-normal"/>
        <w:spacing w:line="480" w:lineRule="auto"/>
        <w:rPr>
          <w:rFonts w:ascii="Garamond" w:hAnsi="Garamond"/>
          <w:sz w:val="22"/>
          <w:szCs w:val="22"/>
        </w:rPr>
      </w:pPr>
      <w:r>
        <w:rPr>
          <w:rFonts w:ascii="Garamond" w:hAnsi="Garamond"/>
          <w:sz w:val="22"/>
          <w:szCs w:val="22"/>
        </w:rPr>
        <w:tab/>
        <w:t>A consistent contribution of upper Kuskokwim stocks to the earliest portion of the run has significant implications for management using a front-end closure</w:t>
      </w:r>
      <w:r w:rsidR="0016395C">
        <w:rPr>
          <w:rFonts w:ascii="Garamond" w:hAnsi="Garamond"/>
          <w:sz w:val="22"/>
          <w:szCs w:val="22"/>
        </w:rPr>
        <w:t>, which disproportionately protects upper Kuskokwim stocks from exploitation pressure as compared to stocks in the middle or lower portions of the basin. Stocks found above the Stony River were afforded &gt;10% protection from a front-end closure ending on June 11</w:t>
      </w:r>
      <w:r w:rsidR="0016395C" w:rsidRPr="0016395C">
        <w:rPr>
          <w:rFonts w:ascii="Garamond" w:hAnsi="Garamond"/>
          <w:sz w:val="22"/>
          <w:szCs w:val="22"/>
          <w:vertAlign w:val="superscript"/>
        </w:rPr>
        <w:t>th</w:t>
      </w:r>
      <w:r w:rsidR="0016395C">
        <w:rPr>
          <w:rFonts w:ascii="Garamond" w:hAnsi="Garamond"/>
          <w:sz w:val="22"/>
          <w:szCs w:val="22"/>
        </w:rPr>
        <w:t xml:space="preserve"> on average, with some years providing &gt;30% protection for several stocks. A notable exception is the </w:t>
      </w:r>
      <w:proofErr w:type="spellStart"/>
      <w:r w:rsidR="0016395C">
        <w:rPr>
          <w:rFonts w:ascii="Garamond" w:hAnsi="Garamond"/>
          <w:sz w:val="22"/>
          <w:szCs w:val="22"/>
        </w:rPr>
        <w:t>Takotna</w:t>
      </w:r>
      <w:proofErr w:type="spellEnd"/>
      <w:r w:rsidR="0016395C">
        <w:rPr>
          <w:rFonts w:ascii="Garamond" w:hAnsi="Garamond"/>
          <w:sz w:val="22"/>
          <w:szCs w:val="22"/>
        </w:rPr>
        <w:t xml:space="preserve"> and Nixon Fork stocks, which received lower mean protection as compared to other stocks found in a similar region of the watershed. </w:t>
      </w:r>
    </w:p>
    <w:p w14:paraId="71ADCFF6" w14:textId="77777777" w:rsidR="00895FC7" w:rsidRDefault="00895FC7" w:rsidP="00F55974">
      <w:pPr>
        <w:pStyle w:val="whitespace-normal"/>
        <w:spacing w:line="480" w:lineRule="auto"/>
        <w:rPr>
          <w:rFonts w:ascii="Garamond" w:hAnsi="Garamond"/>
          <w:sz w:val="22"/>
          <w:szCs w:val="22"/>
        </w:rPr>
      </w:pPr>
    </w:p>
    <w:p w14:paraId="79CAF375" w14:textId="6CDC5122" w:rsidR="00F55974" w:rsidRPr="00557194" w:rsidRDefault="00717B12" w:rsidP="00717B12">
      <w:pPr>
        <w:pStyle w:val="whitespace-normal"/>
        <w:spacing w:line="480" w:lineRule="auto"/>
        <w:rPr>
          <w:rFonts w:ascii="Garamond" w:hAnsi="Garamond"/>
          <w:sz w:val="22"/>
          <w:szCs w:val="22"/>
        </w:rPr>
      </w:pPr>
      <w:r>
        <w:rPr>
          <w:rFonts w:ascii="Garamond" w:hAnsi="Garamond"/>
          <w:sz w:val="22"/>
          <w:szCs w:val="22"/>
        </w:rPr>
        <w:tab/>
      </w:r>
      <w:r w:rsidR="00F55974" w:rsidRPr="00557194">
        <w:rPr>
          <w:rFonts w:ascii="Garamond" w:hAnsi="Garamond"/>
          <w:sz w:val="22"/>
          <w:szCs w:val="22"/>
        </w:rPr>
        <w:t xml:space="preserve"> </w:t>
      </w:r>
    </w:p>
    <w:p w14:paraId="09951170" w14:textId="0FC4354F" w:rsidR="00F55974" w:rsidRDefault="00F55974" w:rsidP="004A6CF4">
      <w:pPr>
        <w:pStyle w:val="whitespace-normal"/>
        <w:spacing w:line="480" w:lineRule="auto"/>
        <w:rPr>
          <w:ins w:id="110" w:author="Benjamin J. Makhlouf" w:date="2025-07-26T11:41:00Z" w16du:dateUtc="2025-07-26T18:41:00Z"/>
          <w:rFonts w:ascii="Garamond" w:hAnsi="Garamond"/>
          <w:sz w:val="22"/>
          <w:szCs w:val="22"/>
        </w:rPr>
      </w:pPr>
      <w:r w:rsidRPr="00557194">
        <w:rPr>
          <w:rFonts w:ascii="Garamond" w:hAnsi="Garamond"/>
          <w:sz w:val="22"/>
          <w:szCs w:val="22"/>
        </w:rPr>
        <w:tab/>
      </w:r>
      <w:r w:rsidR="00DE33E0" w:rsidRPr="004A6CF4">
        <w:rPr>
          <w:rFonts w:ascii="Garamond" w:hAnsi="Garamond"/>
          <w:sz w:val="22"/>
          <w:szCs w:val="22"/>
        </w:rPr>
        <w:t xml:space="preserve"> </w:t>
      </w:r>
    </w:p>
    <w:p w14:paraId="6420EC58" w14:textId="77777777" w:rsidR="003A53E2" w:rsidRPr="004A6CF4" w:rsidRDefault="003A53E2" w:rsidP="00DE33E0">
      <w:pPr>
        <w:pStyle w:val="whitespace-normal"/>
        <w:spacing w:line="480" w:lineRule="auto"/>
        <w:ind w:firstLine="720"/>
        <w:rPr>
          <w:rFonts w:ascii="Garamond" w:hAnsi="Garamond"/>
          <w:sz w:val="22"/>
          <w:szCs w:val="22"/>
        </w:rPr>
      </w:pPr>
    </w:p>
    <w:p w14:paraId="2033B809" w14:textId="31948364" w:rsidR="00DE33E0" w:rsidRDefault="00DE33E0" w:rsidP="00DE33E0">
      <w:pPr>
        <w:pStyle w:val="whitespace-normal"/>
        <w:numPr>
          <w:ilvl w:val="1"/>
          <w:numId w:val="8"/>
        </w:numPr>
        <w:spacing w:line="480" w:lineRule="auto"/>
      </w:pPr>
      <w:r>
        <w:t xml:space="preserve">The highest median contribution was all Upper Kuskokwim stocks. </w:t>
      </w:r>
      <w:proofErr w:type="spellStart"/>
      <w:r>
        <w:t>Takotna</w:t>
      </w:r>
      <w:proofErr w:type="spellEnd"/>
      <w:r>
        <w:t xml:space="preserve"> and Nixon fork are an exception.</w:t>
      </w:r>
    </w:p>
    <w:p w14:paraId="1A8E93F1" w14:textId="261304F6" w:rsidR="00DE33E0" w:rsidRDefault="00DE33E0" w:rsidP="00DE33E0">
      <w:pPr>
        <w:pStyle w:val="whitespace-normal"/>
        <w:numPr>
          <w:ilvl w:val="1"/>
          <w:numId w:val="8"/>
        </w:numPr>
        <w:spacing w:line="480" w:lineRule="auto"/>
      </w:pPr>
      <w:r>
        <w:lastRenderedPageBreak/>
        <w:t xml:space="preserve">Big range and outliers, indicating variability among years in the protection afforded, which may be the result of differences in total run timing or big contribution years for a given stock. </w:t>
      </w:r>
    </w:p>
    <w:p w14:paraId="1D46C83A" w14:textId="4C2DA8CE" w:rsidR="00DE33E0" w:rsidRDefault="00DE33E0" w:rsidP="00DE33E0">
      <w:pPr>
        <w:pStyle w:val="whitespace-normal"/>
        <w:numPr>
          <w:ilvl w:val="1"/>
          <w:numId w:val="8"/>
        </w:numPr>
        <w:spacing w:line="480" w:lineRule="auto"/>
      </w:pPr>
      <w:r>
        <w:t xml:space="preserve">Front end closure appears to successfully protect upper Kuskokwim stocks </w:t>
      </w:r>
    </w:p>
    <w:p w14:paraId="053088BD" w14:textId="41EF9560" w:rsidR="00DE33E0" w:rsidRDefault="00DE33E0" w:rsidP="00DE33E0">
      <w:pPr>
        <w:pStyle w:val="whitespace-normal"/>
        <w:numPr>
          <w:ilvl w:val="2"/>
          <w:numId w:val="8"/>
        </w:numPr>
        <w:spacing w:line="480" w:lineRule="auto"/>
      </w:pPr>
      <w:r>
        <w:t xml:space="preserve">Connect to intro discussion about </w:t>
      </w:r>
      <w:proofErr w:type="gramStart"/>
      <w:r>
        <w:t>this stabilizing downstream dynamics</w:t>
      </w:r>
      <w:proofErr w:type="gramEnd"/>
      <w:r>
        <w:t xml:space="preserve"> + extending timing of fishing opp.</w:t>
      </w:r>
    </w:p>
    <w:p w14:paraId="4C1ED9E9" w14:textId="77777777" w:rsidR="00DE33E0" w:rsidRDefault="00DE33E0" w:rsidP="00DE33E0">
      <w:pPr>
        <w:pStyle w:val="whitespace-normal"/>
        <w:numPr>
          <w:ilvl w:val="0"/>
          <w:numId w:val="8"/>
        </w:numPr>
        <w:spacing w:line="480" w:lineRule="auto"/>
      </w:pPr>
      <w:proofErr w:type="spellStart"/>
      <w:r>
        <w:t>Agnowleding</w:t>
      </w:r>
      <w:proofErr w:type="spellEnd"/>
      <w:r>
        <w:t xml:space="preserve"> limitations and assumptions. </w:t>
      </w:r>
    </w:p>
    <w:p w14:paraId="6208D70D" w14:textId="77777777" w:rsidR="00DE33E0" w:rsidRDefault="00E35FA9" w:rsidP="00DE33E0">
      <w:pPr>
        <w:pStyle w:val="whitespace-normal"/>
        <w:numPr>
          <w:ilvl w:val="1"/>
          <w:numId w:val="8"/>
        </w:numPr>
        <w:spacing w:line="480" w:lineRule="auto"/>
      </w:pPr>
      <w:r w:rsidRPr="00DE33E0">
        <w:rPr>
          <w:rFonts w:ascii="Garamond" w:hAnsi="Garamond"/>
          <w:sz w:val="22"/>
          <w:szCs w:val="22"/>
        </w:rPr>
        <w:t xml:space="preserve">lack of verification </w:t>
      </w:r>
    </w:p>
    <w:p w14:paraId="1E3F1BA0" w14:textId="13B00051" w:rsidR="00E35FA9" w:rsidRPr="00DE33E0" w:rsidRDefault="00E35FA9" w:rsidP="00DE33E0">
      <w:pPr>
        <w:pStyle w:val="whitespace-normal"/>
        <w:numPr>
          <w:ilvl w:val="1"/>
          <w:numId w:val="8"/>
        </w:numPr>
        <w:spacing w:line="480" w:lineRule="auto"/>
      </w:pPr>
      <w:r w:rsidRPr="00DE33E0">
        <w:rPr>
          <w:rFonts w:ascii="Garamond" w:hAnsi="Garamond"/>
          <w:sz w:val="22"/>
          <w:szCs w:val="22"/>
        </w:rPr>
        <w:t xml:space="preserve">Extrapolation of sample size </w:t>
      </w:r>
    </w:p>
    <w:p w14:paraId="0B35ADD7" w14:textId="77777777" w:rsidR="00491C12" w:rsidRDefault="00DE33E0" w:rsidP="00491C12">
      <w:pPr>
        <w:pStyle w:val="whitespace-normal"/>
        <w:numPr>
          <w:ilvl w:val="1"/>
          <w:numId w:val="8"/>
        </w:numPr>
        <w:spacing w:line="480" w:lineRule="auto"/>
      </w:pPr>
      <w:r>
        <w:rPr>
          <w:rFonts w:ascii="Garamond" w:hAnsi="Garamond"/>
          <w:sz w:val="22"/>
          <w:szCs w:val="22"/>
        </w:rPr>
        <w:t xml:space="preserve">Differences in run timing, resulting in </w:t>
      </w:r>
      <w:r w:rsidR="00491C12">
        <w:rPr>
          <w:rFonts w:ascii="Garamond" w:hAnsi="Garamond"/>
          <w:sz w:val="22"/>
          <w:szCs w:val="22"/>
        </w:rPr>
        <w:t xml:space="preserve">inconsistent binning proportions </w:t>
      </w:r>
    </w:p>
    <w:p w14:paraId="6560DF5B" w14:textId="653997BF" w:rsidR="00E35FA9" w:rsidRPr="00491C12" w:rsidRDefault="00E35FA9" w:rsidP="00491C12">
      <w:pPr>
        <w:pStyle w:val="whitespace-normal"/>
        <w:numPr>
          <w:ilvl w:val="1"/>
          <w:numId w:val="8"/>
        </w:numPr>
        <w:spacing w:line="480" w:lineRule="auto"/>
      </w:pPr>
      <w:r w:rsidRPr="00491C12">
        <w:rPr>
          <w:rFonts w:ascii="Garamond" w:hAnsi="Garamond"/>
          <w:sz w:val="22"/>
          <w:szCs w:val="22"/>
        </w:rPr>
        <w:t xml:space="preserve">However, clear and </w:t>
      </w:r>
      <w:proofErr w:type="spellStart"/>
      <w:r w:rsidRPr="00491C12">
        <w:rPr>
          <w:rFonts w:ascii="Garamond" w:hAnsi="Garamond"/>
          <w:sz w:val="22"/>
          <w:szCs w:val="22"/>
        </w:rPr>
        <w:t>consistant</w:t>
      </w:r>
      <w:proofErr w:type="spellEnd"/>
      <w:r w:rsidRPr="00491C12">
        <w:rPr>
          <w:rFonts w:ascii="Garamond" w:hAnsi="Garamond"/>
          <w:sz w:val="22"/>
          <w:szCs w:val="22"/>
        </w:rPr>
        <w:t xml:space="preserve"> patterns follow what we expect based on anecdotal evidence and other studies </w:t>
      </w:r>
      <w:proofErr w:type="spellStart"/>
      <w:r w:rsidR="00491C12">
        <w:rPr>
          <w:rFonts w:ascii="Garamond" w:hAnsi="Garamond"/>
          <w:sz w:val="22"/>
          <w:szCs w:val="22"/>
        </w:rPr>
        <w:t>snd</w:t>
      </w:r>
      <w:proofErr w:type="spellEnd"/>
      <w:r w:rsidR="00491C12">
        <w:rPr>
          <w:rFonts w:ascii="Garamond" w:hAnsi="Garamond"/>
          <w:sz w:val="22"/>
          <w:szCs w:val="22"/>
        </w:rPr>
        <w:t xml:space="preserve"> provides a finer and more complete estimate than is available. </w:t>
      </w:r>
    </w:p>
    <w:p w14:paraId="2C3A4C32" w14:textId="77777777" w:rsidR="00E35FA9" w:rsidRDefault="00E35FA9" w:rsidP="00E35FA9">
      <w:pPr>
        <w:pStyle w:val="whitespace-normal"/>
        <w:spacing w:line="480" w:lineRule="auto"/>
        <w:ind w:left="360"/>
        <w:rPr>
          <w:rFonts w:ascii="Garamond" w:hAnsi="Garamond"/>
          <w:sz w:val="22"/>
          <w:szCs w:val="22"/>
        </w:rPr>
      </w:pPr>
    </w:p>
    <w:p w14:paraId="193DCBEE" w14:textId="326E8A93" w:rsidR="009833DB" w:rsidRDefault="00E35FA9" w:rsidP="00371AC6">
      <w:pPr>
        <w:pStyle w:val="whitespace-normal"/>
        <w:numPr>
          <w:ilvl w:val="0"/>
          <w:numId w:val="8"/>
        </w:numPr>
        <w:spacing w:line="480" w:lineRule="auto"/>
        <w:rPr>
          <w:rFonts w:ascii="Garamond" w:hAnsi="Garamond"/>
          <w:b/>
          <w:bCs/>
          <w:sz w:val="22"/>
          <w:szCs w:val="22"/>
        </w:rPr>
      </w:pPr>
      <w:r w:rsidRPr="00491C12">
        <w:rPr>
          <w:rFonts w:ascii="Garamond" w:hAnsi="Garamond"/>
          <w:b/>
          <w:bCs/>
          <w:sz w:val="22"/>
          <w:szCs w:val="22"/>
        </w:rPr>
        <w:t>Generally, understanding spatial ecology is key to maintaining diversity through harvest and conservation strategies</w:t>
      </w:r>
    </w:p>
    <w:p w14:paraId="651D3A1D" w14:textId="54C8684D" w:rsidR="008D1422" w:rsidRPr="008D1422" w:rsidRDefault="008D1422" w:rsidP="00371AC6">
      <w:pPr>
        <w:pStyle w:val="whitespace-normal"/>
        <w:numPr>
          <w:ilvl w:val="0"/>
          <w:numId w:val="8"/>
        </w:numPr>
        <w:spacing w:line="480" w:lineRule="auto"/>
        <w:rPr>
          <w:rFonts w:ascii="Garamond" w:hAnsi="Garamond"/>
          <w:b/>
          <w:bCs/>
          <w:sz w:val="22"/>
          <w:szCs w:val="22"/>
        </w:rPr>
      </w:pPr>
      <w:r>
        <w:rPr>
          <w:rFonts w:ascii="Garamond" w:hAnsi="Garamond"/>
          <w:b/>
          <w:bCs/>
          <w:sz w:val="22"/>
          <w:szCs w:val="22"/>
        </w:rPr>
        <w:t xml:space="preserve">Thoughts on how to finish this </w:t>
      </w:r>
      <w:proofErr w:type="gramStart"/>
      <w:r>
        <w:rPr>
          <w:rFonts w:ascii="Garamond" w:hAnsi="Garamond"/>
          <w:b/>
          <w:bCs/>
          <w:sz w:val="22"/>
          <w:szCs w:val="22"/>
        </w:rPr>
        <w:t>up?</w:t>
      </w:r>
      <w:proofErr w:type="gramEnd"/>
      <w:r>
        <w:rPr>
          <w:rFonts w:ascii="Garamond" w:hAnsi="Garamond"/>
          <w:b/>
          <w:bCs/>
          <w:sz w:val="22"/>
          <w:szCs w:val="22"/>
        </w:rPr>
        <w:t xml:space="preserve"> </w:t>
      </w:r>
      <w:ins w:id="111" w:author="Daniel Schindler" w:date="2025-07-17T14:47:00Z" w16du:dateUtc="2025-07-17T22:47:00Z">
        <w:r w:rsidR="00816626">
          <w:rPr>
            <w:rFonts w:ascii="Garamond" w:hAnsi="Garamond"/>
            <w:b/>
            <w:bCs/>
            <w:sz w:val="22"/>
            <w:szCs w:val="22"/>
          </w:rPr>
          <w:t xml:space="preserve">Should argue that upriver stocks are most vulnerable to </w:t>
        </w:r>
      </w:ins>
      <w:ins w:id="112" w:author="Daniel Schindler" w:date="2025-07-17T14:48:00Z" w16du:dateUtc="2025-07-17T22:48:00Z">
        <w:r w:rsidR="00816626">
          <w:rPr>
            <w:rFonts w:ascii="Garamond" w:hAnsi="Garamond"/>
            <w:b/>
            <w:bCs/>
            <w:sz w:val="22"/>
            <w:szCs w:val="22"/>
          </w:rPr>
          <w:t>overfishing since they migrate first but also have shorter migration seasons (assuming they do – see note above). Thus, the front end closures are a type of time management that has potential to maintain biocomplex</w:t>
        </w:r>
      </w:ins>
      <w:ins w:id="113" w:author="Daniel Schindler" w:date="2025-07-17T14:49:00Z" w16du:dateUtc="2025-07-17T22:49:00Z">
        <w:r w:rsidR="00816626">
          <w:rPr>
            <w:rFonts w:ascii="Garamond" w:hAnsi="Garamond"/>
            <w:b/>
            <w:bCs/>
            <w:sz w:val="22"/>
            <w:szCs w:val="22"/>
          </w:rPr>
          <w:t>ity of this stock complex.</w:t>
        </w:r>
      </w:ins>
    </w:p>
    <w:sectPr w:rsidR="008D1422" w:rsidRPr="008D1422" w:rsidSect="004712C9">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7-26T11:23:00Z" w:initials="b">
    <w:p w14:paraId="545E12D6" w14:textId="77777777" w:rsidR="000F3B6C" w:rsidRDefault="000F3B6C" w:rsidP="000F3B6C">
      <w:r>
        <w:rPr>
          <w:rStyle w:val="CommentReference"/>
        </w:rPr>
        <w:annotationRef/>
      </w:r>
      <w:r>
        <w:rPr>
          <w:sz w:val="20"/>
          <w:szCs w:val="20"/>
        </w:rPr>
        <w:t xml:space="preserve">Thoughts on others to add? </w:t>
      </w:r>
    </w:p>
  </w:comment>
  <w:comment w:id="1" w:author="Daniel Schindler" w:date="2025-07-17T12:57:00Z" w:initials="DS">
    <w:p w14:paraId="2AD4524E" w14:textId="77777777" w:rsidR="00367B6D" w:rsidRDefault="00367B6D" w:rsidP="00367B6D">
      <w:pPr>
        <w:pStyle w:val="CommentText"/>
      </w:pPr>
      <w:r>
        <w:rPr>
          <w:rStyle w:val="CommentReference"/>
        </w:rPr>
        <w:annotationRef/>
      </w:r>
      <w:r>
        <w:t>Need to reorganize this to broaden scope a bit for J Appl Ecology</w:t>
      </w:r>
    </w:p>
  </w:comment>
  <w:comment w:id="2" w:author="Daniel Schindler" w:date="2025-07-17T13:14:00Z" w:initials="DS">
    <w:p w14:paraId="0DA0C363" w14:textId="77777777" w:rsidR="00313CB8" w:rsidRDefault="00313CB8" w:rsidP="00313CB8">
      <w:pPr>
        <w:pStyle w:val="CommentText"/>
      </w:pPr>
      <w:r>
        <w:rPr>
          <w:rStyle w:val="CommentReference"/>
        </w:rPr>
        <w:annotationRef/>
      </w:r>
      <w:r>
        <w:t>I will come back to this later.</w:t>
      </w:r>
    </w:p>
  </w:comment>
  <w:comment w:id="5" w:author="Daniel Schindler" w:date="2025-06-27T11:54:00Z" w:initials="DS">
    <w:p w14:paraId="75633029" w14:textId="55FEFEE6" w:rsidR="00F552CD" w:rsidRDefault="00F552CD" w:rsidP="00F552CD">
      <w:pPr>
        <w:pStyle w:val="CommentText"/>
      </w:pPr>
      <w:r>
        <w:rPr>
          <w:rStyle w:val="CommentReference"/>
        </w:rPr>
        <w:annotationRef/>
      </w:r>
      <w:r>
        <w:t>We should try to track down that ADF&amp;G tech report that described their telemetry results. Jordan Head was a co-author. Zach Liller would have been as well, I think.</w:t>
      </w:r>
    </w:p>
  </w:comment>
  <w:comment w:id="14" w:author="Benjamin J. Makhlouf" w:date="2025-07-28T07:41:00Z" w:initials="BM">
    <w:p w14:paraId="317DFEBA" w14:textId="77777777" w:rsidR="009C079F" w:rsidRDefault="009C079F" w:rsidP="009C079F">
      <w:pPr>
        <w:pStyle w:val="CommentText"/>
      </w:pPr>
      <w:r>
        <w:rPr>
          <w:rStyle w:val="CommentReference"/>
        </w:rPr>
        <w:annotationRef/>
      </w:r>
      <w:r>
        <w:t xml:space="preserve">Since this is published in french et al., do you think I should not include it as a figure? </w:t>
      </w:r>
    </w:p>
  </w:comment>
  <w:comment w:id="15" w:author="Benjamin J. Makhlouf" w:date="2025-07-28T07:42:00Z" w:initials="BM">
    <w:p w14:paraId="05C4AF8C" w14:textId="77777777" w:rsidR="009C079F" w:rsidRDefault="009C079F" w:rsidP="009C079F">
      <w:pPr>
        <w:pStyle w:val="CommentText"/>
      </w:pPr>
      <w:r>
        <w:rPr>
          <w:rStyle w:val="CommentReference"/>
        </w:rPr>
        <w:annotationRef/>
      </w:r>
      <w:r>
        <w:t xml:space="preserve">This is in one of Sean’s papers but I cannot find it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5E12D6" w15:done="0"/>
  <w15:commentEx w15:paraId="2AD4524E" w15:done="0"/>
  <w15:commentEx w15:paraId="0DA0C363" w15:paraIdParent="2AD4524E" w15:done="0"/>
  <w15:commentEx w15:paraId="75633029" w15:done="0"/>
  <w15:commentEx w15:paraId="317DFEBA" w15:done="0"/>
  <w15:commentEx w15:paraId="05C4AF8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F9D5BC" w16cex:dateUtc="2025-07-26T18:23:00Z"/>
  <w16cex:commentExtensible w16cex:durableId="6C50E346" w16cex:dateUtc="2025-07-17T20:57:00Z"/>
  <w16cex:commentExtensible w16cex:durableId="31A19B43" w16cex:dateUtc="2025-07-17T21:14:00Z"/>
  <w16cex:commentExtensible w16cex:durableId="08B9BEA6" w16cex:dateUtc="2025-06-27T19:54:00Z"/>
  <w16cex:commentExtensible w16cex:durableId="6C95C996" w16cex:dateUtc="2025-07-28T14:41:00Z"/>
  <w16cex:commentExtensible w16cex:durableId="3CAE4ABD" w16cex:dateUtc="2025-07-28T14: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5E12D6" w16cid:durableId="0AF9D5BC"/>
  <w16cid:commentId w16cid:paraId="2AD4524E" w16cid:durableId="6C50E346"/>
  <w16cid:commentId w16cid:paraId="0DA0C363" w16cid:durableId="31A19B43"/>
  <w16cid:commentId w16cid:paraId="75633029" w16cid:durableId="08B9BEA6"/>
  <w16cid:commentId w16cid:paraId="317DFEBA" w16cid:durableId="6C95C996"/>
  <w16cid:commentId w16cid:paraId="05C4AF8C" w16cid:durableId="3CAE4A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0111F" w14:textId="77777777" w:rsidR="007120A5" w:rsidRDefault="007120A5">
      <w:pPr>
        <w:spacing w:after="0" w:line="240" w:lineRule="auto"/>
      </w:pPr>
      <w:r>
        <w:separator/>
      </w:r>
    </w:p>
  </w:endnote>
  <w:endnote w:type="continuationSeparator" w:id="0">
    <w:p w14:paraId="143E1A7F" w14:textId="77777777" w:rsidR="007120A5" w:rsidRDefault="007120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82BDC" w14:textId="77777777" w:rsidR="007120A5" w:rsidRDefault="007120A5">
      <w:pPr>
        <w:spacing w:after="0" w:line="240" w:lineRule="auto"/>
      </w:pPr>
      <w:r>
        <w:separator/>
      </w:r>
    </w:p>
  </w:footnote>
  <w:footnote w:type="continuationSeparator" w:id="0">
    <w:p w14:paraId="73FBF040" w14:textId="77777777" w:rsidR="007120A5" w:rsidRDefault="007120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33E6D"/>
    <w:rsid w:val="00040237"/>
    <w:rsid w:val="00060FEB"/>
    <w:rsid w:val="00085380"/>
    <w:rsid w:val="000854BE"/>
    <w:rsid w:val="000941AF"/>
    <w:rsid w:val="000979CB"/>
    <w:rsid w:val="000B5639"/>
    <w:rsid w:val="000B7514"/>
    <w:rsid w:val="000C384D"/>
    <w:rsid w:val="000F3B6C"/>
    <w:rsid w:val="00103582"/>
    <w:rsid w:val="00120202"/>
    <w:rsid w:val="00131432"/>
    <w:rsid w:val="001419E1"/>
    <w:rsid w:val="0015783A"/>
    <w:rsid w:val="00162958"/>
    <w:rsid w:val="0016395C"/>
    <w:rsid w:val="001679D4"/>
    <w:rsid w:val="00171632"/>
    <w:rsid w:val="001844EB"/>
    <w:rsid w:val="0019169F"/>
    <w:rsid w:val="00197965"/>
    <w:rsid w:val="001F2097"/>
    <w:rsid w:val="0020187E"/>
    <w:rsid w:val="00206F6C"/>
    <w:rsid w:val="002323C1"/>
    <w:rsid w:val="002549E1"/>
    <w:rsid w:val="0025573D"/>
    <w:rsid w:val="002A3FE3"/>
    <w:rsid w:val="002C21B7"/>
    <w:rsid w:val="00306D21"/>
    <w:rsid w:val="00312FC9"/>
    <w:rsid w:val="00313CB8"/>
    <w:rsid w:val="003442B4"/>
    <w:rsid w:val="003508BF"/>
    <w:rsid w:val="00354EC0"/>
    <w:rsid w:val="003642FE"/>
    <w:rsid w:val="00367B6D"/>
    <w:rsid w:val="00371AC6"/>
    <w:rsid w:val="00374558"/>
    <w:rsid w:val="0039598A"/>
    <w:rsid w:val="0039711B"/>
    <w:rsid w:val="00397FF6"/>
    <w:rsid w:val="003A53E2"/>
    <w:rsid w:val="003A58F7"/>
    <w:rsid w:val="003B0A46"/>
    <w:rsid w:val="003D0402"/>
    <w:rsid w:val="00401EE2"/>
    <w:rsid w:val="004025DD"/>
    <w:rsid w:val="00416B2E"/>
    <w:rsid w:val="004261EE"/>
    <w:rsid w:val="00442120"/>
    <w:rsid w:val="00464971"/>
    <w:rsid w:val="004712C9"/>
    <w:rsid w:val="00481088"/>
    <w:rsid w:val="00491C12"/>
    <w:rsid w:val="004A072A"/>
    <w:rsid w:val="004A6CF4"/>
    <w:rsid w:val="004D6874"/>
    <w:rsid w:val="004E3592"/>
    <w:rsid w:val="004F04C2"/>
    <w:rsid w:val="00505979"/>
    <w:rsid w:val="00517577"/>
    <w:rsid w:val="00530411"/>
    <w:rsid w:val="00537343"/>
    <w:rsid w:val="005416E6"/>
    <w:rsid w:val="00557194"/>
    <w:rsid w:val="005805EB"/>
    <w:rsid w:val="005A53C9"/>
    <w:rsid w:val="005B3AB3"/>
    <w:rsid w:val="005C58CB"/>
    <w:rsid w:val="005E6A59"/>
    <w:rsid w:val="005F3448"/>
    <w:rsid w:val="00617B67"/>
    <w:rsid w:val="00625357"/>
    <w:rsid w:val="00631AAA"/>
    <w:rsid w:val="0063694A"/>
    <w:rsid w:val="006617C0"/>
    <w:rsid w:val="006762C3"/>
    <w:rsid w:val="00676513"/>
    <w:rsid w:val="00682611"/>
    <w:rsid w:val="00693A39"/>
    <w:rsid w:val="006B418B"/>
    <w:rsid w:val="006E5473"/>
    <w:rsid w:val="007120A5"/>
    <w:rsid w:val="00717B12"/>
    <w:rsid w:val="007266BC"/>
    <w:rsid w:val="007555A4"/>
    <w:rsid w:val="007561E4"/>
    <w:rsid w:val="0076034D"/>
    <w:rsid w:val="00780305"/>
    <w:rsid w:val="007A1D0A"/>
    <w:rsid w:val="007B17D6"/>
    <w:rsid w:val="007C2267"/>
    <w:rsid w:val="007F4A77"/>
    <w:rsid w:val="00807290"/>
    <w:rsid w:val="00811477"/>
    <w:rsid w:val="00816626"/>
    <w:rsid w:val="00856168"/>
    <w:rsid w:val="00863C27"/>
    <w:rsid w:val="0087708A"/>
    <w:rsid w:val="0088327B"/>
    <w:rsid w:val="008872F5"/>
    <w:rsid w:val="00895FC7"/>
    <w:rsid w:val="008C378F"/>
    <w:rsid w:val="008D1422"/>
    <w:rsid w:val="008E3428"/>
    <w:rsid w:val="00907410"/>
    <w:rsid w:val="009076B8"/>
    <w:rsid w:val="009110AF"/>
    <w:rsid w:val="00932FBC"/>
    <w:rsid w:val="00967DC4"/>
    <w:rsid w:val="009833DB"/>
    <w:rsid w:val="00983880"/>
    <w:rsid w:val="00986BAC"/>
    <w:rsid w:val="009879FD"/>
    <w:rsid w:val="009C079F"/>
    <w:rsid w:val="009C308C"/>
    <w:rsid w:val="009D66DA"/>
    <w:rsid w:val="009F3E36"/>
    <w:rsid w:val="009F7AF2"/>
    <w:rsid w:val="00A06CC6"/>
    <w:rsid w:val="00A13EDE"/>
    <w:rsid w:val="00A26A50"/>
    <w:rsid w:val="00A36D27"/>
    <w:rsid w:val="00A44879"/>
    <w:rsid w:val="00A4712A"/>
    <w:rsid w:val="00AB074C"/>
    <w:rsid w:val="00AD1910"/>
    <w:rsid w:val="00AD484F"/>
    <w:rsid w:val="00AD7B82"/>
    <w:rsid w:val="00B07AE4"/>
    <w:rsid w:val="00B13E93"/>
    <w:rsid w:val="00B30111"/>
    <w:rsid w:val="00B40601"/>
    <w:rsid w:val="00B50583"/>
    <w:rsid w:val="00B74D8D"/>
    <w:rsid w:val="00BB27C2"/>
    <w:rsid w:val="00BB381E"/>
    <w:rsid w:val="00C31CB4"/>
    <w:rsid w:val="00C32D99"/>
    <w:rsid w:val="00C50733"/>
    <w:rsid w:val="00C6603A"/>
    <w:rsid w:val="00C67240"/>
    <w:rsid w:val="00C83BF2"/>
    <w:rsid w:val="00C95028"/>
    <w:rsid w:val="00C9741A"/>
    <w:rsid w:val="00C97C2C"/>
    <w:rsid w:val="00CA262D"/>
    <w:rsid w:val="00CA7EEC"/>
    <w:rsid w:val="00CB3C24"/>
    <w:rsid w:val="00CF03CC"/>
    <w:rsid w:val="00CF45A1"/>
    <w:rsid w:val="00D105F1"/>
    <w:rsid w:val="00D149EB"/>
    <w:rsid w:val="00D30A4B"/>
    <w:rsid w:val="00D53B0E"/>
    <w:rsid w:val="00D625F2"/>
    <w:rsid w:val="00DA7E79"/>
    <w:rsid w:val="00DC75BB"/>
    <w:rsid w:val="00DD0E6E"/>
    <w:rsid w:val="00DE33E0"/>
    <w:rsid w:val="00E212FE"/>
    <w:rsid w:val="00E35FA9"/>
    <w:rsid w:val="00E454BB"/>
    <w:rsid w:val="00E94ABC"/>
    <w:rsid w:val="00EB2EDF"/>
    <w:rsid w:val="00EE5153"/>
    <w:rsid w:val="00EE55A4"/>
    <w:rsid w:val="00EF1756"/>
    <w:rsid w:val="00EF5ED9"/>
    <w:rsid w:val="00EF6581"/>
    <w:rsid w:val="00F06D5A"/>
    <w:rsid w:val="00F335F2"/>
    <w:rsid w:val="00F3538C"/>
    <w:rsid w:val="00F51DB9"/>
    <w:rsid w:val="00F552CD"/>
    <w:rsid w:val="00F55974"/>
    <w:rsid w:val="00FA2074"/>
    <w:rsid w:val="00FA738D"/>
    <w:rsid w:val="00FB33D7"/>
    <w:rsid w:val="00FC42A0"/>
    <w:rsid w:val="00FD6CE5"/>
    <w:rsid w:val="00FE3CBB"/>
    <w:rsid w:val="00FE3D0B"/>
    <w:rsid w:val="00FF1407"/>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164</TotalTime>
  <Pages>12</Pages>
  <Words>17185</Words>
  <Characters>97957</Characters>
  <Application>Microsoft Office Word</Application>
  <DocSecurity>0</DocSecurity>
  <Lines>816</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10</cp:revision>
  <dcterms:created xsi:type="dcterms:W3CDTF">2025-07-26T18:19:00Z</dcterms:created>
  <dcterms:modified xsi:type="dcterms:W3CDTF">2025-07-28T15:05:00Z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id="h4h2qxOD"/&gt;&lt;style id="http://www.zotero.org/styles/journal-of-applied-ecology" hasBibliography="1" bibliographyStyleHasBeenSet="0"/&gt;&lt;prefs&gt;&lt;pref name="fieldType" value="Field"/&gt;&lt;/prefs&gt;&lt;/data&gt;</vt:lpwstr>
  </property>
</Properties>
</file>