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1E8600C0" w14:textId="77777777" w:rsidR="00424DB6" w:rsidRDefault="00424DB6" w:rsidP="004712C9">
      <w:pPr>
        <w:suppressLineNumbers/>
        <w:jc w:val="center"/>
        <w:rPr>
          <w:rFonts w:ascii="Garamond" w:hAnsi="Garamond"/>
          <w:sz w:val="20"/>
          <w:szCs w:val="20"/>
        </w:rPr>
      </w:pPr>
    </w:p>
    <w:p w14:paraId="0C7925DE" w14:textId="3381DEBF"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w:t>
      </w:r>
      <w:r w:rsidR="0024031C">
        <w:rPr>
          <w:rFonts w:ascii="Garamond" w:hAnsi="Garamond"/>
          <w:sz w:val="20"/>
          <w:szCs w:val="20"/>
        </w:rPr>
        <w:t>othy J.</w:t>
      </w:r>
      <w:r w:rsidRPr="0066241A">
        <w:rPr>
          <w:rFonts w:ascii="Garamond" w:hAnsi="Garamond"/>
          <w:sz w:val="20"/>
          <w:szCs w:val="20"/>
        </w:rPr>
        <w:t xml:space="preserve">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75F3761F" w14:textId="092F2BAB" w:rsidR="003717DB" w:rsidRPr="0066241A" w:rsidRDefault="00E61436" w:rsidP="004712C9">
      <w:pPr>
        <w:suppressLineNumbers/>
        <w:rPr>
          <w:rFonts w:ascii="Garamond" w:hAnsi="Garamond"/>
          <w:b/>
          <w:bCs/>
          <w:sz w:val="22"/>
          <w:szCs w:val="22"/>
          <w:u w:val="single"/>
        </w:rPr>
      </w:pPr>
      <w:r>
        <w:rPr>
          <w:rFonts w:ascii="Garamond" w:hAnsi="Garamond"/>
          <w:b/>
          <w:bCs/>
          <w:sz w:val="22"/>
          <w:szCs w:val="22"/>
          <w:u w:val="single"/>
        </w:rPr>
        <w:t>Abstract:</w:t>
      </w:r>
    </w:p>
    <w:p w14:paraId="7006494F" w14:textId="0B8CD836" w:rsidR="003717DB" w:rsidRDefault="0026256C" w:rsidP="00424DB6">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w:t>
      </w:r>
      <w:commentRangeStart w:id="0"/>
      <w:commentRangeEnd w:id="0"/>
      <w:r w:rsidR="0024031C">
        <w:rPr>
          <w:rStyle w:val="CommentReference"/>
        </w:rPr>
        <w:commentReference w:id="0"/>
      </w:r>
      <w:r w:rsidRPr="001018D7">
        <w:rPr>
          <w:rFonts w:ascii="Garamond" w:hAnsi="Garamond"/>
          <w:sz w:val="22"/>
          <w:szCs w:val="22"/>
        </w:rPr>
        <w:t xml:space="preserve">biodiversity. Pacific salmon returning to large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w:t>
      </w:r>
      <w:r w:rsidR="007878C0">
        <w:rPr>
          <w:rFonts w:ascii="Garamond" w:hAnsi="Garamond"/>
          <w:sz w:val="22"/>
          <w:szCs w:val="22"/>
        </w:rPr>
        <w:t>population-</w:t>
      </w:r>
      <w:r w:rsidRPr="001018D7">
        <w:rPr>
          <w:rFonts w:ascii="Garamond" w:hAnsi="Garamond"/>
          <w:sz w:val="22"/>
          <w:szCs w:val="22"/>
        </w:rPr>
        <w:t xml:space="preserve">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00424DB6" w:rsidRPr="001018D7">
        <w:rPr>
          <w:rFonts w:ascii="Garamond" w:hAnsi="Garamond"/>
          <w:sz w:val="22"/>
          <w:szCs w:val="22"/>
        </w:rPr>
        <w:t>observe</w:t>
      </w:r>
      <w:r w:rsidRPr="001018D7">
        <w:rPr>
          <w:rFonts w:ascii="Garamond" w:hAnsi="Garamond"/>
          <w:sz w:val="22"/>
          <w:szCs w:val="22"/>
        </w:rPr>
        <w:t xml:space="preserve"> interannual variability in the magnitude of population contributions and overall run timing. The front-end closure strategy provided disproportionately higher protection to upper watershed stocks</w:t>
      </w:r>
      <w:r w:rsidR="007878C0">
        <w:rPr>
          <w:rFonts w:ascii="Garamond" w:hAnsi="Garamond"/>
          <w:sz w:val="22"/>
          <w:szCs w:val="22"/>
        </w:rPr>
        <w:t xml:space="preserve">. Although </w:t>
      </w:r>
      <w:r w:rsidRPr="001018D7">
        <w:rPr>
          <w:rFonts w:ascii="Garamond" w:hAnsi="Garamond"/>
          <w:sz w:val="22"/>
          <w:szCs w:val="22"/>
        </w:rPr>
        <w:t xml:space="preserve">preserving upstream population diversity </w:t>
      </w:r>
      <w:r w:rsidR="007878C0">
        <w:rPr>
          <w:rFonts w:ascii="Garamond" w:hAnsi="Garamond"/>
          <w:sz w:val="22"/>
          <w:szCs w:val="22"/>
        </w:rPr>
        <w:t xml:space="preserve">may help </w:t>
      </w:r>
      <w:r w:rsidRPr="001018D7">
        <w:rPr>
          <w:rFonts w:ascii="Garamond" w:hAnsi="Garamond"/>
          <w:sz w:val="22"/>
          <w:szCs w:val="22"/>
        </w:rPr>
        <w:t>stabilizing basin-wide fishery dynamics</w:t>
      </w:r>
      <w:r w:rsidR="007878C0">
        <w:rPr>
          <w:rFonts w:ascii="Garamond" w:hAnsi="Garamond"/>
          <w:sz w:val="22"/>
          <w:szCs w:val="22"/>
        </w:rPr>
        <w:t xml:space="preserve">, the effect on overall basin-wide biodiversity depends on the interaction between run dynamics and harvest strategies on later returning stocks.  </w:t>
      </w:r>
    </w:p>
    <w:p w14:paraId="493050FD" w14:textId="77777777" w:rsidR="00C013DD" w:rsidRDefault="00C013DD" w:rsidP="00424DB6">
      <w:pPr>
        <w:suppressLineNumbers/>
        <w:spacing w:line="480" w:lineRule="auto"/>
        <w:ind w:firstLine="720"/>
        <w:rPr>
          <w:rFonts w:ascii="Garamond" w:hAnsi="Garamond"/>
          <w:sz w:val="22"/>
          <w:szCs w:val="22"/>
        </w:rPr>
      </w:pPr>
    </w:p>
    <w:p w14:paraId="31631E8F" w14:textId="77777777" w:rsidR="00C013DD" w:rsidRDefault="00C013DD" w:rsidP="00424DB6">
      <w:pPr>
        <w:suppressLineNumbers/>
        <w:spacing w:line="480" w:lineRule="auto"/>
        <w:ind w:firstLine="720"/>
        <w:rPr>
          <w:rFonts w:ascii="Garamond" w:hAnsi="Garamond"/>
          <w:sz w:val="22"/>
          <w:szCs w:val="22"/>
        </w:rPr>
      </w:pPr>
    </w:p>
    <w:p w14:paraId="0807D546" w14:textId="77777777" w:rsidR="00424DB6" w:rsidRPr="00424DB6" w:rsidRDefault="00424DB6" w:rsidP="00424DB6">
      <w:pPr>
        <w:suppressLineNumbers/>
        <w:spacing w:line="480" w:lineRule="auto"/>
        <w:ind w:firstLine="720"/>
        <w:rPr>
          <w:rFonts w:ascii="Garamond" w:hAnsi="Garamond"/>
          <w:sz w:val="22"/>
          <w:szCs w:val="22"/>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Introduction: </w:t>
      </w:r>
      <w:r w:rsidRPr="006D1917">
        <w:rPr>
          <w:rFonts w:ascii="Garamond" w:hAnsi="Garamond"/>
          <w:sz w:val="22"/>
          <w:szCs w:val="22"/>
        </w:rPr>
        <w:t xml:space="preserve"> </w:t>
      </w:r>
    </w:p>
    <w:p w14:paraId="6DA4DC8E" w14:textId="5651D983" w:rsidR="00D86CD4" w:rsidRPr="007F098D" w:rsidRDefault="00AD4BE1" w:rsidP="00946A92">
      <w:pPr>
        <w:spacing w:line="480" w:lineRule="auto"/>
        <w:ind w:firstLine="720"/>
        <w:rPr>
          <w:rFonts w:ascii="Garamond" w:hAnsi="Garamond"/>
        </w:rPr>
      </w:pPr>
      <w:r w:rsidRPr="007F098D">
        <w:rPr>
          <w:rFonts w:ascii="Garamond" w:hAnsi="Garamond"/>
        </w:rPr>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F1425A">
        <w:rPr>
          <w:rFonts w:ascii="Garamond" w:hAnsi="Garamond"/>
        </w:rPr>
        <w:t>bio</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r w:rsidR="00B01FE3" w:rsidRPr="007F098D">
        <w:rPr>
          <w:rFonts w:ascii="Garamond" w:hAnsi="Garamond"/>
        </w:rPr>
        <w:fldChar w:fldCharType="begin"/>
      </w:r>
      <w:r w:rsidR="007F7231">
        <w:rPr>
          <w:rFonts w:ascii="Garamond" w:hAnsi="Garamond"/>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sidR="00B01FE3" w:rsidRPr="007F098D">
        <w:rPr>
          <w:rFonts w:ascii="Garamond" w:hAnsi="Garamond"/>
        </w:rPr>
        <w:fldChar w:fldCharType="separate"/>
      </w:r>
      <w:r w:rsidR="007F7231">
        <w:rPr>
          <w:rFonts w:ascii="Garamond" w:hAnsi="Garamond"/>
          <w:noProof/>
        </w:rPr>
        <w:t>(Cline et al., 2017; Schindler et al., 2015; Tilman et al., 2005)</w:t>
      </w:r>
      <w:r w:rsidR="00B01FE3" w:rsidRPr="007F098D">
        <w:rPr>
          <w:rFonts w:ascii="Garamond" w:hAnsi="Garamond"/>
        </w:rPr>
        <w:fldChar w:fldCharType="end"/>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41FF419F" w:rsidR="00ED2A48" w:rsidRPr="007F098D" w:rsidRDefault="009F6624" w:rsidP="007F7231">
      <w:pPr>
        <w:spacing w:line="480" w:lineRule="auto"/>
        <w:ind w:firstLine="720"/>
        <w:rPr>
          <w:rFonts w:ascii="Garamond" w:hAnsi="Garamond"/>
        </w:rPr>
      </w:pPr>
      <w:r w:rsidRPr="007F098D">
        <w:rPr>
          <w:rFonts w:ascii="Garamond" w:hAnsi="Garamond"/>
        </w:rPr>
        <w:t>Pacific salmon</w:t>
      </w:r>
      <w:r w:rsidR="00B60D7F">
        <w:rPr>
          <w:rFonts w:ascii="Garamond" w:hAnsi="Garamond"/>
        </w:rPr>
        <w:t xml:space="preserve"> (</w:t>
      </w:r>
      <w:r w:rsidR="00B60D7F" w:rsidRPr="007F7231">
        <w:rPr>
          <w:rFonts w:ascii="Garamond" w:hAnsi="Garamond"/>
          <w:i/>
          <w:iCs/>
        </w:rPr>
        <w:t>Oncorhynchus spp.)</w:t>
      </w:r>
      <w:r w:rsidRPr="007F098D">
        <w:rPr>
          <w:rFonts w:ascii="Garamond" w:hAnsi="Garamond"/>
        </w:rPr>
        <w:t xml:space="preserve"> returning to </w:t>
      </w:r>
      <w:r w:rsidR="007F7231">
        <w:rPr>
          <w:rFonts w:ascii="Garamond" w:hAnsi="Garamond"/>
        </w:rPr>
        <w:t xml:space="preserve">their natal </w:t>
      </w:r>
      <w:r w:rsidRPr="007F098D">
        <w:rPr>
          <w:rFonts w:ascii="Garamond" w:hAnsi="Garamond"/>
        </w:rPr>
        <w:t>watersheds</w:t>
      </w:r>
      <w:r w:rsidR="0047513B" w:rsidRPr="007F098D">
        <w:rPr>
          <w:rFonts w:ascii="Garamond" w:hAnsi="Garamond"/>
        </w:rPr>
        <w:t xml:space="preserve"> exhibit significant diversity in run timing and spatial distribution across large</w:t>
      </w:r>
      <w:r w:rsidRPr="007F098D">
        <w:rPr>
          <w:rFonts w:ascii="Garamond" w:hAnsi="Garamond"/>
        </w:rPr>
        <w:t xml:space="preserve"> and</w:t>
      </w:r>
      <w:r w:rsidR="0047513B" w:rsidRPr="007F098D">
        <w:rPr>
          <w:rFonts w:ascii="Garamond" w:hAnsi="Garamond"/>
        </w:rPr>
        <w:t xml:space="preserve"> complex</w:t>
      </w:r>
      <w:r w:rsidRPr="007F098D">
        <w:rPr>
          <w:rFonts w:ascii="Garamond" w:hAnsi="Garamond"/>
        </w:rPr>
        <w:t xml:space="preserve"> </w:t>
      </w:r>
      <w:r w:rsidR="0047513B" w:rsidRPr="007F098D">
        <w:rPr>
          <w:rFonts w:ascii="Garamond" w:hAnsi="Garamond"/>
        </w:rPr>
        <w:t>river systems</w:t>
      </w:r>
      <w:r w:rsidR="007E1736">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E1736">
        <w:rPr>
          <w:rFonts w:ascii="Garamond" w:hAnsi="Garamond"/>
        </w:rPr>
        <w:fldChar w:fldCharType="separate"/>
      </w:r>
      <w:r w:rsidR="007E1736">
        <w:rPr>
          <w:rFonts w:ascii="Garamond" w:hAnsi="Garamond"/>
          <w:noProof/>
        </w:rPr>
        <w:t>(Griffiths et al., 2014; Nesbitt &amp; Moore, 2016; Schindler et al., 2010)</w:t>
      </w:r>
      <w:r w:rsidR="007E1736">
        <w:rPr>
          <w:rFonts w:ascii="Garamond" w:hAnsi="Garamond"/>
        </w:rPr>
        <w:fldChar w:fldCharType="end"/>
      </w:r>
      <w:r w:rsidR="007E1736">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stocks </w:t>
      </w:r>
      <w:r w:rsidR="005078D8" w:rsidRPr="007F098D">
        <w:rPr>
          <w:rFonts w:ascii="Garamond" w:hAnsi="Garamond"/>
        </w:rPr>
        <w:t xml:space="preserve">which vary in their relative </w:t>
      </w:r>
      <w:r w:rsidR="00F1425A">
        <w:rPr>
          <w:rFonts w:ascii="Garamond" w:hAnsi="Garamond"/>
        </w:rPr>
        <w:t>abundance and life-history</w:t>
      </w:r>
      <w:r w:rsidR="00D86CD4" w:rsidRPr="007F098D">
        <w:rPr>
          <w:rFonts w:ascii="Garamond" w:hAnsi="Garamond"/>
        </w:rPr>
        <w:t>,</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7F7231">
        <w:rPr>
          <w:rFonts w:ascii="Garamond" w:hAnsi="Garamond"/>
        </w:rPr>
        <w:t>This, combined with temporal variation in harvest pressures, risks overexploitation of vulnerable stocks which co-migrate with more robust ones for downstream fisheries that harvest on migrating fish</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 xml:space="preserve">The timing, </w:t>
      </w:r>
      <w:r w:rsidR="007F7231">
        <w:rPr>
          <w:rFonts w:ascii="Garamond" w:hAnsi="Garamond"/>
        </w:rPr>
        <w:t>yield</w:t>
      </w:r>
      <w:r w:rsidR="00ED2A48" w:rsidRPr="007F098D">
        <w:rPr>
          <w:rFonts w:ascii="Garamond" w:hAnsi="Garamond"/>
        </w:rPr>
        <w:t>,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result of the aggregate dynamics of upstream stock components</w:t>
      </w:r>
      <w:r w:rsidR="007F7231">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{"citationID":"cRw1bfjv","properties":{"formattedCitation":"(Nesbitt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7E1736">
        <w:rPr>
          <w:rFonts w:ascii="Garamond" w:hAnsi="Garamond"/>
        </w:rPr>
        <w:fldChar w:fldCharType="separate"/>
      </w:r>
      <w:r w:rsidR="007E1736">
        <w:rPr>
          <w:rFonts w:ascii="Garamond" w:hAnsi="Garamond"/>
          <w:noProof/>
        </w:rPr>
        <w:t>(Nesbitt &amp; Moore, 2016)</w:t>
      </w:r>
      <w:r w:rsidR="007E1736">
        <w:rPr>
          <w:rFonts w:ascii="Garamond" w:hAnsi="Garamond"/>
        </w:rPr>
        <w:fldChar w:fldCharType="end"/>
      </w:r>
      <w:r w:rsidR="007E1736">
        <w:rPr>
          <w:rFonts w:ascii="Garamond" w:hAnsi="Garamond"/>
        </w:rPr>
        <w:t xml:space="preserve">. </w:t>
      </w:r>
      <w:r w:rsidR="00D36A10" w:rsidRPr="007F098D">
        <w:rPr>
          <w:rFonts w:ascii="Garamond" w:hAnsi="Garamond"/>
        </w:rPr>
        <w:t>Maintaining life history diversity across the full stock complex stabilizes downstream resources by distributing risk across several loosely or negatively correlated populations</w:t>
      </w:r>
      <w:ins w:id="1" w:author="Cline, Timothy" w:date="2025-10-06T14:05:00Z" w16du:dateUtc="2025-10-06T20:05:00Z">
        <w:r w:rsidR="00F1425A">
          <w:rPr>
            <w:rFonts w:ascii="Garamond" w:hAnsi="Garamond"/>
          </w:rPr>
          <w:t xml:space="preserve"> </w:t>
        </w:r>
      </w:ins>
      <w:r w:rsidR="007F7231">
        <w:rPr>
          <w:rFonts w:ascii="Garamond" w:hAnsi="Garamond"/>
        </w:rPr>
        <w:t xml:space="preserve"> </w:t>
      </w:r>
      <w:r w:rsidR="007F7231">
        <w:rPr>
          <w:rFonts w:ascii="Garamond" w:hAnsi="Garamond"/>
        </w:rPr>
        <w:fldChar w:fldCharType="begin"/>
      </w:r>
      <w:r w:rsidR="007F7231">
        <w:rPr>
          <w:rFonts w:ascii="Garamond" w:hAnsi="Garamond"/>
        </w:rPr>
        <w:instrText xml:space="preserve"> ADDIN ZOTERO_ITEM CSL_CITATION {"citationID":"aEWVIhOb","properties":{"formattedCitation":"(Schindler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F7231">
        <w:rPr>
          <w:rFonts w:ascii="Garamond" w:hAnsi="Garamond"/>
        </w:rPr>
        <w:fldChar w:fldCharType="separate"/>
      </w:r>
      <w:r w:rsidR="007F7231">
        <w:rPr>
          <w:rFonts w:ascii="Garamond" w:hAnsi="Garamond"/>
          <w:noProof/>
        </w:rPr>
        <w:t>(Schindler et al., 2010)</w:t>
      </w:r>
      <w:r w:rsidR="007F7231">
        <w:rPr>
          <w:rFonts w:ascii="Garamond" w:hAnsi="Garamond"/>
        </w:rPr>
        <w:fldChar w:fldCharType="end"/>
      </w:r>
      <w:r w:rsidR="007F7231">
        <w:rPr>
          <w:rFonts w:ascii="Garamond" w:hAnsi="Garamond"/>
        </w:rPr>
        <w:t>.</w:t>
      </w:r>
      <w:r w:rsidR="00D36A10" w:rsidRPr="007F098D">
        <w:rPr>
          <w:rFonts w:ascii="Garamond" w:hAnsi="Garamond"/>
        </w:rPr>
        <w:t xml:space="preserve"> </w:t>
      </w:r>
      <w:commentRangeStart w:id="2"/>
      <w:commentRangeStart w:id="3"/>
      <w:r w:rsidR="00C1704A" w:rsidRPr="007F098D">
        <w:rPr>
          <w:rFonts w:ascii="Garamond" w:hAnsi="Garamond"/>
        </w:rPr>
        <w:t xml:space="preserve">Moreover, maximizing diversity </w:t>
      </w:r>
      <w:r w:rsidR="00C1704A" w:rsidRPr="007F098D">
        <w:rPr>
          <w:rFonts w:ascii="Garamond" w:hAnsi="Garamond"/>
        </w:rPr>
        <w:lastRenderedPageBreak/>
        <w:t>in run timing may extend fishing opportunities by allowing harvest of multiple stock components migrating at different times.</w:t>
      </w:r>
      <w:commentRangeEnd w:id="2"/>
      <w:r w:rsidR="00B60D7F">
        <w:rPr>
          <w:rStyle w:val="CommentReference"/>
        </w:rPr>
        <w:commentReference w:id="2"/>
      </w:r>
      <w:commentRangeEnd w:id="3"/>
      <w:r w:rsidR="007F7231">
        <w:rPr>
          <w:rStyle w:val="CommentReference"/>
        </w:rPr>
        <w:commentReference w:id="3"/>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E1736">
        <w:rPr>
          <w:rFonts w:ascii="Garamond" w:hAnsi="Garamond"/>
        </w:rPr>
        <w:t xml:space="preserve">(Clark et al., 2018; </w:t>
      </w:r>
      <w:proofErr w:type="spellStart"/>
      <w:r w:rsidR="002811E4" w:rsidRPr="007E1736">
        <w:rPr>
          <w:rFonts w:ascii="Garamond" w:hAnsi="Garamond"/>
        </w:rPr>
        <w:t>Esquible</w:t>
      </w:r>
      <w:proofErr w:type="spellEnd"/>
      <w:r w:rsidR="002811E4" w:rsidRPr="007E1736">
        <w:rPr>
          <w:rFonts w:ascii="Garamond" w:hAnsi="Garamond"/>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E1736">
        <w:rPr>
          <w:rFonts w:ascii="Garamond" w:hAnsi="Garamond"/>
        </w:rPr>
        <w:t>(</w:t>
      </w:r>
      <w:proofErr w:type="spellStart"/>
      <w:r w:rsidR="007F35F9" w:rsidRPr="007E1736">
        <w:rPr>
          <w:rFonts w:ascii="Garamond" w:hAnsi="Garamond"/>
        </w:rPr>
        <w:t>Esquible</w:t>
      </w:r>
      <w:proofErr w:type="spellEnd"/>
      <w:r w:rsidR="007F35F9" w:rsidRPr="007E1736">
        <w:rPr>
          <w:rFonts w:ascii="Garamond" w:hAnsi="Garamond"/>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180C73BC"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w:t>
      </w:r>
      <w:commentRangeStart w:id="4"/>
      <w:r w:rsidR="00044401" w:rsidRPr="007F098D">
        <w:rPr>
          <w:rFonts w:ascii="Garamond" w:hAnsi="Garamond"/>
        </w:rPr>
        <w:t xml:space="preserve">river </w:t>
      </w:r>
      <w:commentRangeEnd w:id="4"/>
      <w:r w:rsidR="004F4EF3">
        <w:rPr>
          <w:rStyle w:val="CommentReference"/>
        </w:rPr>
        <w:commentReference w:id="4"/>
      </w:r>
      <w:r w:rsidR="00044401" w:rsidRPr="007F098D">
        <w:rPr>
          <w:rFonts w:ascii="Garamond" w:hAnsi="Garamond"/>
        </w:rPr>
        <w:t xml:space="preserve">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E1736">
        <w:rPr>
          <w:rFonts w:ascii="Garamond" w:hAnsi="Garamond"/>
        </w:rPr>
        <w:fldChar w:fldCharType="begin"/>
      </w:r>
      <w:r w:rsidR="007E1736">
        <w:rPr>
          <w:rFonts w:ascii="Garamond" w:hAnsi="Garamond"/>
        </w:rPr>
        <w:instrText xml:space="preserve"> ADDIN ZOTERO_ITEM CSL_CITATION {"citationID":"DfGnnmMb","properties":{"formattedCitation":"(Clark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7E1736">
        <w:rPr>
          <w:rFonts w:ascii="Cambria Math" w:hAnsi="Cambria Math" w:cs="Cambria Math"/>
        </w:rPr>
        <w:instrText>‐</w:instrText>
      </w:r>
      <w:r w:rsidR="007E1736">
        <w:rPr>
          <w:rFonts w:ascii="Garamond" w:hAnsi="Garamond"/>
        </w:rPr>
        <w:instrText>wide effects of body size, sex, spawning location, and year on the timing of spawning</w:instrText>
      </w:r>
      <w:r w:rsidR="007E1736">
        <w:rPr>
          <w:rFonts w:ascii="Cambria Math" w:hAnsi="Cambria Math" w:cs="Cambria Math"/>
        </w:rPr>
        <w:instrText>‐</w:instrText>
      </w:r>
      <w:r w:rsidR="007E1736">
        <w:rPr>
          <w:rFonts w:ascii="Garamond" w:hAnsi="Garamond"/>
        </w:rPr>
        <w:instrText>run migration into the Togiak River. Migration data and spawning fate were collected using radiotelemetry and analyzed with mixed effects models to account for among</w:instrText>
      </w:r>
      <w:r w:rsidR="007E1736">
        <w:rPr>
          <w:rFonts w:ascii="Cambria Math" w:hAnsi="Cambria Math" w:cs="Cambria Math"/>
        </w:rPr>
        <w:instrText>‐</w:instrText>
      </w:r>
      <w:r w:rsidR="007E1736">
        <w:rPr>
          <w:rFonts w:ascii="Garamond" w:hAnsi="Garamond"/>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7E1736">
        <w:rPr>
          <w:rFonts w:ascii="Garamond" w:hAnsi="Garamond"/>
        </w:rPr>
        <w:fldChar w:fldCharType="separate"/>
      </w:r>
      <w:r w:rsidR="007E1736">
        <w:rPr>
          <w:rFonts w:ascii="Garamond" w:hAnsi="Garamond"/>
          <w:noProof/>
        </w:rPr>
        <w:t>(Clark et al., 2015)</w:t>
      </w:r>
      <w:r w:rsidR="007E1736">
        <w:rPr>
          <w:rFonts w:ascii="Garamond" w:hAnsi="Garamond"/>
        </w:rPr>
        <w:fldChar w:fldCharType="end"/>
      </w:r>
      <w:r w:rsidR="007E1736">
        <w:rPr>
          <w:rFonts w:ascii="Garamond" w:hAnsi="Garamond"/>
        </w:rPr>
        <w:t xml:space="preserve">, </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w:t>
      </w:r>
      <w:r w:rsidR="007E1736">
        <w:rPr>
          <w:rFonts w:ascii="Garamond" w:hAnsi="Garamond"/>
          <w:highlight w:val="yellow"/>
        </w:rPr>
        <w:t>Cite</w:t>
      </w:r>
      <w:r w:rsidR="007D2894" w:rsidRPr="007F098D">
        <w:rPr>
          <w:rFonts w:ascii="Garamond" w:hAnsi="Garamond"/>
          <w:highlight w:val="yellow"/>
        </w:rPr>
        <w:t>)</w:t>
      </w:r>
      <w:r w:rsidR="007E1736">
        <w:rPr>
          <w:rFonts w:ascii="Garamond" w:hAnsi="Garamond"/>
        </w:rPr>
        <w:t>,</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w:t>
      </w:r>
      <w:r w:rsidR="007D2894" w:rsidRPr="007F098D">
        <w:rPr>
          <w:rFonts w:ascii="Garamond" w:hAnsi="Garamond"/>
        </w:rPr>
        <w:lastRenderedPageBreak/>
        <w:t xml:space="preserve">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(Lipka &amp; Elison, 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w:t>
      </w:r>
      <w:r w:rsidR="00DD0E6E" w:rsidRPr="00EE2480">
        <w:rPr>
          <w:rFonts w:ascii="Garamond" w:eastAsia="Times New Roman" w:hAnsi="Garamond" w:cs="Times New Roman"/>
          <w:kern w:val="0"/>
          <w14:ligatures w14:val="none"/>
        </w:rPr>
        <w:lastRenderedPageBreak/>
        <w:t xml:space="preserve">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642B38BC"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7F7231">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2002)","dontUpdate":true,"noteIndex":0},"citationItems":[{"id":"nV8iF8Vg/ZEY3S9Np","uris":["http://zotero.org/users/8421274/items/IY3FLHLM"],"itemData":{"id":915,"type":"article-journal","abstract":"Strontium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7F7231">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1998)","noteIndex":0},"citationItems":[{"id":"nV8iF8Vg/ZEY3S9Np","uris":["http://zotero.org/users/8421274/items/IY3FLHLM"],"itemData":{"id":"dI01jIsp/qEdWN4pU","type":"article-journal","abstract":"Strontium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18B3B9A0"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(Figure 1)</w:t>
      </w:r>
      <w:r w:rsidR="00AB074C"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7E1736">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To prevent over-assignment to tributaries with exceptionally 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w:t>
      </w:r>
      <w:r w:rsidR="009F3E36" w:rsidRPr="00EE2480">
        <w:rPr>
          <w:rFonts w:ascii="Garamond" w:hAnsi="Garamond" w:cs="Times New Roman"/>
        </w:rPr>
        <w:lastRenderedPageBreak/>
        <w:t xml:space="preserve">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 xml:space="preserve">almon’s known </w:t>
      </w:r>
      <w:r w:rsidRPr="00EE2480">
        <w:rPr>
          <w:rFonts w:ascii="Garamond" w:hAnsi="Garamond"/>
        </w:rPr>
        <w:lastRenderedPageBreak/>
        <w:t>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 xml:space="preserve">Second, a habitat suitability prior (PHabitat)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(Makhlouf et al., 2025)</w:t>
      </w:r>
      <w:r w:rsidR="00EF730C" w:rsidRPr="00EE2480">
        <w:rPr>
          <w:rFonts w:ascii="Garamond" w:eastAsia="Times New Roman" w:hAnsi="Garamond" w:cs="Times New Roman"/>
          <w:kern w:val="0"/>
          <w14:ligatures w14:val="none"/>
        </w:rPr>
        <w:fldChar w:fldCharType="end"/>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 xml:space="preserve">From these tributaries, reaches identified as </w:t>
      </w:r>
      <w:r w:rsidR="00983880" w:rsidRPr="00EE2480">
        <w:rPr>
          <w:rFonts w:ascii="Garamond" w:eastAsia="Times New Roman" w:hAnsi="Garamond" w:cs="Times New Roman"/>
          <w:kern w:val="0"/>
          <w14:ligatures w14:val="none"/>
        </w:rPr>
        <w:t xml:space="preserve">consistently </w:t>
      </w:r>
      <w:r w:rsidRPr="00EE2480">
        <w:rPr>
          <w:rFonts w:ascii="Garamond" w:eastAsia="Times New Roman" w:hAnsi="Garamond" w:cs="Times New Roman"/>
          <w:kern w:val="0"/>
          <w14:ligatures w14:val="none"/>
        </w:rPr>
        <w:t>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r w:rsidR="0015783A" w:rsidRPr="00EE2480">
        <w:rPr>
          <w:rFonts w:ascii="Garamond" w:hAnsi="Garamond"/>
        </w:rPr>
        <w:t xml:space="preserve"> </w:t>
      </w:r>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6E76BE97" w:rsidR="00E352BB" w:rsidRPr="00EE2480" w:rsidRDefault="000C429D" w:rsidP="00EE2480">
      <w:pPr>
        <w:spacing w:line="480" w:lineRule="auto"/>
        <w:ind w:firstLine="720"/>
        <w:rPr>
          <w:rFonts w:ascii="Garamond" w:hAnsi="Garamond"/>
        </w:rPr>
      </w:pPr>
      <w:r w:rsidRPr="00EE2480">
        <w:rPr>
          <w:rFonts w:ascii="Garamond" w:hAnsi="Garamond"/>
        </w:rPr>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lastRenderedPageBreak/>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r w:rsidR="00401EE2" w:rsidRPr="00EE2480">
        <w:rPr>
          <w:rFonts w:ascii="Garamond" w:hAnsi="Garamond"/>
        </w:rPr>
        <w:t>(Liller reference?)</w:t>
      </w:r>
      <w:r w:rsidR="007F747D" w:rsidRPr="00EE2480">
        <w:rPr>
          <w:rStyle w:val="CommentReference"/>
          <w:rFonts w:ascii="Garamond" w:hAnsi="Garamond"/>
          <w:sz w:val="24"/>
          <w:szCs w:val="24"/>
        </w:rPr>
        <w:t>. 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E352BB" w:rsidRPr="00EE2480">
        <w:rPr>
          <w:rStyle w:val="CommentReference"/>
          <w:rFonts w:ascii="Garamond" w:hAnsi="Garamond"/>
          <w:sz w:val="24"/>
          <w:szCs w:val="24"/>
        </w:rPr>
        <w:t xml:space="preserve">groups </w:t>
      </w:r>
      <w:r w:rsidR="009E68C7" w:rsidRPr="00EE2480">
        <w:rPr>
          <w:rStyle w:val="CommentReference"/>
          <w:rFonts w:ascii="Garamond" w:hAnsi="Garamond"/>
          <w:sz w:val="24"/>
          <w:szCs w:val="24"/>
        </w:rPr>
        <w:t xml:space="preserve">of comparable size and spatial relevance to ensure complete basin coverage.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7B889A86"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proofErr w:type="gramStart"/>
      <w:r w:rsidR="005F27E4" w:rsidRPr="00E26D9D">
        <w:rPr>
          <w:rFonts w:ascii="Garamond" w:hAnsi="Garamond" w:cs="Times New Roman"/>
        </w:rPr>
        <w:t>3 day</w:t>
      </w:r>
      <w:proofErr w:type="gramEnd"/>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77264AD" w14:textId="77777777" w:rsidR="00424DB6" w:rsidRDefault="00424DB6" w:rsidP="004A0003">
      <w:pPr>
        <w:spacing w:line="480" w:lineRule="auto"/>
        <w:rPr>
          <w:rFonts w:ascii="Garamond" w:hAnsi="Garamond"/>
          <w:b/>
          <w:bCs/>
          <w:sz w:val="32"/>
          <w:szCs w:val="32"/>
        </w:rPr>
      </w:pPr>
    </w:p>
    <w:p w14:paraId="1B967039" w14:textId="5E0E6F18"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Late season returns (July 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w:t>
      </w:r>
      <w:r w:rsidR="002D12FE" w:rsidRPr="005463B2">
        <w:rPr>
          <w:rFonts w:ascii="Garamond" w:hAnsi="Garamond"/>
        </w:rPr>
        <w:lastRenderedPageBreak/>
        <w:t xml:space="preserve">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the 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E4673EF" w:rsidR="00EE1A96" w:rsidRPr="005463B2" w:rsidRDefault="00536536" w:rsidP="009D3148">
      <w:pPr>
        <w:pStyle w:val="whitespace-normal"/>
        <w:spacing w:line="480" w:lineRule="auto"/>
        <w:ind w:firstLine="720"/>
        <w:rPr>
          <w:rFonts w:ascii="Garamond" w:hAnsi="Garamond"/>
        </w:rPr>
      </w:pPr>
      <w:r w:rsidRPr="005463B2">
        <w:rPr>
          <w:rFonts w:ascii="Garamond" w:hAnsi="Garamond"/>
        </w:rPr>
        <w:t xml:space="preserve">Cumulative distribution plots </w:t>
      </w:r>
      <w:r w:rsidR="006D6AEE" w:rsidRPr="005463B2">
        <w:rPr>
          <w:rFonts w:ascii="Garamond" w:hAnsi="Garamond"/>
        </w:rPr>
        <w:t xml:space="preserve">(Figure 4) </w:t>
      </w:r>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635D073"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w:t>
      </w:r>
      <w:r w:rsidR="00470C70" w:rsidRPr="005463B2">
        <w:rPr>
          <w:rFonts w:ascii="Garamond" w:hAnsi="Garamond"/>
        </w:rPr>
        <w:lastRenderedPageBreak/>
        <w:t>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Stocks positioned lower in the watershed received less protection due to their late</w:t>
      </w:r>
      <w:r w:rsidR="004F324B" w:rsidRPr="005463B2">
        <w:rPr>
          <w:rFonts w:ascii="Garamond" w:hAnsi="Garamond"/>
        </w:rPr>
        <w:t>r</w:t>
      </w:r>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6E067599"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w:t>
      </w:r>
      <w:ins w:id="5" w:author="Cline, Timothy" w:date="2025-10-08T10:18:00Z" w16du:dateUtc="2025-10-08T16:18:00Z">
        <w:r w:rsidR="00BA369C">
          <w:rPr>
            <w:rFonts w:ascii="Garamond" w:hAnsi="Garamond"/>
          </w:rPr>
          <w:t>consistency</w:t>
        </w:r>
        <w:r w:rsidR="00BA369C" w:rsidRPr="003F1234">
          <w:rPr>
            <w:rFonts w:ascii="Garamond" w:hAnsi="Garamond"/>
          </w:rPr>
          <w:t xml:space="preserve"> </w:t>
        </w:r>
      </w:ins>
      <w:r w:rsidRPr="003F1234">
        <w:rPr>
          <w:rFonts w:ascii="Garamond" w:hAnsi="Garamond"/>
        </w:rPr>
        <w:t xml:space="preserve">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{"citationID":"IspQSUXO","properties":{"formattedCitation":"(Brennan, Schindler, et al., 2019)","plainCitation":"(Brennan, Schindler,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7E1736">
        <w:rPr>
          <w:rFonts w:ascii="Garamond" w:hAnsi="Garamond"/>
        </w:rPr>
        <w:fldChar w:fldCharType="separate"/>
      </w:r>
      <w:r w:rsidR="007E1736">
        <w:rPr>
          <w:rFonts w:ascii="Garamond" w:hAnsi="Garamond"/>
          <w:noProof/>
        </w:rPr>
        <w:t>(Brennan, Schindler, et al., 2019)</w:t>
      </w:r>
      <w:r w:rsidR="007E1736">
        <w:rPr>
          <w:rFonts w:ascii="Garamond" w:hAnsi="Garamond"/>
        </w:rPr>
        <w:fldChar w:fldCharType="end"/>
      </w:r>
      <w:r w:rsidR="007E1736">
        <w:rPr>
          <w:rFonts w:ascii="Garamond" w:hAnsi="Garamond"/>
        </w:rPr>
        <w:t xml:space="preserve">. </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lastRenderedPageBreak/>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3436253A" w:rsidR="003F1234" w:rsidRPr="003F1234" w:rsidRDefault="003F1234" w:rsidP="00CC7CEE">
      <w:pPr>
        <w:pStyle w:val="whitespace-normal"/>
        <w:spacing w:line="480" w:lineRule="auto"/>
        <w:ind w:firstLine="720"/>
        <w:rPr>
          <w:rFonts w:ascii="Garamond" w:hAnsi="Garamond"/>
        </w:rPr>
      </w:pPr>
      <w:r w:rsidRPr="003F1234">
        <w:rPr>
          <w:rFonts w:ascii="Garamond" w:hAnsi="Garamond"/>
        </w:rPr>
        <w:lastRenderedPageBreak/>
        <w:t xml:space="preserve">Protecting upper Kuskokwim stocks through front-end closures appears to be a </w:t>
      </w:r>
      <w:ins w:id="6" w:author="Cline, Timothy" w:date="2025-10-08T10:20:00Z" w16du:dateUtc="2025-10-08T16:20:00Z">
        <w:r w:rsidR="00BA369C">
          <w:rPr>
            <w:rFonts w:ascii="Garamond" w:hAnsi="Garamond"/>
          </w:rPr>
          <w:t>tangible</w:t>
        </w:r>
        <w:r w:rsidR="00BA369C" w:rsidRPr="003F1234">
          <w:rPr>
            <w:rFonts w:ascii="Garamond" w:hAnsi="Garamond"/>
          </w:rPr>
          <w:t xml:space="preserve"> </w:t>
        </w:r>
      </w:ins>
      <w:r w:rsidRPr="003F1234">
        <w:rPr>
          <w:rFonts w:ascii="Garamond" w:hAnsi="Garamond"/>
        </w:rPr>
        <w:t xml:space="preserve">strategy for maintaining biodiversity across the river basin while ensuring basin-wide escapement goals and harvest opportunities. However, this method may be limited in its ability to provide 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w:t>
      </w:r>
      <w:commentRangeStart w:id="7"/>
      <w:r w:rsidRPr="003F1234">
        <w:rPr>
          <w:rFonts w:ascii="Garamond" w:hAnsi="Garamond"/>
        </w:rPr>
        <w:t xml:space="preserve">protecting a large proportion of upstream stocks may negatively impact weak downstream stocks that could face increased fishing pressure, particularly during years with contracted runs or exceptionally strong early-season returns. </w:t>
      </w:r>
      <w:commentRangeEnd w:id="7"/>
      <w:r w:rsidR="00BA369C">
        <w:rPr>
          <w:rStyle w:val="CommentReference"/>
          <w:rFonts w:asciiTheme="minorHAnsi" w:eastAsiaTheme="minorHAnsi" w:hAnsiTheme="minorHAnsi" w:cstheme="minorBidi"/>
          <w:kern w:val="2"/>
          <w14:ligatures w14:val="standardContextual"/>
        </w:rPr>
        <w:commentReference w:id="7"/>
      </w:r>
      <w:r w:rsidRPr="003F1234">
        <w:rPr>
          <w:rFonts w:ascii="Garamond" w:hAnsi="Garamond"/>
        </w:rPr>
        <w:t>Consequently, the efficacy of management strategies such as front-end closures must be assessed alongside the full suite of ecosystem and fishery dynamics to fully understand their effects on maintaining basin-wide biodiversity.</w:t>
      </w:r>
    </w:p>
    <w:p w14:paraId="3A0C8356" w14:textId="01164A21"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7E1736">
        <w:rPr>
          <w:rFonts w:ascii="Garamond" w:hAnsi="Garamond"/>
        </w:rPr>
        <w:fldChar w:fldCharType="begin"/>
      </w:r>
      <w:r w:rsidR="007F7231">
        <w:rPr>
          <w:rFonts w:ascii="Garamond" w:hAnsi="Garamond"/>
        </w:rPr>
        <w:instrText xml:space="preserve"> ADDIN ZOTERO_ITEM CSL_CITATION {"citationID":"tvE9voRc","properties":{"formattedCitation":"(Brennan et al., 2015)","plainCitation":"(Brennan et al., 2015)","noteIndex":0},"citationItems":[{"id":"nV8iF8Vg/ZEY3S9Np","uris":["http://zotero.org/users/8421274/items/IY3FLHLM"],"itemData":{"id":"qdfHghSJ/KSW9LWYv","type":"article-journal","abstract":"Strontium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sidR="007E1736">
        <w:rPr>
          <w:rFonts w:ascii="Garamond" w:hAnsi="Garamond"/>
        </w:rPr>
        <w:fldChar w:fldCharType="separate"/>
      </w:r>
      <w:r w:rsidR="007E1736">
        <w:rPr>
          <w:rFonts w:ascii="Garamond" w:hAnsi="Garamond"/>
          <w:noProof/>
        </w:rPr>
        <w:t>(Brennan et al., 2015)</w:t>
      </w:r>
      <w:r w:rsidR="007E1736">
        <w:rPr>
          <w:rFonts w:ascii="Garamond" w:hAnsi="Garamond"/>
        </w:rPr>
        <w:fldChar w:fldCharType="end"/>
      </w:r>
      <w:r w:rsidR="007E1736">
        <w:rPr>
          <w:rFonts w:ascii="Garamond" w:hAnsi="Garamond"/>
        </w:rPr>
        <w:t xml:space="preserve">. </w:t>
      </w:r>
      <w:r w:rsidRPr="003F1234">
        <w:rPr>
          <w:rFonts w:ascii="Garamond" w:hAnsi="Garamond"/>
        </w:rPr>
        <w:t>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w:t>
      </w:r>
      <w:r w:rsidR="00A84E4B" w:rsidRPr="003F1234">
        <w:rPr>
          <w:rFonts w:ascii="Garamond" w:hAnsi="Garamond"/>
        </w:rPr>
        <w:lastRenderedPageBreak/>
        <w:t>adaptation strategies that continue to provide ecosystem services while safeguarding their reliability and the communities they support.</w:t>
      </w:r>
    </w:p>
    <w:sectPr w:rsidR="004F0E72" w:rsidRPr="003F1234"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ine, Timothy" w:date="2025-10-06T13:50:00Z" w:initials="TC">
    <w:p w14:paraId="2B7051E6" w14:textId="77777777" w:rsidR="0024031C" w:rsidRDefault="0024031C" w:rsidP="0024031C">
      <w:r>
        <w:rPr>
          <w:rStyle w:val="CommentReference"/>
        </w:rPr>
        <w:annotationRef/>
      </w:r>
      <w:r>
        <w:rPr>
          <w:color w:val="000000"/>
          <w:sz w:val="20"/>
          <w:szCs w:val="20"/>
        </w:rPr>
        <w:t xml:space="preserve">For the broad opening, I think biodiversity more broadly works here. Same principles apply to species diversity. </w:t>
      </w:r>
    </w:p>
  </w:comment>
  <w:comment w:id="2" w:author="Cline, Timothy" w:date="2025-10-06T14:07:00Z" w:initials="TC">
    <w:p w14:paraId="01D317C3" w14:textId="77777777" w:rsidR="00B60D7F" w:rsidRDefault="00B60D7F" w:rsidP="00B60D7F">
      <w:r>
        <w:rPr>
          <w:rStyle w:val="CommentReference"/>
        </w:rPr>
        <w:annotationRef/>
      </w:r>
      <w:r>
        <w:rPr>
          <w:color w:val="000000"/>
          <w:sz w:val="20"/>
          <w:szCs w:val="20"/>
        </w:rPr>
        <w:t>I want to come back to this, because a closure does not do this unless it reopens to allow fishing early.</w:t>
      </w:r>
    </w:p>
  </w:comment>
  <w:comment w:id="3" w:author="Benjamin J. Makhlouf" w:date="2025-10-08T10:34:00Z" w:initials="b">
    <w:p w14:paraId="7DA79E9A" w14:textId="77777777" w:rsidR="007F7231" w:rsidRDefault="007F7231" w:rsidP="007F7231">
      <w:r>
        <w:rPr>
          <w:rStyle w:val="CommentReference"/>
        </w:rPr>
        <w:annotationRef/>
      </w:r>
      <w:r>
        <w:rPr>
          <w:sz w:val="20"/>
          <w:szCs w:val="20"/>
        </w:rPr>
        <w:t>True, thoughts on whether I should omit or state that the front end closure *expands* fishing opportunity by allowing upper river folks to fish on stocks that would otherwise be depleted</w:t>
      </w:r>
    </w:p>
  </w:comment>
  <w:comment w:id="4" w:author="Cline, Timothy" w:date="2025-10-08T10:07:00Z" w:initials="TC">
    <w:p w14:paraId="307DC1B0" w14:textId="5E177449" w:rsidR="004F4EF3" w:rsidRDefault="004F4EF3" w:rsidP="004F4EF3">
      <w:r>
        <w:rPr>
          <w:rStyle w:val="CommentReference"/>
        </w:rPr>
        <w:annotationRef/>
      </w:r>
      <w:r>
        <w:rPr>
          <w:sz w:val="20"/>
          <w:szCs w:val="20"/>
        </w:rPr>
        <w:t>arriving or run?</w:t>
      </w:r>
    </w:p>
  </w:comment>
  <w:comment w:id="7" w:author="Cline, Timothy" w:date="2025-10-08T10:23:00Z" w:initials="TC">
    <w:p w14:paraId="72141828" w14:textId="77777777" w:rsidR="00BA369C" w:rsidRDefault="00BA369C" w:rsidP="00BA369C">
      <w:r>
        <w:rPr>
          <w:rStyle w:val="CommentReference"/>
        </w:rPr>
        <w:annotationRef/>
      </w:r>
      <w:r>
        <w:rPr>
          <w:sz w:val="20"/>
          <w:szCs w:val="20"/>
        </w:rPr>
        <w:t xml:space="preserve">i think this is a really important point and at the end of the abstract you state that this front end closure will protect biodiversity, but its more nuanced. I wonder if some of that nuance should make it up there as well.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051E6" w15:done="1"/>
  <w15:commentEx w15:paraId="01D317C3" w15:done="0"/>
  <w15:commentEx w15:paraId="7DA79E9A" w15:paraIdParent="01D317C3" w15:done="0"/>
  <w15:commentEx w15:paraId="307DC1B0" w15:done="0"/>
  <w15:commentEx w15:paraId="721418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12DD4F" w16cex:dateUtc="2025-10-06T19:50:00Z"/>
  <w16cex:commentExtensible w16cex:durableId="7646FF23" w16cex:dateUtc="2025-10-06T20:07:00Z"/>
  <w16cex:commentExtensible w16cex:durableId="5ACD5725" w16cex:dateUtc="2025-10-08T17:34:00Z"/>
  <w16cex:commentExtensible w16cex:durableId="7A845238" w16cex:dateUtc="2025-10-08T16:07:00Z"/>
  <w16cex:commentExtensible w16cex:durableId="3C526B6D" w16cex:dateUtc="2025-10-08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051E6" w16cid:durableId="1412DD4F"/>
  <w16cid:commentId w16cid:paraId="01D317C3" w16cid:durableId="7646FF23"/>
  <w16cid:commentId w16cid:paraId="7DA79E9A" w16cid:durableId="5ACD5725"/>
  <w16cid:commentId w16cid:paraId="307DC1B0" w16cid:durableId="7A845238"/>
  <w16cid:commentId w16cid:paraId="72141828" w16cid:durableId="3C526B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274FE" w14:textId="77777777" w:rsidR="000C0406" w:rsidRDefault="000C0406">
      <w:pPr>
        <w:spacing w:after="0" w:line="240" w:lineRule="auto"/>
      </w:pPr>
      <w:r>
        <w:separator/>
      </w:r>
    </w:p>
  </w:endnote>
  <w:endnote w:type="continuationSeparator" w:id="0">
    <w:p w14:paraId="051B1A7A" w14:textId="77777777" w:rsidR="000C0406" w:rsidRDefault="000C0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DDE9A" w14:textId="77777777" w:rsidR="000C0406" w:rsidRDefault="000C0406">
      <w:pPr>
        <w:spacing w:after="0" w:line="240" w:lineRule="auto"/>
      </w:pPr>
      <w:r>
        <w:separator/>
      </w:r>
    </w:p>
  </w:footnote>
  <w:footnote w:type="continuationSeparator" w:id="0">
    <w:p w14:paraId="0048B5E7" w14:textId="77777777" w:rsidR="000C0406" w:rsidRDefault="000C04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ine, Timothy">
    <w15:presenceInfo w15:providerId="AD" w15:userId="S::s84g549@msu.montana.edu::b53db266-c02e-4ef3-8acb-16ecbf807cff"/>
  </w15:person>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0406"/>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1C49"/>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4031C"/>
    <w:rsid w:val="002549E1"/>
    <w:rsid w:val="0025573D"/>
    <w:rsid w:val="002574F7"/>
    <w:rsid w:val="0026256C"/>
    <w:rsid w:val="002811E4"/>
    <w:rsid w:val="002948A2"/>
    <w:rsid w:val="002A3FE3"/>
    <w:rsid w:val="002C1C99"/>
    <w:rsid w:val="002C21B7"/>
    <w:rsid w:val="002C2F48"/>
    <w:rsid w:val="002D12FE"/>
    <w:rsid w:val="002E45E7"/>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4DB6"/>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4F4EF3"/>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7720D"/>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30A88"/>
    <w:rsid w:val="007555A4"/>
    <w:rsid w:val="007561E4"/>
    <w:rsid w:val="0076034D"/>
    <w:rsid w:val="007708F4"/>
    <w:rsid w:val="00772AC1"/>
    <w:rsid w:val="00780305"/>
    <w:rsid w:val="007878C0"/>
    <w:rsid w:val="00793B30"/>
    <w:rsid w:val="007A1D0A"/>
    <w:rsid w:val="007B17D6"/>
    <w:rsid w:val="007B71BB"/>
    <w:rsid w:val="007C0A61"/>
    <w:rsid w:val="007C1050"/>
    <w:rsid w:val="007C2267"/>
    <w:rsid w:val="007C6D95"/>
    <w:rsid w:val="007D1726"/>
    <w:rsid w:val="007D2894"/>
    <w:rsid w:val="007D7981"/>
    <w:rsid w:val="007E1736"/>
    <w:rsid w:val="007F098D"/>
    <w:rsid w:val="007F35F9"/>
    <w:rsid w:val="007F4A77"/>
    <w:rsid w:val="007F66C5"/>
    <w:rsid w:val="007F7231"/>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17026"/>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0D7F"/>
    <w:rsid w:val="00B62128"/>
    <w:rsid w:val="00B74D8D"/>
    <w:rsid w:val="00B857E3"/>
    <w:rsid w:val="00B923D2"/>
    <w:rsid w:val="00BA369C"/>
    <w:rsid w:val="00BB27C2"/>
    <w:rsid w:val="00BB381E"/>
    <w:rsid w:val="00BC7C48"/>
    <w:rsid w:val="00BF0C62"/>
    <w:rsid w:val="00C013DD"/>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2C4D"/>
    <w:rsid w:val="00DD7574"/>
    <w:rsid w:val="00DE33E0"/>
    <w:rsid w:val="00DF1D5B"/>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142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770FF"/>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14</Pages>
  <Words>18254</Words>
  <Characters>104053</Characters>
  <Application>Microsoft Office Word</Application>
  <DocSecurity>0</DocSecurity>
  <Lines>867</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cp:revision>
  <dcterms:created xsi:type="dcterms:W3CDTF">2025-10-08T17:13:00Z</dcterms:created>
  <dcterms:modified xsi:type="dcterms:W3CDTF">2025-10-08T17:34:00Z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id="nV8iF8Vg"/&gt;&lt;style id="http://www.zotero.org/styles/journal-of-applied-ecology" hasBibliography="1" bibliographyStyleHasBeenSet="0"/&gt;&lt;prefs&gt;&lt;pref name="fieldType" value="Field"/&gt;&lt;/prefs&gt;&lt;/data&gt;</vt:lpwstr>
  </property>
</Properties>
</file>