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0BFA7429"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del w:id="7"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8" w:author="Benjamin J. Makhlouf" w:date="2026-06-18T19:19:00Z" w16du:dateUtc="2026-06-19T02:19:00Z">
        <w:r w:rsidR="006B75B5">
          <w:rPr>
            <w:rFonts w:ascii="Garamond" w:hAnsi="Garamond"/>
            <w:sz w:val="22"/>
            <w:szCs w:val="22"/>
          </w:rPr>
          <w:t>s but with a</w:t>
        </w:r>
      </w:ins>
      <w:ins w:id="9" w:author="Benjamin J. Makhlouf" w:date="2026-06-18T19:20:00Z" w16du:dateUtc="2026-06-19T02:20:00Z">
        <w:r w:rsidR="006B75B5">
          <w:rPr>
            <w:rFonts w:ascii="Garamond" w:hAnsi="Garamond"/>
            <w:sz w:val="22"/>
            <w:szCs w:val="22"/>
          </w:rPr>
          <w:t xml:space="preserve">n associated tradeoff of lost harvest opportunity. </w:t>
        </w:r>
      </w:ins>
      <w:ins w:id="10" w:author="Benjamin J. Makhlouf" w:date="2026-06-18T19:21:00Z" w16du:dateUtc="2026-06-19T02:21:00Z">
        <w:r w:rsidR="006B75B5">
          <w:rPr>
            <w:rFonts w:ascii="Garamond" w:hAnsi="Garamond"/>
            <w:sz w:val="22"/>
            <w:szCs w:val="22"/>
          </w:rPr>
          <w:t>The</w:t>
        </w:r>
      </w:ins>
      <w:ins w:id="11" w:author="Benjamin J. Makhlouf" w:date="2026-06-18T19:20:00Z" w16du:dateUtc="2026-06-19T02:20:00Z">
        <w:r w:rsidR="006B75B5">
          <w:rPr>
            <w:rFonts w:ascii="Garamond" w:hAnsi="Garamond"/>
            <w:sz w:val="22"/>
            <w:szCs w:val="22"/>
          </w:rPr>
          <w:t xml:space="preserve"> protection afforded to upper</w:t>
        </w:r>
      </w:ins>
      <w:del w:id="12" w:author="Benjamin J. Makhlouf" w:date="2026-06-18T19:19:00Z" w16du:dateUtc="2026-06-19T02:19:00Z">
        <w:r w:rsidR="006B75B5" w:rsidRPr="00571049" w:rsidDel="006B75B5">
          <w:rPr>
            <w:rFonts w:ascii="Garamond" w:hAnsi="Garamond"/>
            <w:sz w:val="22"/>
            <w:szCs w:val="22"/>
          </w:rPr>
          <w:delText xml:space="preserve">s, though </w:delText>
        </w:r>
      </w:del>
      <w:del w:id="13" w:author="Benjamin J. Makhlouf" w:date="2026-06-18T19:18:00Z" w16du:dateUtc="2026-06-19T02:18:00Z">
        <w:r w:rsidR="006B75B5" w:rsidRPr="00571049" w:rsidDel="006B75B5">
          <w:rPr>
            <w:rFonts w:ascii="Garamond" w:hAnsi="Garamond"/>
            <w:sz w:val="22"/>
            <w:szCs w:val="22"/>
          </w:rPr>
          <w:delText>conservation–harvest tradeoffs varied.</w:delText>
        </w:r>
      </w:del>
      <w:ins w:id="14" w:author="Benjamin J. Makhlouf" w:date="2026-06-18T19:20:00Z" w16du:dateUtc="2026-06-19T02:20:00Z">
        <w:r w:rsidR="006B75B5">
          <w:rPr>
            <w:rFonts w:ascii="Garamond" w:hAnsi="Garamond"/>
            <w:sz w:val="22"/>
            <w:szCs w:val="22"/>
          </w:rPr>
          <w:t xml:space="preserve"> </w:t>
        </w:r>
      </w:ins>
      <w:ins w:id="15" w:author="Benjamin J. Makhlouf" w:date="2026-06-18T19:16:00Z" w16du:dateUtc="2026-06-19T02:16:00Z">
        <w:r w:rsidR="006B75B5">
          <w:rPr>
            <w:rFonts w:ascii="Garamond" w:hAnsi="Garamond"/>
            <w:sz w:val="22"/>
            <w:szCs w:val="22"/>
          </w:rPr>
          <w:t>watershed stocks</w:t>
        </w:r>
      </w:ins>
      <w:ins w:id="16" w:author="Benjamin J. Makhlouf" w:date="2026-06-18T19:20:00Z" w16du:dateUtc="2026-06-19T02:20:00Z">
        <w:r w:rsidR="006B75B5">
          <w:rPr>
            <w:rFonts w:ascii="Garamond" w:hAnsi="Garamond"/>
            <w:sz w:val="22"/>
            <w:szCs w:val="22"/>
          </w:rPr>
          <w:t xml:space="preserve"> </w:t>
        </w:r>
      </w:ins>
      <w:ins w:id="17"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8"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9" w:author="Benjamin J. Makhlouf" w:date="2026-06-18T19:22:00Z" w16du:dateUtc="2026-06-19T02:22:00Z"/>
          <w:rFonts w:ascii="Garamond" w:hAnsi="Garamond"/>
          <w:sz w:val="22"/>
          <w:szCs w:val="22"/>
        </w:rPr>
      </w:pPr>
      <w:del w:id="20" w:author="Benjamin J. Makhlouf" w:date="2026-06-18T19:17:00Z" w16du:dateUtc="2026-06-19T02:17:00Z">
        <w:r w:rsidRPr="00571049" w:rsidDel="006B75B5">
          <w:rPr>
            <w:rFonts w:ascii="Garamond" w:hAnsi="Garamond"/>
            <w:sz w:val="22"/>
            <w:szCs w:val="22"/>
          </w:rPr>
          <w:delText>This pattern was consistent across years</w:delText>
        </w:r>
      </w:del>
      <w:del w:id="21" w:author="Benjamin J. Makhlouf" w:date="2026-06-18T19:13:00Z" w16du:dateUtc="2026-06-19T02:13:00Z">
        <w:r w:rsidRPr="00571049" w:rsidDel="006B75B5">
          <w:rPr>
            <w:rFonts w:ascii="Garamond" w:hAnsi="Garamond"/>
            <w:sz w:val="22"/>
            <w:szCs w:val="22"/>
          </w:rPr>
          <w:delText>,</w:delText>
        </w:r>
      </w:del>
      <w:del w:id="22" w:author="Benjamin J. Makhlouf" w:date="2026-06-18T19:17:00Z" w16du:dateUtc="2026-06-19T02:17:00Z">
        <w:r w:rsidRPr="00571049" w:rsidDel="006B75B5">
          <w:rPr>
            <w:rFonts w:ascii="Garamond" w:hAnsi="Garamond"/>
            <w:sz w:val="22"/>
            <w:szCs w:val="22"/>
          </w:rPr>
          <w:delText xml:space="preserve"> </w:delText>
        </w:r>
      </w:del>
      <w:del w:id="23" w:author="Benjamin J. Makhlouf" w:date="2026-06-18T19:07:00Z" w16du:dateUtc="2026-06-19T02:07:00Z">
        <w:r w:rsidRPr="00571049" w:rsidDel="004D7CC1">
          <w:rPr>
            <w:rFonts w:ascii="Garamond" w:hAnsi="Garamond"/>
            <w:sz w:val="22"/>
            <w:szCs w:val="22"/>
          </w:rPr>
          <w:delText xml:space="preserve">though </w:delText>
        </w:r>
      </w:del>
      <w:del w:id="24" w:author="Benjamin J. Makhlouf" w:date="2026-06-18T19:08:00Z" w16du:dateUtc="2026-06-19T02:08:00Z">
        <w:r w:rsidRPr="00571049" w:rsidDel="004D7CC1">
          <w:rPr>
            <w:rFonts w:ascii="Garamond" w:hAnsi="Garamond"/>
            <w:sz w:val="22"/>
            <w:szCs w:val="22"/>
          </w:rPr>
          <w:delText>magnitude of contribution and run timing varied</w:delText>
        </w:r>
      </w:del>
      <w:del w:id="25" w:author="Benjamin J. Makhlouf" w:date="2026-06-18T19:14:00Z" w16du:dateUtc="2026-06-19T02:14:00Z">
        <w:r w:rsidRPr="00571049" w:rsidDel="006B75B5">
          <w:rPr>
            <w:rFonts w:ascii="Garamond" w:hAnsi="Garamond"/>
            <w:sz w:val="22"/>
            <w:szCs w:val="22"/>
          </w:rPr>
          <w:delText xml:space="preserve">, </w:delText>
        </w:r>
      </w:del>
      <w:del w:id="26"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7" w:author="Benjamin J. Makhlouf" w:date="2026-06-18T19:11:00Z" w16du:dateUtc="2026-06-19T02:11:00Z">
        <w:r w:rsidRPr="00571049" w:rsidDel="004D7CC1">
          <w:rPr>
            <w:rFonts w:ascii="Garamond" w:hAnsi="Garamond"/>
            <w:sz w:val="22"/>
            <w:szCs w:val="22"/>
          </w:rPr>
          <w:delText>processes</w:delText>
        </w:r>
      </w:del>
      <w:del w:id="28" w:author="Benjamin J. Makhlouf" w:date="2026-06-18T19:09:00Z" w16du:dateUtc="2026-06-19T02:09:00Z">
        <w:r w:rsidRPr="00571049" w:rsidDel="004D7CC1">
          <w:rPr>
            <w:rFonts w:ascii="Garamond" w:hAnsi="Garamond"/>
            <w:sz w:val="22"/>
            <w:szCs w:val="22"/>
          </w:rPr>
          <w:delText xml:space="preserve"> influencing efficacy</w:delText>
        </w:r>
      </w:del>
      <w:del w:id="29" w:author="Benjamin J. Makhlouf" w:date="2026-06-18T19:14:00Z" w16du:dateUtc="2026-06-19T02:14:00Z">
        <w:r w:rsidRPr="00571049" w:rsidDel="006B75B5">
          <w:rPr>
            <w:rFonts w:ascii="Garamond" w:hAnsi="Garamond"/>
            <w:sz w:val="22"/>
            <w:szCs w:val="22"/>
          </w:rPr>
          <w:delText>.</w:delText>
        </w:r>
      </w:del>
      <w:del w:id="30"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11253A5E" w:rsidR="00FA76AC" w:rsidRPr="008605CB" w:rsidRDefault="00FA76AC" w:rsidP="003E5F1E">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1" w:author="Benjamin J. Makhlouf" w:date="2026-06-22T09:50:00Z" w16du:dateUtc="2026-06-22T16:50:00Z">
        <w:r w:rsidR="003E5F1E">
          <w:rPr>
            <w:rFonts w:ascii="Garamond" w:hAnsi="Garamond" w:cs="Times New Roman"/>
          </w:rPr>
          <w:t xml:space="preserve"> </w:t>
        </w:r>
      </w:ins>
      <w:ins w:id="32" w:author="Benjamin J. Makhlouf" w:date="2026-06-22T09:53:00Z" w16du:dateUtc="2026-06-22T16:53:00Z">
        <w:r w:rsidR="003E5F1E">
          <w:rPr>
            <w:rFonts w:ascii="Garamond" w:hAnsi="Garamond" w:cs="Times New Roman"/>
          </w:rPr>
          <w:t xml:space="preserve">, </w:t>
        </w:r>
      </w:ins>
      <w:ins w:id="33" w:author="Benjamin J. Makhlouf" w:date="2026-06-22T09:50:00Z" w16du:dateUtc="2026-06-22T16:50:00Z">
        <w:r w:rsidR="003E5F1E">
          <w:rPr>
            <w:rFonts w:ascii="Garamond" w:hAnsi="Garamond" w:cs="Times New Roman"/>
          </w:rPr>
          <w:t xml:space="preserve">which exposes them to </w:t>
        </w:r>
      </w:ins>
      <w:ins w:id="34" w:author="Benjamin J. Makhlouf" w:date="2026-06-22T09:51:00Z" w16du:dateUtc="2026-06-22T16:51:00Z">
        <w:r w:rsidR="003E5F1E">
          <w:rPr>
            <w:rFonts w:ascii="Garamond" w:hAnsi="Garamond" w:cs="Times New Roman"/>
          </w:rPr>
          <w:t>extended fishing pressure</w:t>
        </w:r>
      </w:ins>
      <w:ins w:id="35" w:author="Benjamin J. Makhlouf" w:date="2026-06-22T09:53:00Z" w16du:dateUtc="2026-06-22T16:53:00Z">
        <w:r w:rsidR="003E5F1E">
          <w:rPr>
            <w:rFonts w:ascii="Garamond" w:hAnsi="Garamond" w:cs="Times New Roman"/>
          </w:rPr>
          <w:t xml:space="preserve"> and environmental stressors throughout their return migration. </w:t>
        </w:r>
      </w:ins>
      <w:ins w:id="36" w:author="Benjamin J. Makhlouf" w:date="2026-06-22T09:56:00Z" w16du:dateUtc="2026-06-22T16:56:00Z">
        <w:r w:rsidR="003E5F1E">
          <w:rPr>
            <w:rFonts w:ascii="Garamond" w:hAnsi="Garamond" w:cs="Times New Roman"/>
          </w:rPr>
          <w:t>E</w:t>
        </w:r>
      </w:ins>
      <w:ins w:id="37" w:author="Benjamin J. Makhlouf" w:date="2026-06-22T09:54:00Z" w16du:dateUtc="2026-06-22T16:54:00Z">
        <w:r w:rsidR="003E5F1E">
          <w:rPr>
            <w:rFonts w:ascii="Garamond" w:hAnsi="Garamond" w:cs="Times New Roman"/>
          </w:rPr>
          <w:t>arly migrating populations with extended migration durations</w:t>
        </w:r>
      </w:ins>
      <w:ins w:id="38" w:author="Benjamin J. Makhlouf" w:date="2026-06-22T09:56:00Z" w16du:dateUtc="2026-06-22T16:56:00Z">
        <w:r w:rsidR="003E5F1E">
          <w:rPr>
            <w:rFonts w:ascii="Garamond" w:hAnsi="Garamond" w:cs="Times New Roman"/>
          </w:rPr>
          <w:t xml:space="preserve"> in other systems</w:t>
        </w:r>
      </w:ins>
      <w:ins w:id="39" w:author="Benjamin J. Makhlouf" w:date="2026-06-22T09:54:00Z" w16du:dateUtc="2026-06-22T16:54:00Z">
        <w:r w:rsidR="003E5F1E">
          <w:rPr>
            <w:rFonts w:ascii="Garamond" w:hAnsi="Garamond" w:cs="Times New Roman"/>
          </w:rPr>
          <w:t xml:space="preserve"> have been associated with a heightened risk of declining abundance, suggesting that upper Kuskokwim populations may face higher conservation risk </w:t>
        </w:r>
        <w:r w:rsidR="003E5F1E" w:rsidRPr="003E5F1E">
          <w:rPr>
            <w:rFonts w:ascii="Garamond" w:hAnsi="Garamond" w:cs="Times New Roman"/>
            <w:highlight w:val="yellow"/>
            <w:rPrChange w:id="40" w:author="Benjamin J. Makhlouf" w:date="2026-06-22T09:56:00Z" w16du:dateUtc="2026-06-22T16:56:00Z">
              <w:rPr>
                <w:rFonts w:ascii="Garamond" w:hAnsi="Garamond" w:cs="Times New Roman"/>
              </w:rPr>
            </w:rPrChange>
          </w:rPr>
          <w:t>(Atlas et al., 2023).</w:t>
        </w:r>
      </w:ins>
      <w:del w:id="41" w:author="Benjamin J. Makhlouf" w:date="2026-06-22T09:50:00Z" w16du:dateUtc="2026-06-22T16:50:00Z">
        <w:r w:rsidRPr="003E5F1E" w:rsidDel="003E5F1E">
          <w:rPr>
            <w:rFonts w:ascii="Garamond" w:hAnsi="Garamond" w:cs="Times New Roman"/>
            <w:highlight w:val="yellow"/>
            <w:rPrChange w:id="42"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3" w:author="Benjamin J. Makhlouf" w:date="2026-06-22T09:56:00Z" w16du:dateUtc="2026-06-22T16:56:00Z">
              <w:rPr>
                <w:rFonts w:ascii="Garamond" w:hAnsi="Garamond"/>
              </w:rPr>
            </w:rPrChange>
          </w:rPr>
          <w:delText xml:space="preserve">and sequential nature of large river salmon fisheries </w:delText>
        </w:r>
      </w:del>
      <w:r w:rsidRPr="003E5F1E">
        <w:rPr>
          <w:rFonts w:ascii="Garamond" w:hAnsi="Garamond" w:cs="Times New Roman"/>
          <w:highlight w:val="yellow"/>
          <w:rPrChange w:id="44" w:author="Benjamin J. Makhlouf" w:date="2026-06-22T09:56:00Z" w16du:dateUtc="2026-06-22T16:56:00Z">
            <w:rPr>
              <w:rFonts w:ascii="Garamond" w:hAnsi="Garamond" w:cs="Times New Roman"/>
            </w:rPr>
          </w:rPrChange>
        </w:rPr>
        <w:fldChar w:fldCharType="begin"/>
      </w:r>
      <w:r w:rsidRPr="003E5F1E">
        <w:rPr>
          <w:rFonts w:ascii="Garamond" w:hAnsi="Garamond" w:cs="Times New Roman"/>
          <w:highlight w:val="yellow"/>
          <w:rPrChange w:id="45" w:author="Benjamin J. Makhlouf" w:date="2026-06-22T09:56:00Z" w16du:dateUtc="2026-06-22T16:56:00Z">
            <w:rPr>
              <w:rFonts w:ascii="Garamond" w:hAnsi="Garamond" w:cs="Times New Roman"/>
            </w:rPr>
          </w:rPrChange>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3E5F1E">
        <w:rPr>
          <w:rFonts w:ascii="Cambria Math" w:hAnsi="Cambria Math" w:cs="Cambria Math"/>
          <w:highlight w:val="yellow"/>
          <w:rPrChange w:id="46" w:author="Benjamin J. Makhlouf" w:date="2026-06-22T09:56:00Z" w16du:dateUtc="2026-06-22T16:56:00Z">
            <w:rPr>
              <w:rFonts w:ascii="Cambria Math" w:hAnsi="Cambria Math" w:cs="Cambria Math"/>
            </w:rPr>
          </w:rPrChange>
        </w:rPr>
        <w:instrText>‐</w:instrText>
      </w:r>
      <w:r w:rsidRPr="003E5F1E">
        <w:rPr>
          <w:rFonts w:ascii="Garamond" w:hAnsi="Garamond" w:cs="Times New Roman"/>
          <w:highlight w:val="yellow"/>
          <w:rPrChange w:id="47" w:author="Benjamin J. Makhlouf" w:date="2026-06-22T09:56:00Z" w16du:dateUtc="2026-06-22T16:56:00Z">
            <w:rPr>
              <w:rFonts w:ascii="Garamond" w:hAnsi="Garamond" w:cs="Times New Roman"/>
            </w:rPr>
          </w:rPrChange>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3E5F1E">
        <w:rPr>
          <w:rFonts w:ascii="Garamond" w:hAnsi="Garamond" w:cs="Times New Roman"/>
          <w:highlight w:val="yellow"/>
          <w:rPrChange w:id="48" w:author="Benjamin J. Makhlouf" w:date="2026-06-22T09:56:00Z" w16du:dateUtc="2026-06-22T16:56:00Z">
            <w:rPr>
              <w:rFonts w:ascii="Garamond" w:hAnsi="Garamond" w:cs="Times New Roman"/>
            </w:rPr>
          </w:rPrChange>
        </w:rPr>
        <w:fldChar w:fldCharType="separate"/>
      </w:r>
      <w:r w:rsidRPr="003E5F1E">
        <w:rPr>
          <w:rFonts w:ascii="Garamond" w:hAnsi="Garamond" w:cs="Times New Roman"/>
          <w:noProof/>
          <w:highlight w:val="yellow"/>
          <w:rPrChange w:id="49" w:author="Benjamin J. Makhlouf" w:date="2026-06-22T09:56:00Z" w16du:dateUtc="2026-06-22T16:56:00Z">
            <w:rPr>
              <w:rFonts w:ascii="Garamond" w:hAnsi="Garamond" w:cs="Times New Roman"/>
              <w:noProof/>
            </w:rPr>
          </w:rPrChange>
        </w:rPr>
        <w:t>(e.g. Hamazaki, 2008)</w:t>
      </w:r>
      <w:r w:rsidRPr="003E5F1E">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end"/>
      </w:r>
      <w:r>
        <w:rPr>
          <w:rFonts w:ascii="Garamond" w:hAnsi="Garamond" w:cs="Times New Roman"/>
        </w:rPr>
        <w:t xml:space="preserve">. </w:t>
      </w:r>
      <w:ins w:id="51"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52" w:author="Benjamin J. Makhlouf" w:date="2026-06-19T15:17:00Z" w16du:dateUtc="2026-06-19T22:17:00Z">
        <w:r w:rsidR="00171E1A">
          <w:rPr>
            <w:rFonts w:ascii="Garamond" w:hAnsi="Garamond" w:cs="Times New Roman"/>
          </w:rPr>
          <w:t>sub-</w:t>
        </w:r>
      </w:ins>
      <w:ins w:id="53" w:author="Benjamin J. Makhlouf" w:date="2026-06-19T15:17:00Z">
        <w:r w:rsidR="00171E1A" w:rsidRPr="00171E1A">
          <w:rPr>
            <w:rFonts w:ascii="Garamond" w:hAnsi="Garamond" w:cs="Times New Roman"/>
          </w:rPr>
          <w:t>populations that contribute fish to those fisheries</w:t>
        </w:r>
      </w:ins>
      <w:ins w:id="54" w:author="Benjamin J. Makhlouf" w:date="2026-06-19T15:17:00Z" w16du:dateUtc="2026-06-19T22:17:00Z">
        <w:r w:rsidR="00171E1A">
          <w:rPr>
            <w:rFonts w:ascii="Garamond" w:hAnsi="Garamond" w:cs="Times New Roman"/>
          </w:rPr>
          <w:t xml:space="preserve">. </w:t>
        </w:r>
      </w:ins>
      <w:del w:id="55"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56" w:author="Benjamin J. Makhlouf" w:date="2026-06-19T15:15:00Z" w16du:dateUtc="2026-06-19T22:15:00Z">
        <w:r w:rsidR="00171E1A">
          <w:rPr>
            <w:rFonts w:ascii="Garamond" w:hAnsi="Garamond" w:cs="Times New Roman"/>
          </w:rPr>
          <w:t xml:space="preserve"> </w:t>
        </w:r>
      </w:ins>
      <w:ins w:id="57" w:author="Benjamin J. Makhlouf" w:date="2026-06-19T15:18:00Z">
        <w:r w:rsidR="00171E1A" w:rsidRPr="00171E1A">
          <w:rPr>
            <w:rFonts w:ascii="Garamond" w:hAnsi="Garamond" w:cs="Times New Roman"/>
          </w:rPr>
          <w:t xml:space="preserve">For example, diversity in return timing among upstream populations may extend the duration of downstream fishing opportunities relative to a more homogenized stock complex in which fish return </w:t>
        </w:r>
      </w:ins>
      <w:ins w:id="58" w:author="Benjamin J. Makhlouf" w:date="2026-06-19T15:18:00Z" w16du:dateUtc="2026-06-19T22:18:00Z">
        <w:r w:rsidR="00171E1A" w:rsidRPr="00171E1A">
          <w:rPr>
            <w:rFonts w:ascii="Garamond" w:hAnsi="Garamond" w:cs="Times New Roman"/>
          </w:rPr>
          <w:t>simultaneously.</w:t>
        </w:r>
        <w:r w:rsidR="00171E1A">
          <w:rPr>
            <w:rFonts w:ascii="Garamond" w:hAnsi="Garamond" w:cs="Times New Roman"/>
          </w:rPr>
          <w:t xml:space="preserve"> </w:t>
        </w:r>
      </w:ins>
      <w:ins w:id="59" w:author="Benjamin J. Makhlouf" w:date="2026-06-19T15:21:00Z">
        <w:r w:rsidR="00171E1A" w:rsidRPr="00171E1A">
          <w:rPr>
            <w:rFonts w:ascii="Garamond" w:hAnsi="Garamond" w:cs="Times New Roman"/>
          </w:rPr>
          <w:t>Further, maintaining life-history diversity across the full stock complex enhances ecosystem resilience by spreading risk across space and time. This</w:t>
        </w:r>
      </w:ins>
      <w:ins w:id="60" w:author="Benjamin J. Makhlouf" w:date="2026-06-19T15:21:00Z" w16du:dateUtc="2026-06-19T22:21:00Z">
        <w:r w:rsidR="00171E1A">
          <w:rPr>
            <w:rFonts w:ascii="Garamond" w:hAnsi="Garamond" w:cs="Times New Roman"/>
          </w:rPr>
          <w:t>, in turn,</w:t>
        </w:r>
      </w:ins>
      <w:ins w:id="61" w:author="Benjamin J. Makhlouf" w:date="2026-06-19T15:21:00Z">
        <w:r w:rsidR="00171E1A" w:rsidRPr="00171E1A">
          <w:rPr>
            <w:rFonts w:ascii="Garamond" w:hAnsi="Garamond" w:cs="Times New Roman"/>
          </w:rPr>
          <w:t xml:space="preserve"> result</w:t>
        </w:r>
      </w:ins>
      <w:ins w:id="62" w:author="Benjamin J. Makhlouf" w:date="2026-06-19T15:21:00Z" w16du:dateUtc="2026-06-19T22:21:00Z">
        <w:r w:rsidR="00171E1A">
          <w:rPr>
            <w:rFonts w:ascii="Garamond" w:hAnsi="Garamond" w:cs="Times New Roman"/>
          </w:rPr>
          <w:t>s</w:t>
        </w:r>
      </w:ins>
      <w:ins w:id="63"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64"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65"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66" w:author="Benjamin J. Makhlouf" w:date="2026-06-18T14:25:00Z" w16du:dateUtc="2026-06-18T21:25:00Z">
        <w:r>
          <w:rPr>
            <w:rFonts w:ascii="Garamond" w:hAnsi="Garamond" w:cs="Times New Roman"/>
          </w:rPr>
          <w:t>W</w:t>
        </w:r>
      </w:ins>
      <w:del w:id="6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w:t>
      </w:r>
      <w:r w:rsidR="00507803">
        <w:rPr>
          <w:rFonts w:ascii="Garamond" w:hAnsi="Garamond" w:cs="Times New Roman"/>
        </w:rPr>
        <w:lastRenderedPageBreak/>
        <w:t xml:space="preserve">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68"/>
      <w:r w:rsidR="00507803">
        <w:rPr>
          <w:rFonts w:ascii="Garamond" w:hAnsi="Garamond" w:cs="Times New Roman"/>
        </w:rPr>
        <w:t>Subsistence</w:t>
      </w:r>
      <w:commentRangeEnd w:id="68"/>
      <w:r w:rsidR="005A4F22">
        <w:rPr>
          <w:rStyle w:val="CommentReference"/>
          <w:rFonts w:ascii="Garamond" w:hAnsi="Garamond" w:cs="Times New Roman"/>
          <w:sz w:val="24"/>
          <w:szCs w:val="24"/>
        </w:rPr>
        <w:commentReference w:id="68"/>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6F7EA299" w14:textId="385A44E1" w:rsidR="005A4F22" w:rsidRPr="00425BAB" w:rsidRDefault="00507803" w:rsidP="00425BAB">
      <w:pPr>
        <w:spacing w:line="480" w:lineRule="auto"/>
        <w:ind w:firstLine="720"/>
        <w:rPr>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be returning to spawn in the furthest upstream regions of the Kuskokwim River. </w:t>
      </w:r>
      <w:ins w:id="69" w:author="Benjamin J. Makhlouf" w:date="2026-06-19T15:33:00Z" w16du:dateUtc="2026-06-19T22:33:00Z">
        <w:r w:rsidR="00425BAB">
          <w:rPr>
            <w:rFonts w:ascii="Garamond" w:hAnsi="Garamond" w:cs="Times New Roman"/>
          </w:rPr>
          <w:t>In doing so</w:t>
        </w:r>
      </w:ins>
      <w:ins w:id="70" w:author="Benjamin J. Makhlouf" w:date="2026-06-19T15:34:00Z" w16du:dateUtc="2026-06-19T22:34:00Z">
        <w:r w:rsidR="00425BAB">
          <w:rPr>
            <w:rFonts w:ascii="Garamond" w:hAnsi="Garamond" w:cs="Times New Roman"/>
          </w:rPr>
          <w:t xml:space="preserve">, managers aim to </w:t>
        </w:r>
      </w:ins>
      <w:moveToRangeStart w:id="71" w:author="Benjamin J. Makhlouf" w:date="2026-06-19T15:33:00Z" w:name="move232775618"/>
      <w:moveTo w:id="72" w:author="Benjamin J. Makhlouf" w:date="2026-06-19T15:33:00Z" w16du:dateUtc="2026-06-19T22:33:00Z">
        <w:del w:id="7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 provide more equitable harvest opportunities to upstream communities, and protect upper river stocks which are at heightened risk of overharvest but contribute disproportionately to stabilizing downstream fishery dynamics.</w:t>
        </w:r>
      </w:moveTo>
      <w:moveToRangeEnd w:id="71"/>
      <w:ins w:id="74" w:author="Benjamin J. Makhlouf" w:date="2026-06-19T15:35:00Z" w16du:dateUtc="2026-06-19T22:35:00Z">
        <w:r w:rsidR="00425BAB">
          <w:rPr>
            <w:rFonts w:ascii="Garamond" w:hAnsi="Garamond" w:cs="Times New Roman"/>
          </w:rPr>
          <w:t xml:space="preserve"> The relationship between return timing and watershed position underpinning this strategy  </w:t>
        </w:r>
      </w:ins>
      <w:del w:id="75" w:author="Benjamin J. Makhlouf" w:date="2026-06-19T15:35:00Z" w16du:dateUtc="2026-06-19T22:35:00Z">
        <w:r w:rsidDel="00425BAB">
          <w:rPr>
            <w:rFonts w:ascii="Garamond" w:hAnsi="Garamond" w:cs="Times New Roman"/>
          </w:rPr>
          <w:delText xml:space="preserve">This assumption </w:delText>
        </w:r>
      </w:del>
      <w:r>
        <w:rPr>
          <w:rFonts w:ascii="Garamond" w:hAnsi="Garamond" w:cs="Times New Roman"/>
        </w:rPr>
        <w:t xml:space="preserve">is </w:t>
      </w:r>
      <w:ins w:id="76" w:author="Benjamin J. Makhlouf" w:date="2026-06-19T15:35:00Z" w16du:dateUtc="2026-06-19T22:35:00Z">
        <w:r w:rsidR="00425BAB">
          <w:rPr>
            <w:rFonts w:ascii="Garamond" w:hAnsi="Garamond" w:cs="Times New Roman"/>
          </w:rPr>
          <w:t xml:space="preserve">based on </w:t>
        </w:r>
      </w:ins>
      <w:del w:id="77" w:author="Benjamin J. Makhlouf" w:date="2026-06-19T15:35:00Z" w16du:dateUtc="2026-06-19T22:35:00Z">
        <w:r w:rsidDel="00425BAB">
          <w:rPr>
            <w:rFonts w:ascii="Garamond" w:hAnsi="Garamond" w:cs="Times New Roman"/>
          </w:rPr>
          <w:delText>bolstered by</w:delText>
        </w:r>
      </w:del>
      <w:r>
        <w:rPr>
          <w:rFonts w:ascii="Garamond" w:hAnsi="Garamond" w:cs="Times New Roman"/>
        </w:rPr>
        <w:t xml:space="preserve"> patterns observed in other systems </w:t>
      </w:r>
      <w:r>
        <w:rPr>
          <w:rFonts w:ascii="Garamond" w:hAnsi="Garamond" w:cs="Times New Roman"/>
        </w:rPr>
        <w:fldChar w:fldCharType="begin"/>
      </w:r>
      <w:r>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rPr>
        <w:instrText>‐</w:instrText>
      </w:r>
      <w:r>
        <w:rPr>
          <w:rFonts w:ascii="Garamond" w:hAnsi="Garamond" w:cs="Times New Roman"/>
        </w:rPr>
        <w:instrText>wide effects of body size, sex, spawning location, and year on the timing of spawning</w:instrText>
      </w:r>
      <w:r>
        <w:rPr>
          <w:rFonts w:ascii="Cambria Math" w:hAnsi="Cambria Math" w:cs="Cambria Math"/>
        </w:rPr>
        <w:instrText>‐</w:instrText>
      </w:r>
      <w:r>
        <w:rPr>
          <w:rFonts w:ascii="Garamond" w:hAnsi="Garamond" w:cs="Times New Roman"/>
        </w:rPr>
        <w:instrText>run migration into the Togiak River. Migration data and spawning fate were collected using radiotelemetry and analyzed with mixed effects models to account for among</w:instrText>
      </w:r>
      <w:r>
        <w:rPr>
          <w:rFonts w:ascii="Cambria Math" w:hAnsi="Cambria Math" w:cs="Cambria Math"/>
        </w:rPr>
        <w:instrText>‐</w:instrText>
      </w:r>
      <w:r>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cs="Times New Roman"/>
        </w:rPr>
        <w:fldChar w:fldCharType="separate"/>
      </w:r>
      <w:r>
        <w:rPr>
          <w:rFonts w:ascii="Garamond" w:hAnsi="Garamond" w:cs="Times New Roman"/>
          <w:noProof/>
        </w:rPr>
        <w:t>(S. C. Clark et al., 2015)</w:t>
      </w:r>
      <w:r>
        <w:rPr>
          <w:rFonts w:ascii="Garamond" w:hAnsi="Garamond" w:cs="Times New Roman"/>
        </w:rPr>
        <w:fldChar w:fldCharType="end"/>
      </w:r>
      <w:r>
        <w:rPr>
          <w:rFonts w:ascii="Garamond" w:hAnsi="Garamond" w:cs="Times New Roman"/>
        </w:rPr>
        <w:t xml:space="preserve">, </w:t>
      </w:r>
      <w:del w:id="78" w:author="Benjamin J. Makhlouf" w:date="2026-06-19T15:36:00Z" w16du:dateUtc="2026-06-19T22:36:00Z">
        <w:r w:rsidDel="00425BAB">
          <w:rPr>
            <w:rFonts w:ascii="Garamond" w:hAnsi="Garamond" w:cs="Times New Roman"/>
          </w:rPr>
          <w:delText xml:space="preserve">supported by </w:delText>
        </w:r>
      </w:del>
      <w:r>
        <w:rPr>
          <w:rFonts w:ascii="Garamond" w:hAnsi="Garamond" w:cs="Times New Roman"/>
        </w:rPr>
        <w:t xml:space="preserve">telemetry data in the Kuskokwim </w:t>
      </w:r>
      <w:r>
        <w:rPr>
          <w:rFonts w:ascii="Garamond" w:hAnsi="Garamond" w:cs="Times New Roman"/>
        </w:rPr>
        <w:fldChar w:fldCharType="begin"/>
      </w:r>
      <w:r>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Pr>
          <w:rFonts w:ascii="Garamond" w:hAnsi="Garamond" w:cs="Times New Roman"/>
        </w:rPr>
        <w:fldChar w:fldCharType="separate"/>
      </w:r>
      <w:r>
        <w:rPr>
          <w:rFonts w:ascii="Garamond" w:hAnsi="Garamond" w:cs="Times New Roman"/>
          <w:noProof/>
        </w:rPr>
        <w:t>(J. N. Clark &amp; Smith, 2019; Head et al., 2017; Smith &amp; Liller, 2017a, 2017b)</w:t>
      </w:r>
      <w:r>
        <w:rPr>
          <w:rFonts w:ascii="Garamond" w:hAnsi="Garamond" w:cs="Times New Roman"/>
        </w:rPr>
        <w:fldChar w:fldCharType="end"/>
      </w:r>
      <w:r>
        <w:rPr>
          <w:rFonts w:ascii="Garamond" w:hAnsi="Garamond" w:cs="Times New Roman"/>
        </w:rPr>
        <w:t xml:space="preserve">, and further motivated by traditional and local knowledge held by Tribal citizens and stakeholders. </w:t>
      </w:r>
      <w:moveFromRangeStart w:id="79" w:author="Benjamin J. Makhlouf" w:date="2026-06-19T15:33:00Z" w:name="move232775618"/>
      <w:moveFrom w:id="80" w:author="Benjamin J. Makhlouf" w:date="2026-06-19T15:33:00Z" w16du:dateUtc="2026-06-19T22:33:00Z">
        <w:r w:rsidDel="00425BAB">
          <w:rPr>
            <w:rFonts w:ascii="Garamond" w:hAnsi="Garamond" w:cs="Times New Roman"/>
          </w:rPr>
          <w:t xml:space="preserve">By protecting upriver stocks, managers aim to support basin-wide </w:t>
        </w:r>
        <w:r w:rsidDel="00425BAB">
          <w:rPr>
            <w:rFonts w:ascii="Garamond" w:hAnsi="Garamond" w:cs="Times New Roman"/>
          </w:rPr>
          <w:lastRenderedPageBreak/>
          <w:t xml:space="preserve">escapement goals, provide more equitable harvest opportunities to upstream communities, and protect upper river stocks which are at heightened risk of overharvest but contribute disproportionately to stabilizing downstream fishery dynamics. </w:t>
        </w:r>
      </w:moveFrom>
      <w:moveFromRangeEnd w:id="79"/>
      <w:ins w:id="81" w:author="Benjamin J. Makhlouf" w:date="2026-06-19T15:36:00Z" w16du:dateUtc="2026-06-19T22:36:00Z">
        <w:r w:rsidR="00425BAB">
          <w:rPr>
            <w:rFonts w:ascii="Garamond" w:hAnsi="Garamond" w:cs="Times New Roman"/>
          </w:rPr>
          <w:t xml:space="preserve">However, </w:t>
        </w:r>
      </w:ins>
      <w:ins w:id="82" w:author="Benjamin J. Makhlouf" w:date="2026-06-18T18:33:00Z">
        <w:r w:rsidR="002B1F16" w:rsidRPr="002B1F16">
          <w:rPr>
            <w:rFonts w:ascii="Garamond" w:hAnsi="Garamond" w:cs="Times New Roman"/>
          </w:rPr>
          <w:t>the spatial ecology of Chinook salmon in the Kuskokwim River basin remains poorly understood at the watershed scale</w:t>
        </w:r>
      </w:ins>
      <w:ins w:id="83" w:author="Benjamin J. Makhlouf" w:date="2026-06-19T15:36:00Z" w16du:dateUtc="2026-06-19T22:36:00Z">
        <w:r w:rsidR="00425BAB">
          <w:rPr>
            <w:rFonts w:ascii="Garamond" w:hAnsi="Garamond" w:cs="Times New Roman"/>
          </w:rPr>
          <w:t>. As a result,</w:t>
        </w:r>
      </w:ins>
      <w:ins w:id="84" w:author="Benjamin J. Makhlouf" w:date="2026-06-18T18:33:00Z">
        <w:r w:rsidR="002B1F16" w:rsidRPr="002B1F16">
          <w:rPr>
            <w:rFonts w:ascii="Garamond" w:hAnsi="Garamond" w:cs="Times New Roman"/>
          </w:rPr>
          <w:t xml:space="preserve"> it remains unclear whether the front-end fishery closure effectively protects upstream stocks as intended. </w:t>
        </w:r>
      </w:ins>
      <w:ins w:id="85" w:author="Benjamin J. Makhlouf" w:date="2026-06-18T18:35:00Z">
        <w:r w:rsidR="002B1F16" w:rsidRPr="002B1F16">
          <w:rPr>
            <w:rFonts w:ascii="Garamond" w:hAnsi="Garamond" w:cs="Times New Roman"/>
          </w:rPr>
          <w:t>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w:t>
        </w:r>
      </w:ins>
      <w:ins w:id="86" w:author="Benjamin J. Makhlouf" w:date="2026-06-18T18:35:00Z" w16du:dateUtc="2026-06-19T01:35:00Z">
        <w:r w:rsidR="002B1F16">
          <w:rPr>
            <w:rFonts w:ascii="Garamond" w:hAnsi="Garamond" w:cs="Times New Roman"/>
          </w:rPr>
          <w:t xml:space="preserve"> </w:t>
        </w:r>
      </w:ins>
      <w:ins w:id="87" w:author="Benjamin J. Makhlouf" w:date="2026-06-18T18:37:00Z">
        <w:r w:rsidR="002B1F16" w:rsidRPr="002B1F16">
          <w:rPr>
            <w:rFonts w:ascii="Garamond" w:hAnsi="Garamond" w:cs="Times New Roman"/>
          </w:rPr>
          <w:t xml:space="preserve">Otolith microchemical approaches have emerged as an alternative tool capable of estimating sub-watershed provenance without the need for extensive field-based monitoring. </w:t>
        </w:r>
      </w:ins>
      <w:ins w:id="88" w:author="Benjamin J. Makhlouf" w:date="2026-06-18T18:42:00Z">
        <w:r w:rsidR="00990A53" w:rsidRPr="00990A53">
          <w:rPr>
            <w:rFonts w:ascii="Garamond" w:hAnsi="Garamond"/>
          </w:rPr>
          <w:t>Otolith microchemical approaches have emerged as an alternative tool for reconstructing spatial patterns of salmon movement and provenance.</w:t>
        </w:r>
      </w:ins>
      <w:ins w:id="89" w:author="Benjamin J. Makhlouf" w:date="2026-06-18T18:42:00Z" w16du:dateUtc="2026-06-19T01:42:00Z">
        <w:r w:rsidR="00990A53">
          <w:rPr>
            <w:rFonts w:ascii="Garamond" w:hAnsi="Garamond"/>
          </w:rPr>
          <w:t xml:space="preserve"> </w:t>
        </w:r>
      </w:ins>
      <w:ins w:id="90" w:author="Benjamin J. Makhlouf" w:date="2026-06-18T18:39:00Z">
        <w:r w:rsidR="002B1F16" w:rsidRPr="002B1F16">
          <w:rPr>
            <w:rFonts w:ascii="Garamond" w:hAnsi="Garamond"/>
          </w:rPr>
          <w:t>By leveraging predictable relationships between chemical signatures recorded in</w:t>
        </w:r>
      </w:ins>
      <w:ins w:id="91" w:author="Benjamin J. Makhlouf" w:date="2026-06-18T18:43:00Z" w16du:dateUtc="2026-06-19T01:43:00Z">
        <w:r w:rsidR="00990A53">
          <w:rPr>
            <w:rFonts w:ascii="Garamond" w:hAnsi="Garamond"/>
          </w:rPr>
          <w:t xml:space="preserve"> the</w:t>
        </w:r>
      </w:ins>
      <w:ins w:id="92" w:author="Benjamin J. Makhlouf" w:date="2026-06-18T18:39:00Z">
        <w:r w:rsidR="002B1F16" w:rsidRPr="002B1F16">
          <w:rPr>
            <w:rFonts w:ascii="Garamond" w:hAnsi="Garamond"/>
          </w:rPr>
          <w:t xml:space="preserve"> otolith and those measured or modeled across the landscape, </w:t>
        </w:r>
      </w:ins>
      <w:ins w:id="93" w:author="Benjamin J. Makhlouf" w:date="2026-06-18T18:43:00Z" w16du:dateUtc="2026-06-19T01:43:00Z">
        <w:r w:rsidR="00990A53">
          <w:rPr>
            <w:rFonts w:ascii="Garamond" w:hAnsi="Garamond"/>
          </w:rPr>
          <w:t>otolith-based</w:t>
        </w:r>
      </w:ins>
      <w:ins w:id="94" w:author="Benjamin J. Makhlouf" w:date="2026-06-18T18:39:00Z">
        <w:r w:rsidR="002B1F16" w:rsidRPr="002B1F16">
          <w:rPr>
            <w:rFonts w:ascii="Garamond" w:hAnsi="Garamond"/>
          </w:rPr>
          <w:t xml:space="preserve"> approaches enable </w:t>
        </w:r>
      </w:ins>
      <w:ins w:id="95" w:author="Benjamin J. Makhlouf" w:date="2026-06-18T18:43:00Z" w16du:dateUtc="2026-06-19T01:43:00Z">
        <w:r w:rsidR="00990A53">
          <w:rPr>
            <w:rFonts w:ascii="Garamond" w:hAnsi="Garamond"/>
          </w:rPr>
          <w:t xml:space="preserve">the </w:t>
        </w:r>
      </w:ins>
      <w:ins w:id="96" w:author="Benjamin J. Makhlouf" w:date="2026-06-18T18:39:00Z">
        <w:r w:rsidR="002B1F16" w:rsidRPr="002B1F16">
          <w:rPr>
            <w:rFonts w:ascii="Garamond" w:hAnsi="Garamond"/>
          </w:rPr>
          <w:t xml:space="preserve">reconstruction of </w:t>
        </w:r>
      </w:ins>
      <w:ins w:id="97" w:author="Benjamin J. Makhlouf" w:date="2026-06-18T18:44:00Z" w16du:dateUtc="2026-06-19T01:44:00Z">
        <w:r w:rsidR="00990A53">
          <w:rPr>
            <w:rFonts w:ascii="Garamond" w:hAnsi="Garamond"/>
          </w:rPr>
          <w:t xml:space="preserve">life history characteristics </w:t>
        </w:r>
      </w:ins>
      <w:ins w:id="98" w:author="Benjamin J. Makhlouf" w:date="2026-06-18T18:45:00Z" w16du:dateUtc="2026-06-19T01:45:00Z">
        <w:r w:rsidR="00990A53">
          <w:rPr>
            <w:rFonts w:ascii="Garamond" w:hAnsi="Garamond"/>
          </w:rPr>
          <w:t xml:space="preserve">throughout the lifetime of the individual inferred from samples easily collected from adult fish. </w:t>
        </w:r>
      </w:ins>
      <w:ins w:id="99" w:author="Benjamin J. Makhlouf" w:date="2026-06-18T18:48:00Z">
        <w:r w:rsidR="00990A53" w:rsidRPr="00990A53">
          <w:rPr>
            <w:rFonts w:ascii="Garamond" w:hAnsi="Garamond"/>
          </w:rPr>
          <w:t>As such, these methods provide an approach for estimating fine-scale patterns in salmon spatial ecology across entire watersheds without requiring extensive manual monitoring.</w:t>
        </w:r>
      </w:ins>
    </w:p>
    <w:p w14:paraId="4B48F71D" w14:textId="19905B6E"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100"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r>
        <w:rPr>
          <w:rFonts w:ascii="Garamond" w:hAnsi="Garamond" w:cs="Times New Roman"/>
        </w:rPr>
        <w:t xml:space="preserve">Otolith-based methods for estimating provenance therefore offer a novel approach to: (1) identify the spatiotemporal structure of returning populations in the Kuskokwim River basin, and </w:t>
      </w:r>
      <w:r>
        <w:rPr>
          <w:rFonts w:ascii="Garamond" w:hAnsi="Garamond" w:cs="Times New Roman"/>
        </w:rPr>
        <w:lastRenderedPageBreak/>
        <w:t>(2)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7FC78F44"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101" w:author="Benjamin J. Makhlouf" w:date="2026-06-19T15:58:00Z" w16du:dateUtc="2026-06-19T22:58:00Z">
        <w:r w:rsidR="00AA4630">
          <w:rPr>
            <w:rFonts w:ascii="Garamond" w:hAnsi="Garamond" w:cs="Times New Roman"/>
          </w:rPr>
          <w:t xml:space="preserve">are sampled throughout the full return migration window, and are assumed to </w:t>
        </w:r>
      </w:ins>
      <w:ins w:id="102" w:author="Benjamin J. Makhlouf" w:date="2026-06-19T15:59:00Z" w16du:dateUtc="2026-06-19T22:59:00Z">
        <w:r w:rsidR="00AA4630">
          <w:rPr>
            <w:rFonts w:ascii="Garamond" w:hAnsi="Garamond" w:cs="Times New Roman"/>
          </w:rPr>
          <w:t>be</w:t>
        </w:r>
      </w:ins>
      <w:ins w:id="103" w:author="Benjamin J. Makhlouf" w:date="2026-06-19T15:58:00Z" w16du:dateUtc="2026-06-19T22:58:00Z">
        <w:r w:rsidR="00AA4630">
          <w:rPr>
            <w:rFonts w:ascii="Garamond" w:hAnsi="Garamond" w:cs="Times New Roman"/>
          </w:rPr>
          <w:t xml:space="preserve"> a </w:t>
        </w:r>
      </w:ins>
      <w:del w:id="104"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 xml:space="preserve">representative sample of returning stocks throughout the basin above the test fishery location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105"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23BCDAEA" w14:textId="0942306A" w:rsidR="00B857E3" w:rsidRPr="008605CB"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w:t>
      </w:r>
      <w:r>
        <w:rPr>
          <w:rFonts w:ascii="Garamond" w:eastAsia="Times New Roman" w:hAnsi="Garamond" w:cs="Times New Roman"/>
          <w:kern w:val="0"/>
          <w14:ligatures w14:val="none"/>
        </w:rPr>
        <w:lastRenderedPageBreak/>
        <w:t xml:space="preserve">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The resulting data represent a continuously integrated measurement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 Capo et al., 1998)</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From these data, the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 associated with the natal freshwater rearing period was extracted by examining patterns of change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106"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107" w:author="Benjamin J. Makhlouf" w:date="2026-06-18T19:47:00Z" w16du:dateUtc="2026-06-19T02:47:00Z">
              <w:rPr>
                <w:rFonts w:ascii="Garamond" w:eastAsia="Times New Roman" w:hAnsi="Garamond" w:cs="Times New Roman"/>
                <w:kern w:val="0"/>
                <w14:ligatures w14:val="none"/>
              </w:rPr>
            </w:rPrChange>
          </w:rPr>
          <w:t>(X to Y)</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108" w:author="Benjamin J. Makhlouf" w:date="2026-06-18T19:45:00Z" w16du:dateUtc="2026-06-19T02:45:00Z">
        <w:r w:rsidR="00221CA6">
          <w:rPr>
            <w:rFonts w:ascii="Garamond" w:eastAsia="Times New Roman" w:hAnsi="Garamond" w:cs="Times New Roman"/>
            <w:kern w:val="0"/>
            <w14:ligatures w14:val="none"/>
          </w:rPr>
          <w:t xml:space="preserve"> </w:t>
        </w:r>
      </w:ins>
      <w:ins w:id="109" w:author="Benjamin J. Makhlouf" w:date="2026-06-18T19:47:00Z" w16du:dateUtc="2026-06-19T02:47:00Z">
        <w:r w:rsidR="00221CA6">
          <w:rPr>
            <w:rFonts w:ascii="Garamond" w:eastAsia="Times New Roman" w:hAnsi="Garamond" w:cs="Times New Roman"/>
            <w:kern w:val="0"/>
            <w14:ligatures w14:val="none"/>
          </w:rPr>
          <w:t>Sr</w:t>
        </w:r>
        <w:r w:rsidR="00221CA6">
          <w:rPr>
            <w:rFonts w:ascii="Garamond" w:eastAsia="Times New Roman" w:hAnsi="Garamond" w:cs="Times New Roman"/>
            <w:kern w:val="0"/>
            <w:vertAlign w:val="superscript"/>
            <w14:ligatures w14:val="none"/>
          </w:rPr>
          <w:t>88</w:t>
        </w:r>
      </w:ins>
      <w:ins w:id="110" w:author="Benjamin J. Makhlouf" w:date="2026-06-18T19:48:00Z" w16du:dateUtc="2026-06-19T02:48:00Z">
        <w:r w:rsidR="00221CA6">
          <w:rPr>
            <w:rFonts w:ascii="Garamond" w:eastAsia="Times New Roman" w:hAnsi="Garamond" w:cs="Times New Roman"/>
            <w:kern w:val="0"/>
            <w14:ligatures w14:val="none"/>
          </w:rPr>
          <w:t xml:space="preserve"> can be used as a proxy for Sr concentration, which is expected to be much higher in the marine environment as well as the materna</w:t>
        </w:r>
      </w:ins>
      <w:ins w:id="111" w:author="Benjamin J. Makhlouf" w:date="2026-06-18T19:49:00Z" w16du:dateUtc="2026-06-19T02:49:00Z">
        <w:r w:rsidR="00221CA6">
          <w:rPr>
            <w:rFonts w:ascii="Garamond" w:eastAsia="Times New Roman" w:hAnsi="Garamond" w:cs="Times New Roman"/>
            <w:kern w:val="0"/>
            <w14:ligatures w14:val="none"/>
          </w:rPr>
          <w:t xml:space="preserve">lly influenced core. As a result, the Sr88 signal of the otolith data was used to guide manual selection of the natal origin region following depletion of the maternal signature, indicated by decreased Sr88 concentrations. </w:t>
        </w:r>
      </w:ins>
      <w:del w:id="112"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1C0A892"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A strontium isoscape of the Kuskokwim River basin (Fig. 1) was constructed by French et al. (2020) in which spatial variation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The resulting isoscape includes estimates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hAnsi="Garamond" w:cs="Times New Roman"/>
        </w:rPr>
        <w:t xml:space="preserve"> 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w:t>
      </w:r>
      <w:r>
        <w:rPr>
          <w:rFonts w:ascii="Garamond" w:hAnsi="Garamond" w:cs="Times New Roman"/>
        </w:rPr>
        <w:lastRenderedPageBreak/>
        <w:t xml:space="preserve">number of exceedingly low uncertainty tributaries (those near extensive sampling) while maintaining the general error distribution from the original SSN model. </w:t>
      </w:r>
    </w:p>
    <w:p w14:paraId="417575B8" w14:textId="032738B4"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This approach considers the relationship between extracted natal origin otolith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values as well as several variance generating processes</w:t>
      </w:r>
      <w:ins w:id="113" w:author="Benjamin J. Makhlouf" w:date="2026-06-22T08:33:00Z" w16du:dateUtc="2026-06-22T15:33:00Z">
        <w:r w:rsidR="000B6B65">
          <w:rPr>
            <w:rFonts w:ascii="Garamond" w:eastAsia="Times New Roman" w:hAnsi="Garamond" w:cs="Times New Roman"/>
            <w:kern w:val="0"/>
            <w14:ligatures w14:val="none"/>
          </w:rPr>
          <w:t>.</w:t>
        </w:r>
      </w:ins>
      <w:ins w:id="114" w:author="Benjamin J. Makhlouf" w:date="2026-06-22T08:49:00Z" w16du:dateUtc="2026-06-22T15:49:00Z">
        <w:r w:rsidR="0080518D" w:rsidRPr="0080518D">
          <w:t xml:space="preserve"> </w:t>
        </w:r>
      </w:ins>
      <w:ins w:id="115" w:author="Benjamin J. Makhlouf" w:date="2026-06-22T08:49:00Z">
        <w:r w:rsidR="0080518D" w:rsidRPr="0080518D">
          <w:rPr>
            <w:rFonts w:ascii="Garamond" w:eastAsia="Times New Roman" w:hAnsi="Garamond" w:cs="Times New Roman"/>
            <w:kern w:val="0"/>
            <w14:ligatures w14:val="none"/>
          </w:rPr>
          <w:t>These sources include analytical error (variation among repeated standard measurements; 0.000055), within-population error (variation among individuals at the same site; 0.00016), and isoscape error (uncertainty in isoscape model predictions; basin-wide mean = 0.00072)</w:t>
        </w:r>
      </w:ins>
      <w:ins w:id="116" w:author="Benjamin J. Makhlouf" w:date="2026-06-22T10:03:00Z" w16du:dateUtc="2026-06-22T17:03:00Z">
        <w:r w:rsidR="003224CC">
          <w:rPr>
            <w:rFonts w:ascii="Garamond" w:eastAsia="Times New Roman" w:hAnsi="Garamond" w:cs="Times New Roman"/>
            <w:kern w:val="0"/>
            <w14:ligatures w14:val="none"/>
          </w:rPr>
          <w:t xml:space="preserve"> </w:t>
        </w:r>
      </w:ins>
      <w:ins w:id="117" w:author="Benjamin J. Makhlouf" w:date="2026-06-22T10:05:00Z" w16du:dateUtc="2026-06-22T17:05:00Z">
        <w:r w:rsidR="003224CC">
          <w:rPr>
            <w:rFonts w:ascii="Garamond" w:eastAsia="Times New Roman" w:hAnsi="Garamond" w:cs="Times New Roman"/>
            <w:kern w:val="0"/>
            <w14:ligatures w14:val="none"/>
          </w:rPr>
          <w:t xml:space="preserve">(Brennan et al., 2015, French at al., X). </w:t>
        </w:r>
      </w:ins>
      <w:del w:id="118"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119"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r_j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lastRenderedPageBreak/>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1D2BB64A" w:rsidR="00814EE7" w:rsidRPr="008605CB" w:rsidRDefault="009110AF" w:rsidP="00814EE7">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120"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121"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122"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xml:space="preserve">, posterior probability values for all individuals in that subset were summed at each location. Before summing, only highly likely locations (the top 30% of posterior values) were retained, whereas all other values 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123" w:author="Benjamin J. Makhlouf" w:date="2026-06-19T06:36:00Z" w16du:dateUtc="2026-06-19T13:36:00Z">
        <w:r w:rsidR="00D0057C">
          <w:rPr>
            <w:rFonts w:ascii="Garamond" w:hAnsi="Garamond" w:cs="Times New Roman"/>
          </w:rPr>
          <w:t xml:space="preserve">ranges that roughly represent quartiles of the </w:t>
        </w:r>
      </w:ins>
      <w:del w:id="124"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125" w:author="Benjamin J. Makhlouf" w:date="2026-06-19T06:37:00Z" w16du:dateUtc="2026-06-19T13:37:00Z">
        <w:r w:rsidR="00D0057C">
          <w:rPr>
            <w:rFonts w:ascii="Garamond" w:hAnsi="Garamond" w:cs="Times New Roman"/>
          </w:rPr>
          <w:t>evenly into equal quartiles</w:t>
        </w:r>
      </w:ins>
      <w:del w:id="126"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127"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128"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w:t>
      </w:r>
      <w:r>
        <w:rPr>
          <w:rFonts w:ascii="Garamond" w:hAnsi="Garamond" w:cs="Times New Roman"/>
        </w:rPr>
        <w:lastRenderedPageBreak/>
        <w:t xml:space="preserve">match the end of the ‘front end closure’ of the subsistence fishery. Estimates were also produced for the full run in each year. </w:t>
      </w:r>
    </w:p>
    <w:p w14:paraId="38A831B5" w14:textId="3331B911" w:rsidR="001D3E40" w:rsidRPr="008605CB" w:rsidRDefault="00D04860" w:rsidP="00961F08">
      <w:pPr>
        <w:spacing w:line="480" w:lineRule="auto"/>
        <w:ind w:firstLine="720"/>
        <w:rPr>
          <w:rFonts w:ascii="Garamond" w:hAnsi="Garamond" w:cs="Times New Roman"/>
        </w:rPr>
      </w:pPr>
      <w:ins w:id="129"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130"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high silhouette score while providing finer isotopic resolution across groups. The resulting regional groupings displayed a general pattern from upstream to downstream regions (Fig. 2b). However, 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t>
      </w:r>
      <w:ins w:id="131" w:author="Benjamin J. Makhlouf" w:date="2026-06-22T10:17:00Z" w16du:dateUtc="2026-06-22T17:17:00Z">
        <w:r w:rsidR="00AF1AE2">
          <w:rPr>
            <w:rFonts w:ascii="Garamond" w:hAnsi="Garamond" w:cs="Times New Roman"/>
          </w:rPr>
          <w:t>two</w:t>
        </w:r>
      </w:ins>
      <w:del w:id="132" w:author="Benjamin J. Makhlouf" w:date="2026-06-22T10:17:00Z" w16du:dateUtc="2026-06-22T17:17:00Z">
        <w:r w:rsidR="00E3555B" w:rsidDel="00AF1AE2">
          <w:rPr>
            <w:rFonts w:ascii="Garamond" w:hAnsi="Garamond" w:cs="Times New Roman"/>
          </w:rPr>
          <w:delText>five</w:delText>
        </w:r>
      </w:del>
      <w:r w:rsidR="00E3555B">
        <w:rPr>
          <w:rFonts w:ascii="Garamond" w:hAnsi="Garamond" w:cs="Times New Roman"/>
        </w:rPr>
        <w:t xml:space="preser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0AF1A072" w:rsidR="00961F08" w:rsidRPr="008605CB" w:rsidRDefault="00E352BB" w:rsidP="006B5AB0">
      <w:pPr>
        <w:spacing w:line="480" w:lineRule="auto"/>
        <w:ind w:firstLine="720"/>
        <w:rPr>
          <w:rFonts w:ascii="Garamond" w:hAnsi="Garamond" w:cs="Times New Roman"/>
        </w:rPr>
      </w:pPr>
      <w:r>
        <w:rPr>
          <w:rFonts w:ascii="Garamond" w:hAnsi="Garamond" w:cs="Times New Roman"/>
        </w:rPr>
        <w:lastRenderedPageBreak/>
        <w:t>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w:t>
      </w:r>
      <w:ins w:id="133" w:author="Benjamin J. Makhlouf" w:date="2026-06-22T10:23:00Z" w16du:dateUtc="2026-06-22T17:23:00Z">
        <w:r w:rsidR="00267F38">
          <w:rPr>
            <w:rFonts w:ascii="Garamond" w:hAnsi="Garamond" w:cs="Times New Roman"/>
          </w:rPr>
          <w:t xml:space="preserve"> based on the sum of the daily CPUE</w:t>
        </w:r>
      </w:ins>
      <w:r>
        <w:rPr>
          <w:rFonts w:ascii="Garamond" w:hAnsi="Garamond" w:cs="Times New Roman"/>
        </w:rPr>
        <w:t xml:space="preserve">. This value represents the maximum potential harvest available if harvest rates are proportional to CPUE. However, this value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66863828" w:rsidR="00E35059" w:rsidRPr="009C0002" w:rsidRDefault="006E1BBC" w:rsidP="009C0002">
      <w:pPr>
        <w:spacing w:line="480" w:lineRule="auto"/>
        <w:ind w:firstLine="720"/>
        <w:rPr>
          <w:rFonts w:ascii="Garamond" w:hAnsi="Garamond"/>
        </w:rPr>
      </w:pPr>
      <w:r>
        <w:rPr>
          <w:rFonts w:ascii="Garamond" w:hAnsi="Garamond"/>
        </w:rPr>
        <w:t xml:space="preserve">To assess the impact of the existing front-end closure, we quantified the </w:t>
      </w:r>
      <w:ins w:id="134"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135" w:author="Benjamin J. Makhlouf" w:date="2026-06-20T15:20:00Z" w16du:dateUtc="2026-06-20T22:20:00Z">
        <w:r w:rsidR="009C0002">
          <w:rPr>
            <w:rFonts w:ascii="Garamond" w:hAnsi="Garamond"/>
          </w:rPr>
          <w:t xml:space="preserve"> isotope</w:t>
        </w:r>
      </w:ins>
      <w:ins w:id="136" w:author="Benjamin J. Makhlouf" w:date="2026-06-20T15:18:00Z">
        <w:r w:rsidR="009C0002" w:rsidRPr="009C0002">
          <w:rPr>
            <w:rFonts w:ascii="Garamond" w:hAnsi="Garamond"/>
          </w:rPr>
          <w:t xml:space="preserve"> assignments. We refer to this metric</w:t>
        </w:r>
      </w:ins>
      <w:ins w:id="137" w:author="Benjamin J. Makhlouf" w:date="2026-06-20T15:20:00Z" w16du:dateUtc="2026-06-20T22:20:00Z">
        <w:r w:rsidR="009C0002">
          <w:rPr>
            <w:rFonts w:ascii="Garamond" w:hAnsi="Garamond"/>
          </w:rPr>
          <w:t xml:space="preserve"> hereafter</w:t>
        </w:r>
      </w:ins>
      <w:ins w:id="138" w:author="Benjamin J. Makhlouf" w:date="2026-06-20T15:18:00Z">
        <w:r w:rsidR="009C0002" w:rsidRPr="009C0002">
          <w:rPr>
            <w:rFonts w:ascii="Garamond" w:hAnsi="Garamond"/>
          </w:rPr>
          <w:t xml:space="preserve"> as </w:t>
        </w:r>
      </w:ins>
      <w:ins w:id="139" w:author="Benjamin J. Makhlouf" w:date="2026-06-20T15:20:00Z" w16du:dateUtc="2026-06-20T22:20:00Z">
        <w:r w:rsidR="009C0002">
          <w:rPr>
            <w:rFonts w:ascii="Garamond" w:hAnsi="Garamond"/>
          </w:rPr>
          <w:t>“</w:t>
        </w:r>
      </w:ins>
      <w:ins w:id="140" w:author="Benjamin J. Makhlouf" w:date="2026-06-20T15:18:00Z">
        <w:r w:rsidR="009C0002" w:rsidRPr="009C0002">
          <w:rPr>
            <w:rFonts w:ascii="Garamond" w:hAnsi="Garamond"/>
            <w:rPrChange w:id="141" w:author="Benjamin J. Makhlouf" w:date="2026-06-20T15:19:00Z" w16du:dateUtc="2026-06-20T22:19:00Z">
              <w:rPr>
                <w:rFonts w:ascii="Garamond" w:hAnsi="Garamond"/>
                <w:b/>
                <w:bCs/>
              </w:rPr>
            </w:rPrChange>
          </w:rPr>
          <w:t>percent protection</w:t>
        </w:r>
      </w:ins>
      <w:ins w:id="142" w:author="Benjamin J. Makhlouf" w:date="2026-06-20T15:20:00Z" w16du:dateUtc="2026-06-20T22:20:00Z">
        <w:r w:rsidR="009C0002">
          <w:rPr>
            <w:rFonts w:ascii="Garamond" w:hAnsi="Garamond"/>
          </w:rPr>
          <w:t>”</w:t>
        </w:r>
      </w:ins>
      <w:ins w:id="143" w:author="Benjamin J. Makhlouf" w:date="2026-06-20T15:18:00Z">
        <w:r w:rsidR="009C0002" w:rsidRPr="009C0002">
          <w:rPr>
            <w:rFonts w:ascii="Garamond" w:hAnsi="Garamond"/>
          </w:rPr>
          <w:t>.</w:t>
        </w:r>
      </w:ins>
      <w:del w:id="144"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r>
        <w:rPr>
          <w:rFonts w:ascii="Garamond" w:hAnsi="Garamond"/>
        </w:rPr>
        <w:t>). 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w:t>
      </w:r>
      <w:r>
        <w:rPr>
          <w:rFonts w:ascii="Garamond" w:hAnsi="Garamond" w:cs="Times New Roman"/>
        </w:rPr>
        <w:lastRenderedPageBreak/>
        <w:t>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 Notably, group one, which contains the North Fork and East Fork Kuskokwim River, 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quartile was largely driven by groups four and five located in the bottom of the watershed (26.9% and 25.4%, respectively). </w:t>
      </w:r>
    </w:p>
    <w:p w14:paraId="54D0CEDA" w14:textId="3E2F8BC0" w:rsidR="001740E9" w:rsidRPr="00FC02BD" w:rsidRDefault="00536536" w:rsidP="00665BC1">
      <w:pPr>
        <w:pStyle w:val="whitespace-normal"/>
        <w:spacing w:line="480" w:lineRule="auto"/>
        <w:ind w:firstLine="720"/>
        <w:rPr>
          <w:rFonts w:ascii="Garamond" w:hAnsi="Garamond"/>
          <w:b/>
          <w:bCs/>
        </w:rPr>
      </w:pPr>
      <w:r>
        <w:rPr>
          <w:rFonts w:ascii="Garamond" w:hAnsi="Garamond"/>
        </w:rPr>
        <w:lastRenderedPageBreak/>
        <w:t>Cumulative distribution plots (Fig. 4) illustrated</w:t>
      </w:r>
      <w:ins w:id="145"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099448FA"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contribution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protection across our dataset, with group two ranging from 2.4%–29.4% and group one ranging from 3%–52% of the overall return protected by the front-end closure. </w:t>
      </w:r>
    </w:p>
    <w:p w14:paraId="2A9EA7B8" w14:textId="4D587EBE" w:rsidR="00AB779D" w:rsidRPr="00D0678D" w:rsidRDefault="00BA542C" w:rsidP="00D0678D">
      <w:pPr>
        <w:pStyle w:val="whitespace-normal"/>
        <w:spacing w:line="480" w:lineRule="auto"/>
        <w:ind w:firstLine="720"/>
        <w:rPr>
          <w:rFonts w:ascii="Garamond" w:hAnsi="Garamond"/>
        </w:rPr>
      </w:pPr>
      <w:r>
        <w:rPr>
          <w:rFonts w:ascii="Garamond" w:hAnsi="Garamond"/>
        </w:rPr>
        <w:lastRenderedPageBreak/>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146" w:name="_Hlk213834610"/>
      <w:r>
        <w:rPr>
          <w:rFonts w:ascii="Garamond" w:hAnsi="Garamond"/>
        </w:rPr>
        <w:t xml:space="preserve">17.4% and 9.1% in median protection, respectively, by extending the front-end closure three days and the same groups saw a 32.3% and 21.3% </w:t>
      </w:r>
      <w:bookmarkEnd w:id="146"/>
      <w:r>
        <w:rPr>
          <w:rFonts w:ascii="Garamond" w:hAnsi="Garamond"/>
        </w:rPr>
        <w:t>increase in protection by extending the front-end closure six days past the current closure date. Importantly, the minimum protection values in the three-day extension scenario were similar to the results of the currently implemented closure. 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minimum protection values increased more prominently to 21.9% and 14.9% for groups one and two. While a longer front-end closure provides greater protection to stocks across the basin, it also increases the share of the total return that cannot be harvested. Under the current closure duration, an average of 12% of the total CPUE fell within the closure period. Shortening the closure reduces this loss to less than 5% but offers very little protection for upstream stocks (Fig. 5). Extending the closure, by contrast, substantially increases protection for several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4D5A62F6" w:rsidR="00E67672" w:rsidRPr="00FC02BD" w:rsidRDefault="004504D1" w:rsidP="00E67672">
      <w:pPr>
        <w:pStyle w:val="whitespace-normal"/>
        <w:spacing w:line="480" w:lineRule="auto"/>
        <w:ind w:firstLine="720"/>
        <w:rPr>
          <w:rFonts w:ascii="Garamond" w:hAnsi="Garamond"/>
        </w:rPr>
      </w:pPr>
      <w:r>
        <w:rPr>
          <w:rFonts w:ascii="Garamond" w:hAnsi="Garamond"/>
        </w:rPr>
        <w:lastRenderedPageBreak/>
        <w:t>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watersheds in the uppermost portions and the latest returning fish return to the furthest downstream portions of the watershed. This relationship was consistent throughout our multi-year dataset, emphasizing the consistency of this pattern across several generations 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r>
        <w:rPr>
          <w:rFonts w:ascii="Garamond" w:hAnsi="Garamond"/>
        </w:rPr>
        <w:t>A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consistently represented only a small portion of total basin-wide returns in our dataset. Despite this 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lastRenderedPageBreak/>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combined with natural variability in basin-wide production patterns, this may introduce substantial variability in the population-specific effect of the front-end closure. 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lastRenderedPageBreak/>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the minimum and average protection afforded to upper watershed groups, they also resulted in an additional 6% and 14% 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w:t>
      </w:r>
      <w:r>
        <w:rPr>
          <w:rFonts w:ascii="Garamond" w:hAnsi="Garamond"/>
        </w:rPr>
        <w:lastRenderedPageBreak/>
        <w:t xml:space="preserve">fishing for many communities in the lower Kuskokwim. An extended duration of this closure has the potential to further disrupt traditional fishing opportunities 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and our results replicate ecological patterns which have been observed in other contexts in the basin.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r>
        <w:rPr>
          <w:rStyle w:val="Strong"/>
          <w:rFonts w:ascii="Garamond" w:eastAsiaTheme="majorEastAsia" w:hAnsi="Garamond"/>
        </w:rPr>
        <w:t xml:space="preserve"> </w:t>
      </w:r>
      <w:r>
        <w:rPr>
          <w:rStyle w:val="Strong"/>
          <w:rFonts w:ascii="Garamond" w:eastAsiaTheme="majorEastAsia" w:hAnsi="Garamond"/>
          <w:b w:val="0"/>
          <w:bCs w:val="0"/>
        </w:rPr>
        <w:t>D</w:t>
      </w:r>
      <w:r>
        <w:rPr>
          <w:rFonts w:ascii="Garamond" w:hAnsi="Garamond"/>
        </w:rPr>
        <w:t>eveloping methods that explicitly consider this 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w:t>
      </w:r>
      <w:r>
        <w:rPr>
          <w:rFonts w:ascii="Garamond" w:hAnsi="Garamond" w:cs="Times New Roman"/>
        </w:rPr>
        <w:lastRenderedPageBreak/>
        <w:t xml:space="preserve">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lastRenderedPageBreak/>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77777777" w:rsidR="00983667" w:rsidRPr="00983667" w:rsidRDefault="00983667" w:rsidP="00983667">
      <w:pPr>
        <w:pStyle w:val="Bibliography"/>
        <w:rPr>
          <w:rFonts w:ascii="Garamond" w:hAnsi="Garamond"/>
        </w:rPr>
      </w:pPr>
      <w:r>
        <w:rPr>
          <w:rFonts w:ascii="Garamond" w:hAnsi="Garamond"/>
        </w:rPr>
        <w:t xml:space="preserve">Capo, R. C., Stewart, B. W., &amp; Chadwick, O. A. (1998). Strontium isotopes as tracers of ecosystem processes: Theory and methods. </w:t>
      </w:r>
      <w:r>
        <w:rPr>
          <w:rFonts w:ascii="Garamond" w:hAnsi="Garamond"/>
          <w:i/>
          <w:iCs/>
        </w:rPr>
        <w:t>Geoderma</w:t>
      </w:r>
      <w:r>
        <w:rPr>
          <w:rFonts w:ascii="Garamond" w:hAnsi="Garamond"/>
        </w:rPr>
        <w:t xml:space="preserve">, </w:t>
      </w:r>
      <w:r>
        <w:rPr>
          <w:rFonts w:ascii="Garamond" w:hAnsi="Garamond"/>
          <w:i/>
          <w:iCs/>
        </w:rPr>
        <w:t>82</w:t>
      </w:r>
      <w:r>
        <w:rPr>
          <w:rFonts w:ascii="Garamond" w:hAnsi="Garamond"/>
        </w:rPr>
        <w:t>(1), 197–225. https://doi.org/10.1016/S0016-7061(97)00102-X</w:t>
      </w:r>
    </w:p>
    <w:p w14:paraId="1F0908C6" w14:textId="77777777" w:rsidR="00983667" w:rsidRPr="00983667" w:rsidRDefault="00983667" w:rsidP="00983667">
      <w:pPr>
        <w:pStyle w:val="Bibliography"/>
        <w:rPr>
          <w:rFonts w:ascii="Garamond" w:hAnsi="Garamond"/>
        </w:rPr>
      </w:pPr>
      <w:r>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lastRenderedPageBreak/>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w:t>
      </w:r>
      <w:r>
        <w:rPr>
          <w:rFonts w:ascii="Garamond" w:hAnsi="Garamond"/>
        </w:rPr>
        <w:lastRenderedPageBreak/>
        <w:t xml:space="preserve">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w:t>
      </w:r>
      <w:r>
        <w:rPr>
          <w:rFonts w:ascii="Garamond" w:hAnsi="Garamond"/>
        </w:rPr>
        <w:lastRenderedPageBreak/>
        <w:t xml:space="preserve">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lastRenderedPageBreak/>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lastRenderedPageBreak/>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D104E" w14:textId="77777777" w:rsidR="00A24171" w:rsidRDefault="00A24171">
      <w:pPr>
        <w:spacing w:after="0" w:line="240" w:lineRule="auto"/>
      </w:pPr>
      <w:r>
        <w:separator/>
      </w:r>
    </w:p>
  </w:endnote>
  <w:endnote w:type="continuationSeparator" w:id="0">
    <w:p w14:paraId="30D0F135" w14:textId="77777777" w:rsidR="00A24171" w:rsidRDefault="00A241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F2276" w14:textId="77777777" w:rsidR="00A24171" w:rsidRDefault="00A24171">
      <w:pPr>
        <w:spacing w:after="0" w:line="240" w:lineRule="auto"/>
      </w:pPr>
      <w:r>
        <w:separator/>
      </w:r>
    </w:p>
  </w:footnote>
  <w:footnote w:type="continuationSeparator" w:id="0">
    <w:p w14:paraId="674C7628" w14:textId="77777777" w:rsidR="00A24171" w:rsidRDefault="00A241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83A7A"/>
    <w:rsid w:val="00085380"/>
    <w:rsid w:val="000854BE"/>
    <w:rsid w:val="00093841"/>
    <w:rsid w:val="000941AF"/>
    <w:rsid w:val="000979CB"/>
    <w:rsid w:val="000A55A6"/>
    <w:rsid w:val="000B5639"/>
    <w:rsid w:val="000B6B65"/>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C3B8F"/>
    <w:rsid w:val="001C6B33"/>
    <w:rsid w:val="001D3E40"/>
    <w:rsid w:val="001D6D0B"/>
    <w:rsid w:val="001D71C8"/>
    <w:rsid w:val="001E0D88"/>
    <w:rsid w:val="001F2097"/>
    <w:rsid w:val="001F70E4"/>
    <w:rsid w:val="0020053D"/>
    <w:rsid w:val="002006A2"/>
    <w:rsid w:val="0020187E"/>
    <w:rsid w:val="00206F6C"/>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67F38"/>
    <w:rsid w:val="00270862"/>
    <w:rsid w:val="002768BC"/>
    <w:rsid w:val="002769C2"/>
    <w:rsid w:val="00276AF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10A9F"/>
    <w:rsid w:val="00312FC9"/>
    <w:rsid w:val="00313CB8"/>
    <w:rsid w:val="003157C4"/>
    <w:rsid w:val="00320DDA"/>
    <w:rsid w:val="003224CC"/>
    <w:rsid w:val="0033106A"/>
    <w:rsid w:val="0033540B"/>
    <w:rsid w:val="00343C0B"/>
    <w:rsid w:val="003442B4"/>
    <w:rsid w:val="003474F0"/>
    <w:rsid w:val="003505B6"/>
    <w:rsid w:val="003508BF"/>
    <w:rsid w:val="003525FA"/>
    <w:rsid w:val="0035364D"/>
    <w:rsid w:val="00354EC0"/>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A7F78"/>
    <w:rsid w:val="003B0A46"/>
    <w:rsid w:val="003B38A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513B"/>
    <w:rsid w:val="00477415"/>
    <w:rsid w:val="00481088"/>
    <w:rsid w:val="00491C12"/>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C9F"/>
    <w:rsid w:val="00642B65"/>
    <w:rsid w:val="00643AC4"/>
    <w:rsid w:val="00645EF1"/>
    <w:rsid w:val="00651133"/>
    <w:rsid w:val="00653AE8"/>
    <w:rsid w:val="00653AF7"/>
    <w:rsid w:val="006540BC"/>
    <w:rsid w:val="0065535A"/>
    <w:rsid w:val="00655F63"/>
    <w:rsid w:val="00656B48"/>
    <w:rsid w:val="006617C0"/>
    <w:rsid w:val="0066241A"/>
    <w:rsid w:val="00662537"/>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81"/>
    <w:rsid w:val="007E1736"/>
    <w:rsid w:val="007E3A31"/>
    <w:rsid w:val="007F098D"/>
    <w:rsid w:val="007F32DE"/>
    <w:rsid w:val="007F35F9"/>
    <w:rsid w:val="007F37AE"/>
    <w:rsid w:val="007F4A77"/>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6BA"/>
    <w:rsid w:val="00900DF4"/>
    <w:rsid w:val="0090107F"/>
    <w:rsid w:val="00901ACE"/>
    <w:rsid w:val="00906B81"/>
    <w:rsid w:val="00907410"/>
    <w:rsid w:val="009076B8"/>
    <w:rsid w:val="009110AF"/>
    <w:rsid w:val="0091492C"/>
    <w:rsid w:val="00915EEE"/>
    <w:rsid w:val="00916EE1"/>
    <w:rsid w:val="00917026"/>
    <w:rsid w:val="00922435"/>
    <w:rsid w:val="00925A21"/>
    <w:rsid w:val="009263B7"/>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4171"/>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A1798"/>
    <w:rsid w:val="00AA26A1"/>
    <w:rsid w:val="00AA4630"/>
    <w:rsid w:val="00AA6EC2"/>
    <w:rsid w:val="00AB074C"/>
    <w:rsid w:val="00AB2317"/>
    <w:rsid w:val="00AB3DBB"/>
    <w:rsid w:val="00AB779D"/>
    <w:rsid w:val="00AC7C2D"/>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7C48"/>
    <w:rsid w:val="00BD0803"/>
    <w:rsid w:val="00BD2F8F"/>
    <w:rsid w:val="00BF0C62"/>
    <w:rsid w:val="00BF307A"/>
    <w:rsid w:val="00BF42AB"/>
    <w:rsid w:val="00C013DD"/>
    <w:rsid w:val="00C107EA"/>
    <w:rsid w:val="00C10AF2"/>
    <w:rsid w:val="00C162F5"/>
    <w:rsid w:val="00C1704A"/>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54BB"/>
    <w:rsid w:val="00E45959"/>
    <w:rsid w:val="00E45D57"/>
    <w:rsid w:val="00E46D9E"/>
    <w:rsid w:val="00E46ECD"/>
    <w:rsid w:val="00E471DA"/>
    <w:rsid w:val="00E61436"/>
    <w:rsid w:val="00E6389A"/>
    <w:rsid w:val="00E66931"/>
    <w:rsid w:val="00E671EF"/>
    <w:rsid w:val="00E67672"/>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26</Pages>
  <Words>24339</Words>
  <Characters>138736</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23</cp:revision>
  <cp:lastPrinted>2026-03-10T22:36:00Z</cp:lastPrinted>
  <dcterms:created xsi:type="dcterms:W3CDTF">2026-03-10T22:36:00Z</dcterms:created>
  <dcterms:modified xsi:type="dcterms:W3CDTF">2026-06-23T16:20:00Z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