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5B6DFB" w:rsidRDefault="007F5F83" w:rsidP="007F5F83">
      <w:pPr>
        <w:jc w:val="center"/>
        <w:rPr>
          <w:rFonts w:ascii="Garamond" w:hAnsi="Garamond"/>
          <w:sz w:val="22"/>
          <w:szCs w:val="22"/>
        </w:rPr>
      </w:pPr>
      <w:r w:rsidRPr="005B6DFB">
        <w:rPr>
          <w:rFonts w:ascii="Garamond" w:hAnsi="Garamond"/>
          <w:sz w:val="22"/>
          <w:szCs w:val="22"/>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5B6DFB" w:rsidRDefault="007F5F83" w:rsidP="00A77737">
      <w:pPr>
        <w:pStyle w:val="Heading2"/>
      </w:pPr>
      <w:r w:rsidRPr="005B6DFB">
        <w:t xml:space="preserve">Reviewer 1: </w:t>
      </w:r>
    </w:p>
    <w:p w14:paraId="5D9570CC" w14:textId="2BC27FD1" w:rsidR="007F5F83" w:rsidRPr="005B6DFB" w:rsidRDefault="007F5F83" w:rsidP="007F5F83">
      <w:pPr>
        <w:rPr>
          <w:rFonts w:ascii="Garamond" w:hAnsi="Garamond"/>
          <w:b/>
          <w:bCs/>
          <w:sz w:val="22"/>
          <w:szCs w:val="22"/>
        </w:rPr>
      </w:pPr>
      <w:r w:rsidRPr="005B6DFB">
        <w:rPr>
          <w:rFonts w:ascii="Garamond" w:hAnsi="Garamond"/>
          <w:sz w:val="22"/>
          <w:szCs w:val="22"/>
        </w:rPr>
        <w:t>Major Comments</w:t>
      </w:r>
    </w:p>
    <w:p w14:paraId="482E15C8" w14:textId="07B59EB0" w:rsidR="007F5F83" w:rsidRPr="005B6DFB" w:rsidRDefault="007F5F83" w:rsidP="007F5F83">
      <w:pPr>
        <w:rPr>
          <w:rFonts w:ascii="Garamond" w:hAnsi="Garamond" w:cs="Times New Roman"/>
          <w:b/>
          <w:bCs/>
          <w:sz w:val="22"/>
          <w:szCs w:val="22"/>
        </w:rPr>
      </w:pPr>
      <w:r w:rsidRPr="005B6DFB">
        <w:rPr>
          <w:rFonts w:ascii="Garamond" w:hAnsi="Garamond" w:cs="Times New Roman"/>
          <w:b/>
          <w:bCs/>
          <w:sz w:val="22"/>
          <w:szCs w:val="22"/>
        </w:rPr>
        <w:t>I really appreciate the author teams’ succinct presentation of their findings (less than 20 pages excluding references makes for a much easier lift!); however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basin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70DE0E0C" w14:textId="5FAE380F" w:rsidR="001267A1" w:rsidRPr="005B6DFB" w:rsidRDefault="001267A1" w:rsidP="00A6390C">
      <w:pPr>
        <w:ind w:left="720"/>
        <w:rPr>
          <w:rFonts w:ascii="Garamond" w:hAnsi="Garamond" w:cs="Times New Roman"/>
          <w:sz w:val="22"/>
          <w:szCs w:val="22"/>
        </w:rPr>
      </w:pPr>
      <w:r w:rsidRPr="005B6DFB">
        <w:rPr>
          <w:rFonts w:ascii="Garamond" w:hAnsi="Garamond" w:cs="Times New Roman"/>
          <w:sz w:val="22"/>
          <w:szCs w:val="22"/>
        </w:rPr>
        <w:t xml:space="preserve">To improve readability we added a penultimate paragraph per the reviewer’s suggestion expanding on the limitation for estimating basin-scale patterns currently as well as highlighting the unique ability of otolith microchemistry to address these limitations. In addition, we added a few sentences expanding on… </w:t>
      </w:r>
    </w:p>
    <w:p w14:paraId="4633C13B" w14:textId="4F79BF9E" w:rsidR="001267A1" w:rsidRPr="005B6DFB" w:rsidRDefault="001267A1" w:rsidP="00A77737">
      <w:pPr>
        <w:ind w:firstLine="720"/>
        <w:rPr>
          <w:rFonts w:ascii="Garamond" w:hAnsi="Garamond" w:cs="Times New Roman"/>
          <w:sz w:val="22"/>
          <w:szCs w:val="22"/>
        </w:rPr>
      </w:pPr>
      <w:r w:rsidRPr="005B6DFB">
        <w:rPr>
          <w:rFonts w:ascii="Garamond" w:hAnsi="Garamond" w:cs="Times New Roman"/>
          <w:sz w:val="22"/>
          <w:szCs w:val="22"/>
          <w:highlight w:val="yellow"/>
        </w:rPr>
        <w:t xml:space="preserve">** Add a few more sentences on Chinook salmon distribution </w:t>
      </w:r>
      <w:r w:rsidR="00A77737">
        <w:rPr>
          <w:rFonts w:ascii="Garamond" w:hAnsi="Garamond" w:cs="Times New Roman"/>
          <w:sz w:val="22"/>
          <w:szCs w:val="22"/>
          <w:highlight w:val="yellow"/>
        </w:rPr>
        <w:t xml:space="preserve">, community reliance, etc. </w:t>
      </w:r>
      <w:r w:rsidRPr="005B6DFB">
        <w:rPr>
          <w:rFonts w:ascii="Garamond" w:hAnsi="Garamond" w:cs="Times New Roman"/>
          <w:sz w:val="22"/>
          <w:szCs w:val="22"/>
          <w:highlight w:val="yellow"/>
        </w:rPr>
        <w:t>**</w:t>
      </w:r>
      <w:r w:rsidRPr="005B6DFB">
        <w:rPr>
          <w:rFonts w:ascii="Garamond" w:hAnsi="Garamond" w:cs="Times New Roman"/>
          <w:sz w:val="22"/>
          <w:szCs w:val="22"/>
        </w:rPr>
        <w:t xml:space="preserve"> </w:t>
      </w:r>
    </w:p>
    <w:p w14:paraId="38BBC3E5" w14:textId="201F0BB4" w:rsidR="00A6390C" w:rsidRPr="005B6DFB" w:rsidRDefault="007F5F83" w:rsidP="007F5F83">
      <w:pPr>
        <w:rPr>
          <w:rFonts w:ascii="Garamond" w:hAnsi="Garamond" w:cs="Times New Roman"/>
          <w:b/>
          <w:bCs/>
          <w:sz w:val="22"/>
          <w:szCs w:val="22"/>
        </w:rPr>
      </w:pPr>
      <w:r w:rsidRPr="005B6DFB">
        <w:rPr>
          <w:rFonts w:ascii="Garamond" w:hAnsi="Garamond"/>
          <w:sz w:val="22"/>
          <w:szCs w:val="22"/>
        </w:rPr>
        <w:br/>
      </w:r>
      <w:r w:rsidRPr="005B6DFB">
        <w:rPr>
          <w:rFonts w:ascii="Garamond" w:hAnsi="Garamond"/>
          <w:sz w:val="22"/>
          <w:szCs w:val="22"/>
        </w:rPr>
        <w:br/>
      </w:r>
      <w:r w:rsidRPr="005B6DFB">
        <w:rPr>
          <w:rFonts w:ascii="Garamond" w:hAnsi="Garamond" w:cs="Times New Roman"/>
          <w:b/>
          <w:bCs/>
          <w:sz w:val="22"/>
          <w:szCs w:val="22"/>
        </w:rPr>
        <w:t>Similarly a large portion of the methods focuses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Similarly I think some material in the discussion about how well the regional groupings conform to any a priori predictions about population structure that were derived from traditional ecological knowledge would be of interest to readers.</w:t>
      </w:r>
      <w:r w:rsidRPr="005B6DFB">
        <w:rPr>
          <w:rFonts w:ascii="Garamond" w:hAnsi="Garamond" w:cs="Times New Roman"/>
          <w:b/>
          <w:bCs/>
          <w:sz w:val="22"/>
          <w:szCs w:val="22"/>
        </w:rPr>
        <w:br/>
      </w:r>
    </w:p>
    <w:p w14:paraId="5129C267" w14:textId="79A165D4" w:rsidR="00A6390C" w:rsidRPr="005B6DFB" w:rsidRDefault="00A77737" w:rsidP="00A77737">
      <w:pPr>
        <w:ind w:left="720"/>
        <w:rPr>
          <w:rFonts w:ascii="Garamond" w:hAnsi="Garamond"/>
          <w:b/>
          <w:bCs/>
          <w:sz w:val="22"/>
          <w:szCs w:val="22"/>
        </w:rPr>
      </w:pPr>
      <w:r w:rsidRPr="00A77737">
        <w:rPr>
          <w:rFonts w:ascii="Garamond" w:hAnsi="Garamond"/>
          <w:b/>
          <w:bCs/>
          <w:sz w:val="22"/>
          <w:szCs w:val="22"/>
          <w:highlight w:val="yellow"/>
        </w:rPr>
        <w:t>** Ask Daniel about if we should move some of the assignment information to the methods section **</w:t>
      </w:r>
      <w:r>
        <w:rPr>
          <w:rFonts w:ascii="Garamond" w:hAnsi="Garamond"/>
          <w:b/>
          <w:bCs/>
          <w:sz w:val="22"/>
          <w:szCs w:val="22"/>
        </w:rPr>
        <w:t xml:space="preserve"> </w:t>
      </w:r>
    </w:p>
    <w:p w14:paraId="768F261B" w14:textId="77777777" w:rsidR="00A6390C" w:rsidRPr="005B6DFB" w:rsidRDefault="00A6390C" w:rsidP="007F5F83">
      <w:pPr>
        <w:rPr>
          <w:rFonts w:ascii="Garamond" w:hAnsi="Garamond"/>
          <w:b/>
          <w:bCs/>
          <w:sz w:val="22"/>
          <w:szCs w:val="22"/>
        </w:rPr>
      </w:pPr>
    </w:p>
    <w:p w14:paraId="233B5CFD" w14:textId="2402C238" w:rsidR="00A6390C" w:rsidRDefault="007F5F83" w:rsidP="007F5F83">
      <w:pPr>
        <w:rPr>
          <w:rFonts w:ascii="Garamond" w:hAnsi="Garamond"/>
          <w:b/>
          <w:bCs/>
          <w:sz w:val="22"/>
          <w:szCs w:val="22"/>
        </w:rPr>
      </w:pPr>
      <w:r w:rsidRPr="005B6DFB">
        <w:rPr>
          <w:rFonts w:ascii="Garamond" w:hAnsi="Garamond"/>
          <w:b/>
          <w:bCs/>
          <w:sz w:val="22"/>
          <w:szCs w:val="22"/>
        </w:rPr>
        <w:br/>
        <w:t xml:space="preserve">I appreciated the authors’ attempt to account for multiple sources of uncertainty, but found the section on natal origin estimation difficult to parse. What does within-population error represent in </w:t>
      </w:r>
      <w:r w:rsidRPr="005B6DFB">
        <w:rPr>
          <w:rFonts w:ascii="Garamond" w:hAnsi="Garamond"/>
          <w:b/>
          <w:bCs/>
          <w:sz w:val="22"/>
          <w:szCs w:val="22"/>
        </w:rPr>
        <w:lastRenderedPageBreak/>
        <w:t xml:space="preserve">this case? Would it be informative to present the relative magnitude of each of these variance parameters? </w:t>
      </w:r>
    </w:p>
    <w:p w14:paraId="06E93EDA" w14:textId="0753CC4D" w:rsidR="00AC4132" w:rsidRPr="00AC4132" w:rsidRDefault="00AC4132" w:rsidP="00AC4132">
      <w:pPr>
        <w:ind w:left="720"/>
        <w:rPr>
          <w:rFonts w:ascii="Garamond" w:hAnsi="Garamond"/>
          <w:sz w:val="22"/>
          <w:szCs w:val="22"/>
        </w:rPr>
      </w:pPr>
      <w:r w:rsidRPr="00AC4132">
        <w:rPr>
          <w:rFonts w:ascii="Garamond" w:hAnsi="Garamond"/>
          <w:sz w:val="22"/>
          <w:szCs w:val="22"/>
        </w:rPr>
        <w:t xml:space="preserve">To add clarity as to the sources of uncertainty and their magnitude we expanded on this sentence to include a brief description as well as the magnitude. For </w:t>
      </w:r>
      <w:proofErr w:type="spellStart"/>
      <w:r w:rsidRPr="00AC4132">
        <w:rPr>
          <w:rFonts w:ascii="Garamond" w:hAnsi="Garamond"/>
          <w:sz w:val="22"/>
          <w:szCs w:val="22"/>
        </w:rPr>
        <w:t>isoscape</w:t>
      </w:r>
      <w:proofErr w:type="spellEnd"/>
      <w:r w:rsidRPr="00AC4132">
        <w:rPr>
          <w:rFonts w:ascii="Garamond" w:hAnsi="Garamond"/>
          <w:sz w:val="22"/>
          <w:szCs w:val="22"/>
        </w:rPr>
        <w:t xml:space="preserve"> prediction error, which varies by location, we reported the basin-wide mean. ;</w:t>
      </w:r>
    </w:p>
    <w:p w14:paraId="5542868C" w14:textId="34D15840" w:rsidR="00AC4132" w:rsidRDefault="00AC4132" w:rsidP="00AC4132">
      <w:pPr>
        <w:ind w:left="720"/>
        <w:rPr>
          <w:rFonts w:ascii="Garamond" w:hAnsi="Garamond"/>
          <w:b/>
          <w:bCs/>
          <w:sz w:val="22"/>
          <w:szCs w:val="22"/>
        </w:rPr>
      </w:pPr>
      <w:r w:rsidRPr="00AC4132">
        <w:rPr>
          <w:rFonts w:ascii="Garamond" w:hAnsi="Garamond"/>
          <w:b/>
          <w:bCs/>
          <w:sz w:val="22"/>
          <w:szCs w:val="22"/>
        </w:rPr>
        <w:t xml:space="preserve">“ </w:t>
      </w:r>
      <w:r w:rsidRPr="00AC4132">
        <w:rPr>
          <w:rFonts w:ascii="Garamond" w:eastAsia="Times New Roman" w:hAnsi="Garamond" w:cs="Times New Roman"/>
          <w:kern w:val="0"/>
          <w14:ligatures w14:val="none"/>
        </w:rPr>
        <w:t xml:space="preserve">These sources include analytical error (variation among repeated standard measurements; 0.000055), within-population error (variation among individuals at the same site; 0.00016), and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error (uncertainty in </w:t>
      </w:r>
      <w:proofErr w:type="spellStart"/>
      <w:r w:rsidRPr="00AC4132">
        <w:rPr>
          <w:rFonts w:ascii="Garamond" w:eastAsia="Times New Roman" w:hAnsi="Garamond" w:cs="Times New Roman"/>
          <w:kern w:val="0"/>
          <w14:ligatures w14:val="none"/>
        </w:rPr>
        <w:t>isoscape</w:t>
      </w:r>
      <w:proofErr w:type="spellEnd"/>
      <w:r w:rsidRPr="00AC4132">
        <w:rPr>
          <w:rFonts w:ascii="Garamond" w:eastAsia="Times New Roman" w:hAnsi="Garamond" w:cs="Times New Roman"/>
          <w:kern w:val="0"/>
          <w14:ligatures w14:val="none"/>
        </w:rPr>
        <w:t xml:space="preserve"> model predictions; basin-wide mean = 0.00072).</w:t>
      </w:r>
      <w:r w:rsidRPr="00AC4132">
        <w:rPr>
          <w:rFonts w:ascii="Garamond" w:eastAsia="Times New Roman" w:hAnsi="Garamond" w:cs="Times New Roman"/>
          <w:kern w:val="0"/>
          <w14:ligatures w14:val="none"/>
        </w:rPr>
        <w:t>”</w:t>
      </w:r>
    </w:p>
    <w:p w14:paraId="24F9850B" w14:textId="74A410EA" w:rsidR="00A6390C" w:rsidRPr="005B6DFB" w:rsidRDefault="00A6390C" w:rsidP="007F5F83">
      <w:pPr>
        <w:rPr>
          <w:rFonts w:ascii="Garamond" w:hAnsi="Garamond"/>
          <w:b/>
          <w:bCs/>
          <w:sz w:val="22"/>
          <w:szCs w:val="22"/>
        </w:rPr>
      </w:pPr>
    </w:p>
    <w:p w14:paraId="0DA812F9" w14:textId="77777777" w:rsidR="00A6390C" w:rsidRDefault="007F5F83" w:rsidP="007F5F83">
      <w:pPr>
        <w:rPr>
          <w:rFonts w:ascii="Garamond" w:hAnsi="Garamond"/>
          <w:b/>
          <w:bCs/>
          <w:sz w:val="22"/>
          <w:szCs w:val="22"/>
        </w:rPr>
      </w:pPr>
      <w:r w:rsidRPr="005B6DFB">
        <w:rPr>
          <w:rFonts w:ascii="Garamond" w:hAnsi="Garamond"/>
          <w:b/>
          <w:bCs/>
          <w:sz w:val="22"/>
          <w:szCs w:val="22"/>
        </w:rPr>
        <w:t>Similarly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400E24AE" w14:textId="33C66B69" w:rsidR="00AC4132" w:rsidRPr="007C49BD" w:rsidRDefault="00AC4132" w:rsidP="00AC4132">
      <w:pPr>
        <w:ind w:left="720"/>
        <w:rPr>
          <w:rFonts w:ascii="Garamond" w:hAnsi="Garamond"/>
          <w:sz w:val="22"/>
          <w:szCs w:val="22"/>
          <w:highlight w:val="yellow"/>
        </w:rPr>
      </w:pPr>
      <w:r w:rsidRPr="007C49BD">
        <w:rPr>
          <w:rFonts w:ascii="Garamond" w:hAnsi="Garamond"/>
          <w:sz w:val="22"/>
          <w:szCs w:val="22"/>
          <w:highlight w:val="yellow"/>
        </w:rPr>
        <w:t xml:space="preserve">A limitation of these methods in this system is that it is not currently possible for us to assess assignment accuracy to the sub-basin level. 100% of individuals were assigned using their natal origin signature, however, there was inherently due to both the variation in otolith-isotope and </w:t>
      </w:r>
      <w:proofErr w:type="spellStart"/>
      <w:r w:rsidRPr="007C49BD">
        <w:rPr>
          <w:rFonts w:ascii="Garamond" w:hAnsi="Garamond"/>
          <w:sz w:val="22"/>
          <w:szCs w:val="22"/>
          <w:highlight w:val="yellow"/>
        </w:rPr>
        <w:t>isoscape</w:t>
      </w:r>
      <w:proofErr w:type="spellEnd"/>
      <w:r w:rsidRPr="007C49BD">
        <w:rPr>
          <w:rFonts w:ascii="Garamond" w:hAnsi="Garamond"/>
          <w:sz w:val="22"/>
          <w:szCs w:val="22"/>
          <w:highlight w:val="yellow"/>
        </w:rPr>
        <w:t xml:space="preserve"> fit as well as variation in the associated error across sites. </w:t>
      </w:r>
    </w:p>
    <w:p w14:paraId="26330E4F" w14:textId="1127EC2D" w:rsidR="00A6390C" w:rsidRDefault="00AC4132" w:rsidP="00A96286">
      <w:pPr>
        <w:ind w:firstLine="720"/>
        <w:rPr>
          <w:rFonts w:ascii="Garamond" w:hAnsi="Garamond"/>
          <w:b/>
          <w:bCs/>
          <w:sz w:val="22"/>
          <w:szCs w:val="22"/>
        </w:rPr>
      </w:pPr>
      <w:r w:rsidRPr="007C49BD">
        <w:rPr>
          <w:rFonts w:ascii="Garamond" w:hAnsi="Garamond"/>
          <w:sz w:val="22"/>
          <w:szCs w:val="22"/>
          <w:highlight w:val="yellow"/>
        </w:rPr>
        <w:t>*** Ask Daniel how to respond to these comments***</w:t>
      </w:r>
      <w:r>
        <w:rPr>
          <w:rFonts w:ascii="Garamond" w:hAnsi="Garamond"/>
          <w:b/>
          <w:bCs/>
          <w:sz w:val="22"/>
          <w:szCs w:val="22"/>
        </w:rPr>
        <w:t xml:space="preserve"> </w:t>
      </w:r>
      <w:r w:rsidR="007F5F83" w:rsidRPr="005B6DFB">
        <w:rPr>
          <w:rFonts w:ascii="Garamond" w:hAnsi="Garamond"/>
          <w:b/>
          <w:bCs/>
          <w:sz w:val="22"/>
          <w:szCs w:val="22"/>
        </w:rPr>
        <w:br/>
      </w:r>
      <w:r w:rsidR="007F5F83" w:rsidRPr="005B6DFB">
        <w:rPr>
          <w:rFonts w:ascii="Garamond" w:hAnsi="Garamond"/>
          <w:b/>
          <w:bCs/>
          <w:sz w:val="22"/>
          <w:szCs w:val="22"/>
        </w:rPr>
        <w:b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007F5F83" w:rsidRPr="005B6DFB">
        <w:rPr>
          <w:rFonts w:ascii="Garamond" w:hAnsi="Garamond"/>
          <w:b/>
          <w:bCs/>
          <w:sz w:val="22"/>
          <w:szCs w:val="22"/>
        </w:rPr>
        <w:br/>
      </w:r>
    </w:p>
    <w:p w14:paraId="27AC17DD" w14:textId="48B35099" w:rsidR="00F93EF2" w:rsidRPr="007C49BD" w:rsidRDefault="007C49BD" w:rsidP="00A96286">
      <w:pPr>
        <w:ind w:firstLine="720"/>
        <w:rPr>
          <w:rFonts w:ascii="Garamond" w:hAnsi="Garamond"/>
          <w:sz w:val="22"/>
          <w:szCs w:val="22"/>
        </w:rPr>
      </w:pPr>
      <w:r w:rsidRPr="007C49BD">
        <w:rPr>
          <w:rFonts w:ascii="Garamond" w:hAnsi="Garamond"/>
          <w:sz w:val="22"/>
          <w:szCs w:val="22"/>
          <w:highlight w:val="yellow"/>
        </w:rPr>
        <w:t>** Ask Daniel how to respond to this **</w:t>
      </w:r>
      <w:r w:rsidRPr="007C49BD">
        <w:rPr>
          <w:rFonts w:ascii="Garamond" w:hAnsi="Garamond"/>
          <w:sz w:val="22"/>
          <w:szCs w:val="22"/>
        </w:rPr>
        <w:t xml:space="preserve"> </w:t>
      </w:r>
    </w:p>
    <w:p w14:paraId="2729E145" w14:textId="77777777" w:rsidR="00F93EF2" w:rsidRDefault="00F93EF2" w:rsidP="00A96286">
      <w:pPr>
        <w:ind w:firstLine="720"/>
        <w:rPr>
          <w:rFonts w:ascii="Garamond" w:hAnsi="Garamond"/>
          <w:b/>
          <w:bCs/>
          <w:sz w:val="22"/>
          <w:szCs w:val="22"/>
        </w:rPr>
      </w:pPr>
    </w:p>
    <w:p w14:paraId="6845ADCE" w14:textId="77777777" w:rsidR="00F93EF2" w:rsidRDefault="00F93EF2" w:rsidP="00A96286">
      <w:pPr>
        <w:ind w:firstLine="720"/>
        <w:rPr>
          <w:rFonts w:ascii="Garamond" w:hAnsi="Garamond"/>
          <w:b/>
          <w:bCs/>
          <w:sz w:val="22"/>
          <w:szCs w:val="22"/>
        </w:rPr>
      </w:pPr>
    </w:p>
    <w:p w14:paraId="5AE5DE96" w14:textId="77777777" w:rsidR="00F93EF2" w:rsidRDefault="00F93EF2" w:rsidP="00A96286">
      <w:pPr>
        <w:ind w:firstLine="720"/>
        <w:rPr>
          <w:rFonts w:ascii="Garamond" w:hAnsi="Garamond"/>
          <w:b/>
          <w:bCs/>
          <w:sz w:val="22"/>
          <w:szCs w:val="22"/>
        </w:rPr>
      </w:pPr>
    </w:p>
    <w:p w14:paraId="6C329041" w14:textId="77777777" w:rsidR="00F93EF2" w:rsidRDefault="00F93EF2" w:rsidP="00A96286">
      <w:pPr>
        <w:ind w:firstLine="720"/>
        <w:rPr>
          <w:rFonts w:ascii="Garamond" w:hAnsi="Garamond"/>
          <w:b/>
          <w:bCs/>
          <w:sz w:val="22"/>
          <w:szCs w:val="22"/>
        </w:rPr>
      </w:pPr>
    </w:p>
    <w:p w14:paraId="075B00E3" w14:textId="77777777" w:rsidR="00F93EF2" w:rsidRPr="005B6DFB" w:rsidRDefault="00F93EF2" w:rsidP="00A96286">
      <w:pPr>
        <w:ind w:firstLine="720"/>
        <w:rPr>
          <w:rFonts w:ascii="Garamond" w:hAnsi="Garamond"/>
          <w:b/>
          <w:bCs/>
          <w:sz w:val="22"/>
          <w:szCs w:val="22"/>
        </w:rPr>
      </w:pPr>
    </w:p>
    <w:p w14:paraId="7C9A997A" w14:textId="77777777" w:rsidR="007C49BD" w:rsidRDefault="007F5F83" w:rsidP="007F5F83">
      <w:pPr>
        <w:rPr>
          <w:rFonts w:ascii="Garamond" w:hAnsi="Garamond"/>
          <w:b/>
          <w:bCs/>
          <w:sz w:val="22"/>
          <w:szCs w:val="22"/>
        </w:rPr>
      </w:pPr>
      <w:r w:rsidRPr="005B6DFB">
        <w:rPr>
          <w:rFonts w:ascii="Garamond" w:hAnsi="Garamond"/>
          <w:b/>
          <w:bCs/>
          <w:sz w:val="22"/>
          <w:szCs w:val="22"/>
        </w:rPr>
        <w:lastRenderedPageBreak/>
        <w:br/>
        <w:t>Interannual Variability in Migration Phenology of Upstream Components</w:t>
      </w:r>
      <w:r w:rsidRPr="005B6DFB">
        <w:rPr>
          <w:rFonts w:ascii="Garamond" w:hAnsi="Garamond"/>
          <w:b/>
          <w:bCs/>
          <w:sz w:val="22"/>
          <w:szCs w:val="22"/>
        </w:rPr>
        <w:br/>
      </w:r>
    </w:p>
    <w:p w14:paraId="74F1A412" w14:textId="266B474A" w:rsidR="00491217" w:rsidRPr="005B6DFB" w:rsidRDefault="007F5F83" w:rsidP="007F5F83">
      <w:pPr>
        <w:rPr>
          <w:rFonts w:ascii="Garamond" w:hAnsi="Garamond"/>
          <w:b/>
          <w:bCs/>
          <w:sz w:val="22"/>
          <w:szCs w:val="22"/>
        </w:rPr>
      </w:pPr>
      <w:r w:rsidRPr="005B6DFB">
        <w:rPr>
          <w:rFonts w:ascii="Garamond" w:hAnsi="Garamond"/>
          <w:b/>
          <w:bCs/>
          <w:sz w:val="22"/>
          <w:szCs w:val="22"/>
        </w:rPr>
        <w:t>At least to my eye from Fig 4, it seems as though groups 1 and 2 have much greater interannual variability in run timing. I would recommend testing for this quantitatively (e.g. the CV of 50% passage date among years by group). It’s not only of ecological interest, but presumably is driving the effects seen in Fig 5 and strongly constrains the performance of a harvest control rule based on a fixed temporal window.</w:t>
      </w:r>
    </w:p>
    <w:p w14:paraId="542B85FB" w14:textId="77777777" w:rsidR="00491217" w:rsidRDefault="00491217" w:rsidP="007F5F83">
      <w:pPr>
        <w:rPr>
          <w:rFonts w:ascii="Garamond" w:hAnsi="Garamond"/>
          <w:b/>
          <w:bCs/>
          <w:sz w:val="22"/>
          <w:szCs w:val="22"/>
        </w:rPr>
      </w:pPr>
    </w:p>
    <w:p w14:paraId="4F4FDB35" w14:textId="00465B10" w:rsidR="00BA245F" w:rsidRDefault="00BA245F" w:rsidP="00BA245F">
      <w:pPr>
        <w:ind w:firstLine="720"/>
        <w:rPr>
          <w:rFonts w:ascii="Garamond" w:hAnsi="Garamond"/>
          <w:b/>
          <w:bCs/>
          <w:sz w:val="22"/>
          <w:szCs w:val="22"/>
        </w:rPr>
      </w:pPr>
      <w:r w:rsidRPr="00BA245F">
        <w:rPr>
          <w:rFonts w:ascii="Garamond" w:hAnsi="Garamond"/>
          <w:b/>
          <w:bCs/>
          <w:sz w:val="22"/>
          <w:szCs w:val="22"/>
          <w:highlight w:val="yellow"/>
        </w:rPr>
        <w:t>*** Working ***</w:t>
      </w:r>
      <w:r>
        <w:rPr>
          <w:rFonts w:ascii="Garamond" w:hAnsi="Garamond"/>
          <w:b/>
          <w:bCs/>
          <w:sz w:val="22"/>
          <w:szCs w:val="22"/>
        </w:rPr>
        <w:t xml:space="preserve"> </w:t>
      </w:r>
    </w:p>
    <w:p w14:paraId="5220DC42" w14:textId="77777777" w:rsidR="00BA245F" w:rsidRDefault="00BA245F" w:rsidP="007F5F83">
      <w:pPr>
        <w:rPr>
          <w:rFonts w:ascii="Garamond" w:hAnsi="Garamond"/>
          <w:b/>
          <w:bCs/>
          <w:sz w:val="22"/>
          <w:szCs w:val="22"/>
        </w:rPr>
      </w:pPr>
    </w:p>
    <w:p w14:paraId="29EA81DF" w14:textId="3B2C4B41" w:rsidR="00491217" w:rsidRPr="005B6DFB" w:rsidRDefault="00491217" w:rsidP="007F5F83">
      <w:pPr>
        <w:rPr>
          <w:rFonts w:ascii="Garamond" w:hAnsi="Garamond"/>
          <w:b/>
          <w:bCs/>
          <w:sz w:val="22"/>
          <w:szCs w:val="22"/>
        </w:rPr>
      </w:pPr>
      <w:r w:rsidRPr="005B6DFB">
        <w:rPr>
          <w:rFonts w:ascii="Garamond" w:hAnsi="Garamond"/>
          <w:b/>
          <w:bCs/>
          <w:sz w:val="22"/>
          <w:szCs w:val="22"/>
        </w:rPr>
        <w:t>Lines 12-14: I think spatiotemporal dynamics of migrating Chinook are relatively well understood in some systems (e.g. Fraser, Columbia, Central Valley), especially compared to most other commercially exploited species. Perhaps best to qualify?</w:t>
      </w:r>
    </w:p>
    <w:p w14:paraId="25B0BB1B" w14:textId="69A2022D" w:rsidR="001B29D5" w:rsidRPr="005B6DFB" w:rsidRDefault="001B29D5" w:rsidP="007F5F83">
      <w:pPr>
        <w:rPr>
          <w:rFonts w:ascii="Garamond" w:hAnsi="Garamond"/>
          <w:sz w:val="22"/>
          <w:szCs w:val="22"/>
        </w:rPr>
      </w:pPr>
      <w:r w:rsidRPr="005B6DFB">
        <w:rPr>
          <w:rFonts w:ascii="Garamond" w:hAnsi="Garamond"/>
          <w:sz w:val="22"/>
          <w:szCs w:val="22"/>
        </w:rPr>
        <w:tab/>
        <w:t xml:space="preserve">We added to this sentence to clarify that this is only true in some larger watersheds. </w:t>
      </w:r>
    </w:p>
    <w:p w14:paraId="65F3B023" w14:textId="6D6F2412" w:rsidR="001B29D5" w:rsidRPr="005B6DFB" w:rsidRDefault="001B29D5" w:rsidP="001B29D5">
      <w:pPr>
        <w:ind w:left="720"/>
        <w:rPr>
          <w:rFonts w:ascii="Garamond" w:hAnsi="Garamond"/>
          <w:sz w:val="22"/>
          <w:szCs w:val="22"/>
        </w:rPr>
      </w:pPr>
      <w:r w:rsidRPr="005B6DFB">
        <w:rPr>
          <w:rFonts w:ascii="Garamond" w:hAnsi="Garamond"/>
          <w:sz w:val="22"/>
          <w:szCs w:val="22"/>
        </w:rPr>
        <w:t>“ . In Pacific salmon, biodiversity among populations contributes to basin-wide resilience, yet spatiotemporal dynamics of adult migrating Chinook salmon remain poorly understood in many large salmon producing watersheds, creating uncertainty about management impacts.”</w:t>
      </w:r>
    </w:p>
    <w:p w14:paraId="1709BC43" w14:textId="77777777" w:rsidR="001B29D5" w:rsidRPr="005B6DFB" w:rsidRDefault="001B29D5" w:rsidP="001B29D5">
      <w:pPr>
        <w:ind w:left="720"/>
        <w:rPr>
          <w:rFonts w:ascii="Garamond" w:hAnsi="Garamond"/>
          <w:sz w:val="22"/>
          <w:szCs w:val="22"/>
        </w:rPr>
      </w:pPr>
    </w:p>
    <w:p w14:paraId="53395093" w14:textId="77777777" w:rsidR="00491217" w:rsidRPr="005B6DFB" w:rsidRDefault="00491217" w:rsidP="007F5F83">
      <w:pPr>
        <w:rPr>
          <w:rFonts w:ascii="Garamond" w:hAnsi="Garamond"/>
          <w:b/>
          <w:bCs/>
          <w:sz w:val="22"/>
          <w:szCs w:val="22"/>
        </w:rPr>
      </w:pPr>
      <w:r w:rsidRPr="005B6DFB">
        <w:rPr>
          <w:rFonts w:ascii="Garamond" w:hAnsi="Garamond"/>
          <w:b/>
          <w:bCs/>
          <w:sz w:val="22"/>
          <w:szCs w:val="22"/>
        </w:rPr>
        <w:t>Line 45-47: May also be worth highlighting that interior populations are often more likely to at low abundance (e.g. Atlas et al. 2023)</w:t>
      </w:r>
    </w:p>
    <w:p w14:paraId="440C84B0" w14:textId="5358AF10" w:rsidR="00A9405C" w:rsidRDefault="00A9405C" w:rsidP="00D64608">
      <w:pPr>
        <w:ind w:left="720"/>
        <w:rPr>
          <w:rFonts w:ascii="Garamond" w:hAnsi="Garamond"/>
          <w:sz w:val="22"/>
          <w:szCs w:val="22"/>
        </w:rPr>
      </w:pPr>
      <w:r>
        <w:rPr>
          <w:rFonts w:ascii="Garamond" w:hAnsi="Garamond"/>
          <w:sz w:val="22"/>
          <w:szCs w:val="22"/>
        </w:rPr>
        <w:t xml:space="preserve">We added an additional sentence here to highlight that early migrants and those with extended migration durations are at heightened conservation risk per Atlas et al., 2023 </w:t>
      </w:r>
    </w:p>
    <w:p w14:paraId="09CC0F6E" w14:textId="318DBF79" w:rsidR="001B29D5" w:rsidRDefault="00A9405C" w:rsidP="00D64608">
      <w:pPr>
        <w:ind w:left="720"/>
        <w:rPr>
          <w:rFonts w:ascii="Garamond" w:hAnsi="Garamond"/>
          <w:sz w:val="22"/>
          <w:szCs w:val="22"/>
        </w:rPr>
      </w:pPr>
      <w:r>
        <w:rPr>
          <w:rFonts w:ascii="Garamond" w:hAnsi="Garamond"/>
          <w:sz w:val="22"/>
          <w:szCs w:val="22"/>
        </w:rPr>
        <w:t xml:space="preserve">“ </w:t>
      </w:r>
      <w:r>
        <w:rPr>
          <w:rFonts w:ascii="Garamond" w:hAnsi="Garamond" w:cs="Times New Roman"/>
        </w:rPr>
        <w:t xml:space="preserve">Early migrating populations with extended migration durations in other systems have been associated with a heightened risk of declining abundance, suggesting that upper Kuskokwim populations may face higher conservation risk </w:t>
      </w:r>
      <w:r w:rsidRPr="00AF0475">
        <w:rPr>
          <w:rFonts w:ascii="Garamond" w:hAnsi="Garamond" w:cs="Times New Roman"/>
        </w:rPr>
        <w:t>(Atlas et al., 2023</w:t>
      </w:r>
      <w:r w:rsidR="00AF0475" w:rsidRPr="00AF0475">
        <w:rPr>
          <w:rFonts w:ascii="Garamond" w:hAnsi="Garamond" w:cs="Times New Roman"/>
        </w:rPr>
        <w:t>,</w:t>
      </w:r>
      <w:r w:rsidRPr="00AF0475">
        <w:rPr>
          <w:rFonts w:ascii="Garamond" w:hAnsi="Garamond" w:cs="Times New Roman"/>
        </w:rPr>
        <w:fldChar w:fldCharType="begin"/>
      </w:r>
      <w:r w:rsidRPr="00AF0475">
        <w:rPr>
          <w:rFonts w:ascii="Garamond" w:hAnsi="Garamond" w:cs="Times New Roman"/>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AF0475">
        <w:rPr>
          <w:rFonts w:ascii="Cambria Math" w:hAnsi="Cambria Math" w:cs="Cambria Math"/>
        </w:rPr>
        <w:instrText>‐</w:instrText>
      </w:r>
      <w:r w:rsidRPr="00AF0475">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AF0475">
        <w:rPr>
          <w:rFonts w:ascii="Garamond" w:hAnsi="Garamond" w:cs="Times New Roman"/>
        </w:rPr>
        <w:fldChar w:fldCharType="separate"/>
      </w:r>
      <w:r w:rsidRPr="00AF0475">
        <w:rPr>
          <w:rFonts w:ascii="Garamond" w:hAnsi="Garamond" w:cs="Times New Roman"/>
          <w:noProof/>
        </w:rPr>
        <w:t xml:space="preserve"> Hamazaki, 2008)</w:t>
      </w:r>
      <w:r w:rsidRPr="00AF0475">
        <w:rPr>
          <w:rFonts w:ascii="Garamond" w:hAnsi="Garamond" w:cs="Times New Roman"/>
        </w:rPr>
        <w:fldChar w:fldCharType="end"/>
      </w:r>
      <w:r w:rsidRPr="00AF0475">
        <w:rPr>
          <w:rFonts w:ascii="Garamond" w:hAnsi="Garamond" w:cs="Times New Roman"/>
        </w:rPr>
        <w:t>.</w:t>
      </w:r>
      <w:r>
        <w:rPr>
          <w:rFonts w:ascii="Garamond" w:hAnsi="Garamond" w:cs="Times New Roman"/>
        </w:rPr>
        <w:t xml:space="preserve"> </w:t>
      </w:r>
      <w:r w:rsidR="001B29D5" w:rsidRPr="005B6DFB">
        <w:rPr>
          <w:rFonts w:ascii="Garamond" w:hAnsi="Garamond"/>
          <w:sz w:val="22"/>
          <w:szCs w:val="22"/>
        </w:rPr>
        <w:t xml:space="preserve"> </w:t>
      </w:r>
    </w:p>
    <w:p w14:paraId="7D00E024" w14:textId="16C0BF7F"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 xml:space="preserve">Line 47-49: This sentence is unclear to me. Is the point simply that because downstream fisheries harvest upstream components their performance is linked to upstream dynamics? This seems </w:t>
      </w:r>
      <w:proofErr w:type="spellStart"/>
      <w:r w:rsidRPr="005B6DFB">
        <w:rPr>
          <w:rFonts w:ascii="Garamond" w:hAnsi="Garamond"/>
          <w:b/>
          <w:bCs/>
          <w:sz w:val="22"/>
          <w:szCs w:val="22"/>
        </w:rPr>
        <w:t>self evident</w:t>
      </w:r>
      <w:proofErr w:type="spellEnd"/>
      <w:r w:rsidRPr="005B6DFB">
        <w:rPr>
          <w:rFonts w:ascii="Garamond" w:hAnsi="Garamond"/>
          <w:b/>
          <w:bCs/>
          <w:sz w:val="22"/>
          <w:szCs w:val="22"/>
        </w:rPr>
        <w:t>. I think it might be better to emphasize that because these fisheries are often mixed stock, there are socioeconomic benefits associated with maintaining diversity (most commonly reduced interannual variability in catch).</w:t>
      </w:r>
    </w:p>
    <w:p w14:paraId="2F69E81E" w14:textId="7CA9B3F0" w:rsidR="000C72EC" w:rsidRPr="005B6DFB" w:rsidRDefault="000C72EC" w:rsidP="000C72EC">
      <w:pPr>
        <w:ind w:left="720"/>
        <w:rPr>
          <w:rFonts w:ascii="Garamond" w:hAnsi="Garamond"/>
          <w:sz w:val="22"/>
          <w:szCs w:val="22"/>
        </w:rPr>
      </w:pPr>
      <w:r w:rsidRPr="005B6DFB">
        <w:rPr>
          <w:rFonts w:ascii="Garamond" w:hAnsi="Garamond"/>
          <w:sz w:val="22"/>
          <w:szCs w:val="22"/>
        </w:rPr>
        <w:t xml:space="preserve">This statement is meant to highlight that the characteristics of the downstream fishery are the combined characteristics of individuals subpopulations from upstream components. For example, variable run timing among subpopulations results in a longer duration of harvest opportunity for downstream fisheries. To clarify this point we added this example, and also highlighted the reduced interannual variability in catch per the suggestion. </w:t>
      </w:r>
    </w:p>
    <w:p w14:paraId="62695A4F" w14:textId="0B9F7C9C" w:rsidR="001B29D5" w:rsidRPr="005B6DFB" w:rsidRDefault="000C72EC" w:rsidP="000C72EC">
      <w:pPr>
        <w:ind w:left="720"/>
        <w:rPr>
          <w:rFonts w:ascii="Garamond" w:hAnsi="Garamond"/>
          <w:sz w:val="22"/>
          <w:szCs w:val="22"/>
        </w:rPr>
      </w:pPr>
      <w:r w:rsidRPr="005B6DFB">
        <w:rPr>
          <w:rFonts w:ascii="Garamond" w:hAnsi="Garamond"/>
          <w:sz w:val="22"/>
          <w:szCs w:val="22"/>
        </w:rPr>
        <w:lastRenderedPageBreak/>
        <w:t xml:space="preserve">“ </w:t>
      </w:r>
      <w:r w:rsidRPr="005B6DFB">
        <w:rPr>
          <w:rFonts w:ascii="Garamond" w:hAnsi="Garamond" w:cs="Times New Roman"/>
          <w:sz w:val="22"/>
          <w:szCs w:val="22"/>
        </w:rPr>
        <w:t xml:space="preserve">However, the timing, yield, and duration of downstream fisheries are shaped by the combined dynamics of the multiple upstream sub-populations that contribute fish to those fisheries.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(Nesbitt &amp; Moore, 2016)</w:t>
      </w:r>
      <w:r w:rsidRPr="005B6DFB">
        <w:rPr>
          <w:rFonts w:ascii="Garamond" w:hAnsi="Garamond" w:cs="Times New Roman"/>
          <w:sz w:val="22"/>
          <w:szCs w:val="22"/>
        </w:rPr>
        <w:fldChar w:fldCharType="end"/>
      </w:r>
      <w:r w:rsidRPr="005B6DFB">
        <w:rPr>
          <w:rFonts w:ascii="Garamond" w:hAnsi="Garamond" w:cs="Times New Roman"/>
          <w:sz w:val="22"/>
          <w:szCs w:val="22"/>
        </w:rPr>
        <w:t xml:space="preserve">. For example, diversity in return timing among upstream populations may extend the duration of downstream fishing opportunities relative to a more homogenized stock complex in which fish return simultaneously. Further, maintaining life-history diversity across the full stock complex enhances ecosystem resilience by spreading risk across space and time. This, in turn, results in more reliable delivery of ecosystem services by reducing interannual variability in the abundance of returning fish at the watershed scale </w:t>
      </w:r>
      <w:r w:rsidRPr="005B6DFB">
        <w:rPr>
          <w:rFonts w:ascii="Garamond" w:hAnsi="Garamond" w:cs="Times New Roman"/>
          <w:sz w:val="22"/>
          <w:szCs w:val="22"/>
        </w:rPr>
        <w:fldChar w:fldCharType="begin"/>
      </w:r>
      <w:r w:rsidRPr="005B6DFB">
        <w:rPr>
          <w:rFonts w:ascii="Garamond" w:hAnsi="Garamond" w:cs="Times New Roman"/>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B6DFB">
        <w:rPr>
          <w:rFonts w:ascii="Garamond" w:hAnsi="Garamond" w:cs="Times New Roman"/>
          <w:sz w:val="22"/>
          <w:szCs w:val="22"/>
        </w:rPr>
        <w:fldChar w:fldCharType="separate"/>
      </w:r>
      <w:r w:rsidRPr="005B6DFB">
        <w:rPr>
          <w:rFonts w:ascii="Garamond" w:hAnsi="Garamond" w:cs="Times New Roman"/>
          <w:noProof/>
          <w:sz w:val="22"/>
          <w:szCs w:val="22"/>
        </w:rPr>
        <w:t>(Schindler et al., 2010)</w:t>
      </w:r>
      <w:r w:rsidRPr="005B6DFB">
        <w:rPr>
          <w:rFonts w:ascii="Garamond" w:hAnsi="Garamond" w:cs="Times New Roman"/>
          <w:sz w:val="22"/>
          <w:szCs w:val="22"/>
        </w:rPr>
        <w:fldChar w:fldCharType="end"/>
      </w:r>
      <w:r w:rsidRPr="005B6DFB">
        <w:rPr>
          <w:rFonts w:ascii="Garamond" w:hAnsi="Garamond" w:cs="Times New Roman"/>
          <w:sz w:val="22"/>
          <w:szCs w:val="22"/>
        </w:rPr>
        <w:t>. Designing strategies which explicitly consider and protect this biodiversity, including vulnerable upstream populations, therefore contributes to stabilizing downstream fishery resources both within and among years.”</w:t>
      </w:r>
    </w:p>
    <w:p w14:paraId="13C65015"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Lines 77-81: This para quickly pivots to upstream Kuskokwim, which implies to me these stocks are more imperiled. However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36209583" w14:textId="5D329AE8" w:rsidR="000C72EC" w:rsidRPr="005B6DFB" w:rsidRDefault="00437304" w:rsidP="00437304">
      <w:pPr>
        <w:ind w:left="720"/>
        <w:rPr>
          <w:rFonts w:ascii="Garamond" w:hAnsi="Garamond"/>
          <w:sz w:val="22"/>
          <w:szCs w:val="22"/>
        </w:rPr>
      </w:pPr>
      <w:r w:rsidRPr="005B6DFB">
        <w:rPr>
          <w:rFonts w:ascii="Garamond" w:hAnsi="Garamond"/>
          <w:sz w:val="22"/>
          <w:szCs w:val="22"/>
        </w:rPr>
        <w:t xml:space="preserve">We moved the sentence motivating the additional attention for upper watershed stocks to earlier in the paragraph immediately following the introduction of the front-end closure. Although there is conservation concern for some upper watershed stocks, the main motivation is to preeminently protect them from overharvest due to their additional exposure and the need to provide equitable harvest opportunities for upstream communities. </w:t>
      </w:r>
    </w:p>
    <w:p w14:paraId="6C0988BE" w14:textId="77777777"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82-84: I think this could be simplified by removing “the interaction between population-specific migration patterns and”</w:t>
      </w:r>
    </w:p>
    <w:p w14:paraId="398E339F" w14:textId="227C165A" w:rsidR="002E2582" w:rsidRDefault="002E2582" w:rsidP="007F5F83">
      <w:pPr>
        <w:rPr>
          <w:rFonts w:ascii="Garamond" w:hAnsi="Garamond"/>
          <w:sz w:val="22"/>
          <w:szCs w:val="22"/>
        </w:rPr>
      </w:pPr>
      <w:r w:rsidRPr="005B6DFB">
        <w:rPr>
          <w:rFonts w:ascii="Garamond" w:hAnsi="Garamond"/>
          <w:sz w:val="22"/>
          <w:szCs w:val="22"/>
        </w:rPr>
        <w:tab/>
        <w:t>We agree that this edit improved readability significantly and removed the section</w:t>
      </w:r>
    </w:p>
    <w:p w14:paraId="70DDBA18" w14:textId="77777777" w:rsidR="00FD1034" w:rsidRPr="00FD1034" w:rsidRDefault="00FD1034" w:rsidP="007F5F83">
      <w:pPr>
        <w:rPr>
          <w:rFonts w:ascii="Garamond" w:hAnsi="Garamond"/>
          <w:sz w:val="22"/>
          <w:szCs w:val="22"/>
        </w:rPr>
      </w:pPr>
    </w:p>
    <w:p w14:paraId="73C4397A" w14:textId="4B5C935D" w:rsidR="00491217" w:rsidRPr="005B6DFB" w:rsidRDefault="00491217" w:rsidP="007F5F83">
      <w:pPr>
        <w:rPr>
          <w:rFonts w:ascii="Garamond" w:hAnsi="Garamond"/>
          <w:b/>
          <w:bCs/>
          <w:sz w:val="22"/>
          <w:szCs w:val="22"/>
        </w:rPr>
      </w:pPr>
      <w:r w:rsidRPr="005B6DFB">
        <w:rPr>
          <w:rFonts w:ascii="Garamond" w:hAnsi="Garamond"/>
          <w:b/>
          <w:bCs/>
          <w:sz w:val="22"/>
          <w:szCs w:val="22"/>
        </w:rPr>
        <w:t>Line 85: Recommend adding a paragraph about stock ID and its limitations in this context with bridge to novel approach of using isotope markers to identify spawning locations</w:t>
      </w:r>
    </w:p>
    <w:p w14:paraId="75A8F662" w14:textId="07A47657" w:rsidR="002E2582" w:rsidRPr="005B6DFB" w:rsidRDefault="002E2582" w:rsidP="002E2582">
      <w:pPr>
        <w:ind w:left="720"/>
        <w:rPr>
          <w:rFonts w:ascii="Garamond" w:hAnsi="Garamond"/>
          <w:sz w:val="22"/>
          <w:szCs w:val="22"/>
        </w:rPr>
      </w:pPr>
      <w:r w:rsidRPr="005B6DFB">
        <w:rPr>
          <w:rFonts w:ascii="Garamond" w:hAnsi="Garamond"/>
          <w:sz w:val="22"/>
          <w:szCs w:val="22"/>
        </w:rPr>
        <w:t xml:space="preserve">We added to the final paragraph to include mention of the limitations of genetics for reconstructing spatial ecology as well as the unique benefits of isotopes for this approach. </w:t>
      </w:r>
    </w:p>
    <w:p w14:paraId="3A5E7F71" w14:textId="1AB2DCCB" w:rsidR="002E2582" w:rsidRPr="005B6DFB" w:rsidRDefault="002E2582" w:rsidP="002E2582">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 Otolith microchemical approaches have emerged as an alternative tool capable of estimating sub-watershed provenance without the need for extensive field-based monitoring. </w:t>
      </w:r>
      <w:r w:rsidRPr="005B6DFB">
        <w:rPr>
          <w:rFonts w:ascii="Garamond" w:hAnsi="Garamond"/>
          <w:sz w:val="22"/>
          <w:szCs w:val="22"/>
        </w:rPr>
        <w:t xml:space="preserve">Otolith microchemical approaches have emerged as an alternative tool for reconstructing spatial patterns of salmon movement and provenance. By leveraging predictable relationships between chemical signatures recorded in the otolith and those measured or modeled across the landscape, otolith-based approaches enable the reconstruction of life history </w:t>
      </w:r>
      <w:r w:rsidRPr="005B6DFB">
        <w:rPr>
          <w:rFonts w:ascii="Garamond" w:hAnsi="Garamond"/>
          <w:sz w:val="22"/>
          <w:szCs w:val="22"/>
        </w:rPr>
        <w:lastRenderedPageBreak/>
        <w:t>characteristics throughout the lifetime of the individual inferred from samples easily collected from adult fish. As such, these methods provide an approach for estimating fine-scale patterns in salmon spatial ecology across entire watersheds without requiring extensive manual monitoring.”</w:t>
      </w:r>
    </w:p>
    <w:p w14:paraId="0955FC0D" w14:textId="20093B5B" w:rsidR="00491217" w:rsidRPr="005B6DFB" w:rsidRDefault="00491217" w:rsidP="007F5F83">
      <w:pPr>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63AF65BE" w14:textId="07071B3D" w:rsidR="007D21BA" w:rsidRPr="005B6DFB" w:rsidRDefault="00FD1034" w:rsidP="007F5F83">
      <w:pPr>
        <w:rPr>
          <w:rFonts w:ascii="Garamond" w:hAnsi="Garamond"/>
          <w:sz w:val="22"/>
          <w:szCs w:val="22"/>
        </w:rPr>
      </w:pPr>
      <w:r>
        <w:rPr>
          <w:rFonts w:ascii="Garamond" w:hAnsi="Garamond"/>
          <w:sz w:val="22"/>
          <w:szCs w:val="22"/>
        </w:rPr>
        <w:t xml:space="preserve"> </w:t>
      </w:r>
      <w:r>
        <w:rPr>
          <w:rFonts w:ascii="Garamond" w:hAnsi="Garamond"/>
          <w:sz w:val="22"/>
          <w:szCs w:val="22"/>
        </w:rPr>
        <w:tab/>
      </w:r>
      <w:r w:rsidRPr="00FD1034">
        <w:rPr>
          <w:rFonts w:ascii="Garamond" w:hAnsi="Garamond"/>
          <w:sz w:val="22"/>
          <w:szCs w:val="22"/>
          <w:highlight w:val="yellow"/>
        </w:rPr>
        <w:t>** Ask Daniel **</w:t>
      </w:r>
      <w:r>
        <w:rPr>
          <w:rFonts w:ascii="Garamond" w:hAnsi="Garamond"/>
          <w:sz w:val="22"/>
          <w:szCs w:val="22"/>
        </w:rPr>
        <w:t xml:space="preserve"> </w:t>
      </w:r>
    </w:p>
    <w:p w14:paraId="38AF8671" w14:textId="40C565F5" w:rsidR="007D21BA" w:rsidRPr="005B6DFB" w:rsidRDefault="007D21BA" w:rsidP="007F5F83">
      <w:pPr>
        <w:rPr>
          <w:rFonts w:ascii="Garamond" w:hAnsi="Garamond"/>
          <w:b/>
          <w:bCs/>
          <w:sz w:val="22"/>
          <w:szCs w:val="22"/>
        </w:rPr>
      </w:pPr>
      <w:r w:rsidRPr="005B6DFB">
        <w:rPr>
          <w:rFonts w:ascii="Garamond" w:hAnsi="Garamond"/>
          <w:b/>
          <w:bCs/>
          <w:sz w:val="22"/>
          <w:szCs w:val="22"/>
        </w:rPr>
        <w:t>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On that note I assumed this was a gillnet fishery, but might be worth specifying the gear type.</w:t>
      </w:r>
    </w:p>
    <w:p w14:paraId="0A0B7627" w14:textId="2BE0245E" w:rsidR="00D57024" w:rsidRPr="005B6DFB" w:rsidRDefault="00D57024" w:rsidP="00D57024">
      <w:pPr>
        <w:ind w:left="720"/>
        <w:rPr>
          <w:rFonts w:ascii="Garamond" w:hAnsi="Garamond"/>
          <w:sz w:val="22"/>
          <w:szCs w:val="22"/>
        </w:rPr>
      </w:pPr>
      <w:r w:rsidRPr="005B6DFB">
        <w:rPr>
          <w:rFonts w:ascii="Garamond" w:hAnsi="Garamond"/>
          <w:sz w:val="22"/>
          <w:szCs w:val="22"/>
        </w:rPr>
        <w:t xml:space="preserve">By "representative sample," we intended to refer to the test fishery's sampling design rather than verified stock composition. The test fishery operates continuously throughout the migration period and is therefore assumed to sample fish from all populations as they enter the river. In addition, sampling effort is adjusted according to overall CPUE, resulting in greater sampling intensity during periods of higher fish abundance. We agree that representativeness of stock composition cannot be directly evaluated without stock, and changed the language slightly to indicate that this is an assumption. </w:t>
      </w:r>
    </w:p>
    <w:p w14:paraId="723357D8" w14:textId="0FB814F0" w:rsidR="00446B65" w:rsidRPr="005B6DFB" w:rsidRDefault="00D57024" w:rsidP="00D57024">
      <w:pPr>
        <w:ind w:left="720"/>
        <w:rPr>
          <w:rFonts w:ascii="Garamond" w:hAnsi="Garamond"/>
          <w:sz w:val="22"/>
          <w:szCs w:val="22"/>
        </w:rPr>
      </w:pPr>
      <w:r w:rsidRPr="005B6DFB">
        <w:rPr>
          <w:rFonts w:ascii="Garamond" w:hAnsi="Garamond" w:cs="Times New Roman"/>
          <w:sz w:val="22"/>
          <w:szCs w:val="22"/>
        </w:rPr>
        <w:t xml:space="preserve">Fish are sampled throughout the full return migration window, and are assumed to be a representative sample of returning stocks throughout the basin above the test fishery location </w:t>
      </w:r>
      <w:r w:rsidRPr="005B6DFB">
        <w:rPr>
          <w:rFonts w:ascii="Garamond" w:eastAsia="Times New Roman" w:hAnsi="Garamond" w:cs="Times New Roman"/>
          <w:kern w:val="0"/>
          <w:sz w:val="22"/>
          <w:szCs w:val="22"/>
          <w14:ligatures w14:val="none"/>
        </w:rPr>
        <w:fldChar w:fldCharType="begin"/>
      </w:r>
      <w:r w:rsidRPr="005B6DFB">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5B6DFB">
        <w:rPr>
          <w:rFonts w:ascii="Garamond" w:eastAsia="Times New Roman" w:hAnsi="Garamond" w:cs="Times New Roman"/>
          <w:kern w:val="0"/>
          <w:sz w:val="22"/>
          <w:szCs w:val="22"/>
          <w14:ligatures w14:val="none"/>
        </w:rPr>
        <w:fldChar w:fldCharType="separate"/>
      </w:r>
      <w:r w:rsidRPr="005B6DFB">
        <w:rPr>
          <w:rFonts w:ascii="Garamond" w:eastAsia="Times New Roman" w:hAnsi="Garamond" w:cs="Times New Roman"/>
          <w:noProof/>
          <w:kern w:val="0"/>
          <w:sz w:val="22"/>
          <w:szCs w:val="22"/>
          <w14:ligatures w14:val="none"/>
        </w:rPr>
        <w:t>(Lipka &amp; Elison, 2015)</w:t>
      </w:r>
      <w:r w:rsidRPr="005B6DFB">
        <w:rPr>
          <w:rFonts w:ascii="Garamond" w:eastAsia="Times New Roman" w:hAnsi="Garamond" w:cs="Times New Roman"/>
          <w:kern w:val="0"/>
          <w:sz w:val="22"/>
          <w:szCs w:val="22"/>
          <w14:ligatures w14:val="none"/>
        </w:rPr>
        <w:fldChar w:fldCharType="end"/>
      </w:r>
      <w:r w:rsidRPr="005B6DFB">
        <w:rPr>
          <w:rFonts w:ascii="Garamond" w:eastAsia="Times New Roman" w:hAnsi="Garamond" w:cs="Times New Roman"/>
          <w:kern w:val="0"/>
          <w:sz w:val="22"/>
          <w:szCs w:val="22"/>
          <w14:ligatures w14:val="none"/>
        </w:rPr>
        <w:t>.</w:t>
      </w:r>
    </w:p>
    <w:p w14:paraId="608993D9" w14:textId="77777777" w:rsidR="00D57024" w:rsidRPr="005B6DFB" w:rsidRDefault="00D57024" w:rsidP="00D57024">
      <w:pPr>
        <w:ind w:left="720"/>
        <w:rPr>
          <w:rFonts w:ascii="Garamond" w:hAnsi="Garamond"/>
          <w:sz w:val="22"/>
          <w:szCs w:val="22"/>
        </w:rPr>
      </w:pPr>
    </w:p>
    <w:p w14:paraId="2BA4E6B5" w14:textId="77777777" w:rsidR="00BF7BCB" w:rsidRPr="005B6DFB" w:rsidRDefault="007D21BA" w:rsidP="007F5F83">
      <w:pPr>
        <w:rPr>
          <w:rFonts w:ascii="Garamond" w:hAnsi="Garamond"/>
          <w:b/>
          <w:bCs/>
          <w:sz w:val="22"/>
          <w:szCs w:val="22"/>
        </w:rPr>
      </w:pPr>
      <w:r w:rsidRPr="005B6DFB">
        <w:rPr>
          <w:rFonts w:ascii="Garamond" w:hAnsi="Garamond"/>
          <w:b/>
          <w:bCs/>
          <w:sz w:val="22"/>
          <w:szCs w:val="22"/>
        </w:rPr>
        <w:t>Line 105: Presumably 250 per year?</w:t>
      </w:r>
    </w:p>
    <w:p w14:paraId="2CD8DA3F" w14:textId="77777777" w:rsidR="00BF7BCB" w:rsidRPr="005B6DFB" w:rsidRDefault="00BF7BCB" w:rsidP="00BF7BCB">
      <w:pPr>
        <w:ind w:firstLine="720"/>
        <w:rPr>
          <w:rFonts w:ascii="Garamond" w:hAnsi="Garamond"/>
          <w:sz w:val="22"/>
          <w:szCs w:val="22"/>
        </w:rPr>
      </w:pPr>
      <w:r w:rsidRPr="005B6DFB">
        <w:rPr>
          <w:rFonts w:ascii="Garamond" w:hAnsi="Garamond"/>
          <w:sz w:val="22"/>
          <w:szCs w:val="22"/>
        </w:rPr>
        <w:t xml:space="preserve">Yes, clarified by adding “per year” </w:t>
      </w:r>
    </w:p>
    <w:p w14:paraId="3602A249" w14:textId="77777777" w:rsidR="00BF7BCB" w:rsidRPr="005B6DFB" w:rsidRDefault="007D21BA" w:rsidP="00BF7BCB">
      <w:pPr>
        <w:ind w:firstLine="720"/>
        <w:rPr>
          <w:rFonts w:ascii="Garamond" w:hAnsi="Garamond"/>
          <w:b/>
          <w:bCs/>
          <w:sz w:val="22"/>
          <w:szCs w:val="22"/>
        </w:rPr>
      </w:pPr>
      <w:r w:rsidRPr="005B6DFB">
        <w:rPr>
          <w:rFonts w:ascii="Garamond" w:hAnsi="Garamond"/>
          <w:sz w:val="22"/>
          <w:szCs w:val="22"/>
        </w:rPr>
        <w:br/>
      </w:r>
      <w:r w:rsidRPr="005B6DFB">
        <w:rPr>
          <w:rFonts w:ascii="Garamond" w:hAnsi="Garamond"/>
          <w:b/>
          <w:bCs/>
          <w:sz w:val="22"/>
          <w:szCs w:val="22"/>
        </w:rPr>
        <w:t>Line 127-131: This is a little unclear to me, does it mean that fish could only be assigned to river portions with uncertainty values greater than 0.0006?</w:t>
      </w:r>
    </w:p>
    <w:p w14:paraId="7CD32980" w14:textId="77777777" w:rsidR="00C669D1" w:rsidRDefault="00BF7BCB" w:rsidP="00C669D1">
      <w:pPr>
        <w:ind w:left="720"/>
        <w:rPr>
          <w:rFonts w:ascii="Garamond" w:hAnsi="Garamond"/>
          <w:sz w:val="22"/>
          <w:szCs w:val="22"/>
        </w:rPr>
      </w:pPr>
      <w:r w:rsidRPr="005B6DFB">
        <w:rPr>
          <w:rFonts w:ascii="Garamond" w:hAnsi="Garamond"/>
          <w:sz w:val="22"/>
          <w:szCs w:val="22"/>
        </w:rPr>
        <w:t xml:space="preserve">No, this means that for the sites with exceedingly low </w:t>
      </w:r>
      <w:proofErr w:type="spellStart"/>
      <w:r w:rsidRPr="005B6DFB">
        <w:rPr>
          <w:rFonts w:ascii="Garamond" w:hAnsi="Garamond"/>
          <w:sz w:val="22"/>
          <w:szCs w:val="22"/>
        </w:rPr>
        <w:t>isoscape</w:t>
      </w:r>
      <w:proofErr w:type="spellEnd"/>
      <w:r w:rsidRPr="005B6DFB">
        <w:rPr>
          <w:rFonts w:ascii="Garamond" w:hAnsi="Garamond"/>
          <w:sz w:val="22"/>
          <w:szCs w:val="22"/>
        </w:rPr>
        <w:t xml:space="preserve"> prediction error (i.e. sites with lots of sampling ) , we artificially increased the error value to be 0.0006. This was done because these few, exceedingly low error sites resulted in a disproportionate amount of posterior assignment value due to this low value. </w:t>
      </w:r>
    </w:p>
    <w:p w14:paraId="6C82C872" w14:textId="77777777" w:rsidR="00C669D1" w:rsidRDefault="00C669D1" w:rsidP="00C669D1">
      <w:pPr>
        <w:rPr>
          <w:rFonts w:ascii="Garamond" w:hAnsi="Garamond"/>
          <w:b/>
          <w:bCs/>
          <w:sz w:val="22"/>
          <w:szCs w:val="22"/>
        </w:rPr>
      </w:pPr>
    </w:p>
    <w:p w14:paraId="64450B0B" w14:textId="77777777" w:rsidR="00C669D1" w:rsidRDefault="00C669D1" w:rsidP="00C669D1">
      <w:pPr>
        <w:rPr>
          <w:rFonts w:ascii="Garamond" w:hAnsi="Garamond"/>
          <w:b/>
          <w:bCs/>
          <w:sz w:val="22"/>
          <w:szCs w:val="22"/>
        </w:rPr>
      </w:pPr>
    </w:p>
    <w:p w14:paraId="01460AE6" w14:textId="77777777" w:rsidR="00C669D1" w:rsidRDefault="00C669D1" w:rsidP="00C669D1">
      <w:pPr>
        <w:rPr>
          <w:rFonts w:ascii="Garamond" w:hAnsi="Garamond"/>
          <w:b/>
          <w:bCs/>
          <w:sz w:val="22"/>
          <w:szCs w:val="22"/>
        </w:rPr>
      </w:pPr>
    </w:p>
    <w:p w14:paraId="723BF245" w14:textId="47C59085" w:rsidR="00BF7BCB" w:rsidRDefault="007D21BA" w:rsidP="00C669D1">
      <w:pPr>
        <w:rPr>
          <w:rFonts w:ascii="Garamond" w:hAnsi="Garamond"/>
          <w:b/>
          <w:bCs/>
          <w:sz w:val="22"/>
          <w:szCs w:val="22"/>
        </w:rPr>
      </w:pPr>
      <w:r w:rsidRPr="005B6DFB">
        <w:rPr>
          <w:rFonts w:ascii="Garamond" w:hAnsi="Garamond"/>
          <w:b/>
          <w:bCs/>
          <w:sz w:val="22"/>
          <w:szCs w:val="22"/>
        </w:rPr>
        <w:lastRenderedPageBreak/>
        <w:t xml:space="preserve">Line 135: Analytical (presumably measurement error?) and </w:t>
      </w:r>
      <w:proofErr w:type="spellStart"/>
      <w:r w:rsidRPr="005B6DFB">
        <w:rPr>
          <w:rFonts w:ascii="Garamond" w:hAnsi="Garamond"/>
          <w:b/>
          <w:bCs/>
          <w:sz w:val="22"/>
          <w:szCs w:val="22"/>
        </w:rPr>
        <w:t>isoscape</w:t>
      </w:r>
      <w:proofErr w:type="spellEnd"/>
      <w:r w:rsidRPr="005B6DFB">
        <w:rPr>
          <w:rFonts w:ascii="Garamond" w:hAnsi="Garamond"/>
          <w:b/>
          <w:bCs/>
          <w:sz w:val="22"/>
          <w:szCs w:val="22"/>
        </w:rPr>
        <w:t xml:space="preserve"> prediction errors are fairly intuitive, but what does the within-population variance estimate represent and where does it originate from? Might be helpful to add a few sentences defining each of these in the context of the Brennan et al. analysis.</w:t>
      </w:r>
    </w:p>
    <w:p w14:paraId="2D22F38D" w14:textId="182A2F27" w:rsidR="00C669D1" w:rsidRPr="00C669D1" w:rsidRDefault="00C669D1" w:rsidP="00C669D1">
      <w:pPr>
        <w:ind w:left="720"/>
        <w:rPr>
          <w:rFonts w:ascii="Garamond" w:hAnsi="Garamond"/>
          <w:sz w:val="22"/>
          <w:szCs w:val="22"/>
        </w:rPr>
      </w:pPr>
      <w:r w:rsidRPr="00C669D1">
        <w:rPr>
          <w:rFonts w:ascii="Garamond" w:hAnsi="Garamond"/>
          <w:sz w:val="22"/>
          <w:szCs w:val="22"/>
        </w:rPr>
        <w:t>Within population variance is the variance in isotope value expected among individuals at the same location. This is quantified from Brennan et al., 2015; “</w:t>
      </w:r>
      <w:r w:rsidRPr="00C669D1">
        <w:rPr>
          <w:rFonts w:ascii="Garamond" w:hAnsi="Garamond"/>
          <w:sz w:val="22"/>
          <w:szCs w:val="22"/>
        </w:rPr>
        <w:t>Strontium isotopes in otoliths of a non-migratory fish (slimy sculpin): Implications for provenance studies</w:t>
      </w:r>
      <w:r w:rsidRPr="00C669D1">
        <w:rPr>
          <w:rFonts w:ascii="Garamond" w:hAnsi="Garamond"/>
          <w:sz w:val="22"/>
          <w:szCs w:val="22"/>
        </w:rPr>
        <w:t xml:space="preserve">” from repeated measurements of a species with a very small home range (slimy sculpin) from the same location. We added a brief mention of each error type here </w:t>
      </w:r>
      <w:r>
        <w:rPr>
          <w:rFonts w:ascii="Garamond" w:hAnsi="Garamond"/>
          <w:sz w:val="22"/>
          <w:szCs w:val="22"/>
        </w:rPr>
        <w:t xml:space="preserve">and added both the Brennan et al., 2015 (within-site) and French et al., X (Kuskokwim </w:t>
      </w:r>
      <w:proofErr w:type="spellStart"/>
      <w:r>
        <w:rPr>
          <w:rFonts w:ascii="Garamond" w:hAnsi="Garamond"/>
          <w:sz w:val="22"/>
          <w:szCs w:val="22"/>
        </w:rPr>
        <w:t>isoscape</w:t>
      </w:r>
      <w:proofErr w:type="spellEnd"/>
      <w:r>
        <w:rPr>
          <w:rFonts w:ascii="Garamond" w:hAnsi="Garamond"/>
          <w:sz w:val="22"/>
          <w:szCs w:val="22"/>
        </w:rPr>
        <w:t xml:space="preserve">) as references to support. </w:t>
      </w:r>
    </w:p>
    <w:p w14:paraId="6005753C" w14:textId="77777777" w:rsidR="00C669D1" w:rsidRDefault="00C669D1" w:rsidP="005B6DFB">
      <w:pPr>
        <w:rPr>
          <w:rFonts w:ascii="Garamond" w:hAnsi="Garamond"/>
          <w:b/>
          <w:bCs/>
          <w:sz w:val="22"/>
          <w:szCs w:val="22"/>
        </w:rPr>
      </w:pPr>
    </w:p>
    <w:p w14:paraId="4F52EC79" w14:textId="255F9C8C" w:rsidR="00BF7BCB" w:rsidRPr="005B6DFB" w:rsidRDefault="007D21BA" w:rsidP="005B6DFB">
      <w:pPr>
        <w:rPr>
          <w:rFonts w:ascii="Garamond" w:hAnsi="Garamond"/>
          <w:b/>
          <w:bCs/>
          <w:sz w:val="22"/>
          <w:szCs w:val="22"/>
        </w:rPr>
      </w:pPr>
      <w:r w:rsidRPr="005B6DFB">
        <w:rPr>
          <w:rFonts w:ascii="Garamond" w:hAnsi="Garamond"/>
          <w:b/>
          <w:bCs/>
          <w:sz w:val="22"/>
          <w:szCs w:val="22"/>
        </w:rPr>
        <w:t xml:space="preserve">Line 160: does subset refer to </w:t>
      </w:r>
      <w:proofErr w:type="spellStart"/>
      <w:r w:rsidRPr="005B6DFB">
        <w:rPr>
          <w:rFonts w:ascii="Garamond" w:hAnsi="Garamond"/>
          <w:b/>
          <w:bCs/>
          <w:sz w:val="22"/>
          <w:szCs w:val="22"/>
        </w:rPr>
        <w:t>substocks</w:t>
      </w:r>
      <w:proofErr w:type="spellEnd"/>
      <w:r w:rsidRPr="005B6DFB">
        <w:rPr>
          <w:rFonts w:ascii="Garamond" w:hAnsi="Garamond"/>
          <w:b/>
          <w:bCs/>
          <w:sz w:val="22"/>
          <w:szCs w:val="22"/>
        </w:rPr>
        <w:t>, temporal quartiles, sampling events, or something else?</w:t>
      </w:r>
    </w:p>
    <w:p w14:paraId="6A8BA748" w14:textId="32DC140A" w:rsidR="00F842D9" w:rsidRPr="00F842D9" w:rsidRDefault="00F842D9" w:rsidP="00F842D9">
      <w:pPr>
        <w:ind w:left="720"/>
        <w:rPr>
          <w:rFonts w:ascii="Garamond" w:hAnsi="Garamond"/>
          <w:sz w:val="22"/>
          <w:szCs w:val="22"/>
        </w:rPr>
      </w:pPr>
      <w:r w:rsidRPr="00F842D9">
        <w:rPr>
          <w:rFonts w:ascii="Garamond" w:hAnsi="Garamond"/>
          <w:sz w:val="22"/>
          <w:szCs w:val="22"/>
        </w:rPr>
        <w:t xml:space="preserve">This refers to a temporal subset, and applies to both the quartiles as well as the cumulative distribution. To clarify we amended this sentence to read </w:t>
      </w:r>
    </w:p>
    <w:p w14:paraId="480B6313" w14:textId="6FA3880E" w:rsidR="00F842D9" w:rsidRDefault="00F842D9" w:rsidP="00F842D9">
      <w:pPr>
        <w:ind w:left="720"/>
        <w:rPr>
          <w:rFonts w:ascii="Garamond" w:hAnsi="Garamond"/>
          <w:b/>
          <w:bCs/>
          <w:sz w:val="22"/>
          <w:szCs w:val="22"/>
        </w:rPr>
      </w:pPr>
      <w:r>
        <w:rPr>
          <w:rFonts w:ascii="Garamond" w:hAnsi="Garamond"/>
          <w:b/>
          <w:bCs/>
          <w:sz w:val="22"/>
          <w:szCs w:val="22"/>
        </w:rPr>
        <w:t>“</w:t>
      </w:r>
      <w:r>
        <w:rPr>
          <w:rFonts w:ascii="Garamond" w:hAnsi="Garamond" w:cs="Times New Roman"/>
        </w:rPr>
        <w:t>To estimate the spatial distribution of returns across a temporal subset of the full return migration, posterior probability values for all individuals in that subset were summed at each location</w:t>
      </w:r>
      <w:r>
        <w:rPr>
          <w:rFonts w:ascii="Garamond" w:hAnsi="Garamond" w:cs="Times New Roman"/>
        </w:rPr>
        <w:t>”</w:t>
      </w:r>
    </w:p>
    <w:p w14:paraId="216231AA" w14:textId="0A9D6E2B" w:rsidR="00BF7BCB" w:rsidRDefault="007D21BA" w:rsidP="00543764">
      <w:pPr>
        <w:rPr>
          <w:rFonts w:ascii="Garamond" w:hAnsi="Garamond"/>
          <w:b/>
          <w:bCs/>
          <w:sz w:val="22"/>
          <w:szCs w:val="22"/>
        </w:rPr>
      </w:pPr>
      <w:r w:rsidRPr="005B6DFB">
        <w:rPr>
          <w:rFonts w:ascii="Garamond" w:hAnsi="Garamond"/>
          <w:b/>
          <w:bCs/>
          <w:sz w:val="22"/>
          <w:szCs w:val="22"/>
        </w:rPr>
        <w:br/>
        <w:t>Line 161-163: So this results in each individual being assigned to a single regional group with 100% certainty? This seems like an important assumption. Why couldn’t the entire assignment probability vector for each individual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437D8706" w14:textId="3B818D34" w:rsidR="00543764" w:rsidRPr="00543764" w:rsidRDefault="00543764" w:rsidP="00543764">
      <w:pPr>
        <w:ind w:left="720"/>
        <w:rPr>
          <w:rFonts w:ascii="Garamond" w:hAnsi="Garamond"/>
          <w:sz w:val="22"/>
          <w:szCs w:val="22"/>
        </w:rPr>
      </w:pPr>
      <w:r w:rsidRPr="00543764">
        <w:rPr>
          <w:rFonts w:ascii="Garamond" w:hAnsi="Garamond"/>
          <w:sz w:val="22"/>
          <w:szCs w:val="22"/>
          <w:highlight w:val="yellow"/>
        </w:rPr>
        <w:t xml:space="preserve">In general, the purpose of this is to avoid locations that have frequent but diffuse low probability assignments from confounding population level estimated. After grouping by </w:t>
      </w:r>
      <w:proofErr w:type="spellStart"/>
      <w:r w:rsidRPr="00543764">
        <w:rPr>
          <w:rFonts w:ascii="Garamond" w:hAnsi="Garamond"/>
          <w:sz w:val="22"/>
          <w:szCs w:val="22"/>
          <w:highlight w:val="yellow"/>
        </w:rPr>
        <w:t>isoscape</w:t>
      </w:r>
      <w:proofErr w:type="spellEnd"/>
      <w:r w:rsidRPr="00543764">
        <w:rPr>
          <w:rFonts w:ascii="Garamond" w:hAnsi="Garamond"/>
          <w:sz w:val="22"/>
          <w:szCs w:val="22"/>
          <w:highlight w:val="yellow"/>
        </w:rPr>
        <w:t xml:space="preserve"> isotope value, the most likely location of provenance (highest posterior probabilities) are expected to be assigned to a single group. There are cases where this is not true… explain after hearing back from Daniel</w:t>
      </w:r>
      <w:r>
        <w:rPr>
          <w:rFonts w:ascii="Garamond" w:hAnsi="Garamond"/>
          <w:sz w:val="22"/>
          <w:szCs w:val="22"/>
        </w:rPr>
        <w:t xml:space="preserve"> </w:t>
      </w:r>
    </w:p>
    <w:p w14:paraId="34D27CBB"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br/>
        <w:t>Lines 170-186: This seems better suited to the results than the methods, but I defer to the authors and editorial team. It would also be beneficial to summarize how these groups cross walk to management objectives. For example, does group 1 represent “the furthest upstream region of the Kuskokwim River” or is this group 1, 2 and 3? Basically I’m wondering how these groups relate to upstream communities that seem to be most at-risk of compromised food security.</w:t>
      </w:r>
    </w:p>
    <w:p w14:paraId="068F1E14" w14:textId="1BAFA1AD" w:rsidR="00543764" w:rsidRPr="00543764" w:rsidRDefault="00543764" w:rsidP="00543764">
      <w:pPr>
        <w:ind w:firstLine="720"/>
        <w:rPr>
          <w:rFonts w:ascii="Garamond" w:hAnsi="Garamond"/>
          <w:sz w:val="22"/>
          <w:szCs w:val="22"/>
        </w:rPr>
      </w:pPr>
      <w:r w:rsidRPr="00543764">
        <w:rPr>
          <w:rFonts w:ascii="Garamond" w:hAnsi="Garamond"/>
          <w:sz w:val="22"/>
          <w:szCs w:val="22"/>
        </w:rPr>
        <w:t xml:space="preserve">** Determine whether to keep this in the methods or results ** </w:t>
      </w:r>
    </w:p>
    <w:p w14:paraId="39DA685E" w14:textId="63EA9D55" w:rsidR="00543764" w:rsidRPr="00543764" w:rsidRDefault="00543764" w:rsidP="00543764">
      <w:pPr>
        <w:ind w:left="720"/>
        <w:rPr>
          <w:rFonts w:ascii="Garamond" w:hAnsi="Garamond"/>
          <w:sz w:val="22"/>
          <w:szCs w:val="22"/>
        </w:rPr>
      </w:pPr>
      <w:r w:rsidRPr="00543764">
        <w:rPr>
          <w:rFonts w:ascii="Garamond" w:hAnsi="Garamond"/>
          <w:sz w:val="22"/>
          <w:szCs w:val="22"/>
        </w:rPr>
        <w:t xml:space="preserve">** When we refer to “Upper watershed stocks” , where are we referencing and who benefits from their protection ** </w:t>
      </w:r>
    </w:p>
    <w:p w14:paraId="57176507" w14:textId="77777777" w:rsidR="00584E8C" w:rsidRDefault="007D21BA" w:rsidP="00BF7BCB">
      <w:pPr>
        <w:ind w:firstLine="720"/>
        <w:rPr>
          <w:rFonts w:ascii="Garamond" w:hAnsi="Garamond"/>
          <w:b/>
          <w:bCs/>
          <w:sz w:val="22"/>
          <w:szCs w:val="22"/>
        </w:rPr>
      </w:pPr>
      <w:r w:rsidRPr="005B6DFB">
        <w:rPr>
          <w:rFonts w:ascii="Garamond" w:hAnsi="Garamond"/>
          <w:b/>
          <w:bCs/>
          <w:sz w:val="22"/>
          <w:szCs w:val="22"/>
        </w:rPr>
        <w:lastRenderedPageBreak/>
        <w:br/>
        <w:t>Line 184-186: does this mean that there’s a risk that fish with that isotopic signature will be misassigned to lower watershed?</w:t>
      </w:r>
    </w:p>
    <w:p w14:paraId="6BBE427A" w14:textId="4071058D" w:rsidR="00755816" w:rsidRPr="00ED7579" w:rsidRDefault="00755816" w:rsidP="00ED7579">
      <w:pPr>
        <w:ind w:left="720"/>
        <w:rPr>
          <w:rFonts w:ascii="Garamond" w:hAnsi="Garamond"/>
          <w:sz w:val="22"/>
          <w:szCs w:val="22"/>
        </w:rPr>
      </w:pPr>
      <w:r w:rsidRPr="00ED7579">
        <w:rPr>
          <w:rFonts w:ascii="Garamond" w:hAnsi="Garamond"/>
          <w:sz w:val="22"/>
          <w:szCs w:val="22"/>
        </w:rPr>
        <w:t>This is an error in the manuscript. The south fork Kuskokwim was initiall</w:t>
      </w:r>
      <w:r w:rsidR="00ED7579" w:rsidRPr="00ED7579">
        <w:rPr>
          <w:rFonts w:ascii="Garamond" w:hAnsi="Garamond"/>
          <w:sz w:val="22"/>
          <w:szCs w:val="22"/>
        </w:rPr>
        <w:t xml:space="preserve">y grouped in group five using k means clustering alone, but we added it to group two. Although this technically means that individuals from the very small portion of the south fork Kuskokwim with an isotope value that is similar to the lower watershed would be misassigned, the region with this value is very small and not known to be a major producing area. As such, it is much more likely that a fish assigned to Group 5 will have originated from Group 5 rather than a misassignment from that small portion of Group 2. Because the rest of the group fits isotopically with Group 2, we grouped it there. </w:t>
      </w:r>
    </w:p>
    <w:p w14:paraId="5295F192" w14:textId="65CBD0D5" w:rsidR="007D21BA" w:rsidRDefault="007D21BA" w:rsidP="00BF7BCB">
      <w:pPr>
        <w:ind w:firstLine="720"/>
        <w:rPr>
          <w:rFonts w:ascii="Garamond" w:hAnsi="Garamond"/>
          <w:b/>
          <w:bCs/>
          <w:sz w:val="22"/>
          <w:szCs w:val="22"/>
        </w:rPr>
      </w:pPr>
      <w:r w:rsidRPr="005B6DFB">
        <w:rPr>
          <w:rFonts w:ascii="Garamond" w:hAnsi="Garamond"/>
          <w:b/>
          <w:bCs/>
          <w:sz w:val="22"/>
          <w:szCs w:val="22"/>
        </w:rPr>
        <w:br/>
        <w:t>Line 194-196: Is this based on the sum of daily CPUE data or something more nuanced?</w:t>
      </w:r>
    </w:p>
    <w:p w14:paraId="7FDE444D" w14:textId="044EAC55" w:rsidR="00ED7579" w:rsidRPr="00ED7579" w:rsidRDefault="00ED7579" w:rsidP="00BF7BCB">
      <w:pPr>
        <w:ind w:firstLine="720"/>
        <w:rPr>
          <w:rFonts w:ascii="Garamond" w:hAnsi="Garamond"/>
          <w:sz w:val="22"/>
          <w:szCs w:val="22"/>
        </w:rPr>
      </w:pPr>
      <w:r w:rsidRPr="00ED7579">
        <w:rPr>
          <w:rFonts w:ascii="Garamond" w:hAnsi="Garamond"/>
          <w:sz w:val="22"/>
          <w:szCs w:val="22"/>
        </w:rPr>
        <w:t xml:space="preserve">This is based on the sum of the daily CPUE data. We added this to the sentence: </w:t>
      </w:r>
    </w:p>
    <w:p w14:paraId="03D33B15" w14:textId="6830ACEC" w:rsidR="00ED7579" w:rsidRPr="00ED7579" w:rsidRDefault="00ED7579" w:rsidP="00ED7579">
      <w:pPr>
        <w:ind w:left="720"/>
        <w:rPr>
          <w:rFonts w:ascii="Garamond" w:hAnsi="Garamond"/>
          <w:sz w:val="22"/>
          <w:szCs w:val="22"/>
        </w:rPr>
      </w:pPr>
      <w:r w:rsidRPr="00ED7579">
        <w:rPr>
          <w:rFonts w:ascii="Garamond" w:hAnsi="Garamond"/>
          <w:sz w:val="22"/>
          <w:szCs w:val="22"/>
        </w:rPr>
        <w:t>“</w:t>
      </w:r>
      <w:r w:rsidRPr="00ED7579">
        <w:rPr>
          <w:rFonts w:ascii="Garamond" w:hAnsi="Garamond" w:cs="Times New Roman"/>
        </w:rPr>
        <w:t>To directly compare relative run timing to the temporal distribution of the full run, we used daily CPUE data collected from the BTF to calculate the cumulative proportion of the full run’s CPUE remaining for each day based on the sum of the daily CPUE.</w:t>
      </w:r>
      <w:r w:rsidRPr="00ED7579">
        <w:rPr>
          <w:rFonts w:ascii="Garamond" w:hAnsi="Garamond" w:cs="Times New Roman"/>
        </w:rPr>
        <w:t>”</w:t>
      </w:r>
    </w:p>
    <w:p w14:paraId="012E9CB4" w14:textId="77777777" w:rsidR="00ED7579" w:rsidRPr="005B6DFB" w:rsidRDefault="00ED7579" w:rsidP="00ED7579">
      <w:pPr>
        <w:rPr>
          <w:rFonts w:ascii="Garamond" w:hAnsi="Garamond"/>
          <w:b/>
          <w:bCs/>
          <w:sz w:val="22"/>
          <w:szCs w:val="22"/>
        </w:rPr>
      </w:pPr>
    </w:p>
    <w:p w14:paraId="01E214C7"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216-255: In my opinion it’s tough to resolve the claim from lines 216-218 using Figure 3 due to strong differences among stocks in the proportional contribution, which minimizes contrast among the quartiles. Would it be better to facet by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Default="00D3318A" w:rsidP="007F5F83">
      <w:pPr>
        <w:rPr>
          <w:rFonts w:ascii="Garamond" w:hAnsi="Garamond"/>
          <w:b/>
          <w:bCs/>
          <w:sz w:val="22"/>
          <w:szCs w:val="22"/>
        </w:rPr>
      </w:pPr>
    </w:p>
    <w:p w14:paraId="421A0B12" w14:textId="76ED1C60" w:rsidR="00F31097" w:rsidRDefault="00E73D69" w:rsidP="00E73D69">
      <w:pPr>
        <w:ind w:left="720"/>
        <w:rPr>
          <w:rFonts w:ascii="Garamond" w:hAnsi="Garamond"/>
          <w:sz w:val="22"/>
          <w:szCs w:val="22"/>
        </w:rPr>
      </w:pPr>
      <w:r>
        <w:rPr>
          <w:rFonts w:ascii="Garamond" w:hAnsi="Garamond"/>
          <w:sz w:val="22"/>
          <w:szCs w:val="22"/>
        </w:rPr>
        <w:t xml:space="preserve">To better illustrate this point we produced a new two panel figure showing A) relative contribution per seasonal quartile faceted by group, and B) Stacked bar charts showing the total proportional contribution per group by year. </w:t>
      </w:r>
    </w:p>
    <w:p w14:paraId="558ECF64" w14:textId="77777777" w:rsidR="00E73D69" w:rsidRDefault="00E73D69" w:rsidP="00E73D69">
      <w:pPr>
        <w:ind w:left="720"/>
        <w:rPr>
          <w:rFonts w:ascii="Garamond" w:hAnsi="Garamond"/>
          <w:sz w:val="22"/>
          <w:szCs w:val="22"/>
        </w:rPr>
      </w:pPr>
    </w:p>
    <w:p w14:paraId="267C8A81" w14:textId="55DB7189" w:rsidR="00E73D69" w:rsidRPr="00E73D69" w:rsidRDefault="00E73D69" w:rsidP="00E73D69">
      <w:pPr>
        <w:ind w:left="720"/>
        <w:rPr>
          <w:rFonts w:ascii="Garamond" w:hAnsi="Garamond"/>
          <w:sz w:val="22"/>
          <w:szCs w:val="22"/>
        </w:rPr>
      </w:pPr>
      <w:r w:rsidRPr="00D82E78">
        <w:rPr>
          <w:rFonts w:ascii="Garamond" w:hAnsi="Garamond"/>
          <w:sz w:val="22"/>
          <w:szCs w:val="22"/>
          <w:highlight w:val="yellow"/>
        </w:rPr>
        <w:t>** Change description of Figures in the text during read through **</w:t>
      </w:r>
      <w:r>
        <w:rPr>
          <w:rFonts w:ascii="Garamond" w:hAnsi="Garamond"/>
          <w:sz w:val="22"/>
          <w:szCs w:val="22"/>
        </w:rPr>
        <w:t xml:space="preserve"> </w:t>
      </w:r>
    </w:p>
    <w:p w14:paraId="173BEC48" w14:textId="35077C09" w:rsidR="00584E8C" w:rsidRDefault="007D21BA" w:rsidP="007F5F83">
      <w:pPr>
        <w:rPr>
          <w:rFonts w:ascii="Garamond" w:hAnsi="Garamond"/>
          <w:b/>
          <w:bCs/>
          <w:sz w:val="22"/>
          <w:szCs w:val="22"/>
        </w:rPr>
      </w:pPr>
      <w:r w:rsidRPr="005B6DFB">
        <w:rPr>
          <w:rFonts w:ascii="Garamond" w:hAnsi="Garamond"/>
          <w:b/>
          <w:bCs/>
          <w:sz w:val="22"/>
          <w:szCs w:val="22"/>
        </w:rPr>
        <w:br/>
        <w:t>L</w:t>
      </w:r>
      <w:r w:rsidR="00D3318A">
        <w:rPr>
          <w:rFonts w:ascii="Garamond" w:hAnsi="Garamond"/>
          <w:b/>
          <w:bCs/>
          <w:sz w:val="22"/>
          <w:szCs w:val="22"/>
        </w:rPr>
        <w:t>i</w:t>
      </w:r>
      <w:r w:rsidRPr="005B6DFB">
        <w:rPr>
          <w:rFonts w:ascii="Garamond" w:hAnsi="Garamond"/>
          <w:b/>
          <w:bCs/>
          <w:sz w:val="22"/>
          <w:szCs w:val="22"/>
        </w:rPr>
        <w:t>ne 230: Suggest specifying interannual variation</w:t>
      </w:r>
    </w:p>
    <w:p w14:paraId="554F2F41" w14:textId="6318CEC7" w:rsidR="00D82E78" w:rsidRDefault="00D82E78" w:rsidP="00D82E78">
      <w:pPr>
        <w:ind w:left="720"/>
        <w:rPr>
          <w:rFonts w:ascii="Garamond" w:hAnsi="Garamond"/>
        </w:rPr>
      </w:pPr>
      <w:r w:rsidRPr="00D82E78">
        <w:rPr>
          <w:rFonts w:ascii="Garamond" w:hAnsi="Garamond"/>
          <w:sz w:val="22"/>
          <w:szCs w:val="22"/>
        </w:rPr>
        <w:t xml:space="preserve">Specified this in the text: “ </w:t>
      </w:r>
      <w:r w:rsidRPr="00D82E78">
        <w:rPr>
          <w:rFonts w:ascii="Garamond" w:hAnsi="Garamond"/>
        </w:rPr>
        <w:t>Cumulative distribution plots (Fig. 4) illustrated interannual variation in seasonal migration timing among regional groups independent of the total returning individuals within each group.</w:t>
      </w:r>
      <w:r w:rsidRPr="00D82E78">
        <w:rPr>
          <w:rFonts w:ascii="Garamond" w:hAnsi="Garamond"/>
        </w:rPr>
        <w:t>”</w:t>
      </w:r>
    </w:p>
    <w:p w14:paraId="14D1E904" w14:textId="77777777" w:rsidR="00D82E78" w:rsidRPr="00D82E78" w:rsidRDefault="00D82E78" w:rsidP="00D82E78">
      <w:pPr>
        <w:rPr>
          <w:rFonts w:ascii="Garamond" w:hAnsi="Garamond"/>
          <w:sz w:val="22"/>
          <w:szCs w:val="22"/>
        </w:rPr>
      </w:pPr>
    </w:p>
    <w:p w14:paraId="7DFCB399" w14:textId="77777777" w:rsidR="00584E8C" w:rsidRDefault="007D21BA" w:rsidP="007F5F83">
      <w:pPr>
        <w:rPr>
          <w:rFonts w:ascii="Garamond" w:hAnsi="Garamond"/>
          <w:b/>
          <w:bCs/>
          <w:sz w:val="22"/>
          <w:szCs w:val="22"/>
        </w:rPr>
      </w:pPr>
      <w:r w:rsidRPr="005B6DFB">
        <w:rPr>
          <w:rFonts w:ascii="Garamond" w:hAnsi="Garamond"/>
          <w:b/>
          <w:bCs/>
          <w:sz w:val="22"/>
          <w:szCs w:val="22"/>
        </w:rPr>
        <w:lastRenderedPageBreak/>
        <w:br/>
        <w:t xml:space="preserve">Lines 233-234: Might be worth defining parenthetically which </w:t>
      </w:r>
      <w:proofErr w:type="spellStart"/>
      <w:r w:rsidRPr="005B6DFB">
        <w:rPr>
          <w:rFonts w:ascii="Garamond" w:hAnsi="Garamond"/>
          <w:b/>
          <w:bCs/>
          <w:sz w:val="22"/>
          <w:szCs w:val="22"/>
        </w:rPr>
        <w:t>numerics</w:t>
      </w:r>
      <w:proofErr w:type="spellEnd"/>
      <w:r w:rsidRPr="005B6DFB">
        <w:rPr>
          <w:rFonts w:ascii="Garamond" w:hAnsi="Garamond"/>
          <w:b/>
          <w:bCs/>
          <w:sz w:val="22"/>
          <w:szCs w:val="22"/>
        </w:rPr>
        <w:t xml:space="preserve"> represent middle/lower (i.e. is it 1-5, 2-4?)</w:t>
      </w:r>
    </w:p>
    <w:p w14:paraId="10B7ADEC" w14:textId="5FC7B8E9" w:rsidR="00D82E78" w:rsidRPr="005B6DFB" w:rsidRDefault="00D82E78" w:rsidP="007F5F83">
      <w:pPr>
        <w:rPr>
          <w:rFonts w:ascii="Garamond" w:hAnsi="Garamond"/>
          <w:b/>
          <w:bCs/>
          <w:sz w:val="22"/>
          <w:szCs w:val="22"/>
        </w:rPr>
      </w:pPr>
      <w:r>
        <w:rPr>
          <w:rFonts w:ascii="Garamond" w:hAnsi="Garamond"/>
          <w:b/>
          <w:bCs/>
          <w:sz w:val="22"/>
          <w:szCs w:val="22"/>
        </w:rPr>
        <w:tab/>
      </w:r>
      <w:r w:rsidRPr="00D82E78">
        <w:rPr>
          <w:rFonts w:ascii="Garamond" w:hAnsi="Garamond"/>
          <w:b/>
          <w:bCs/>
          <w:sz w:val="22"/>
          <w:szCs w:val="22"/>
          <w:highlight w:val="yellow"/>
        </w:rPr>
        <w:t>*** Is there a true cutoff? , or a defensible one based on management? **</w:t>
      </w:r>
      <w:r>
        <w:rPr>
          <w:rFonts w:ascii="Garamond" w:hAnsi="Garamond"/>
          <w:b/>
          <w:bCs/>
          <w:sz w:val="22"/>
          <w:szCs w:val="22"/>
        </w:rPr>
        <w:t xml:space="preserve"> </w:t>
      </w:r>
    </w:p>
    <w:p w14:paraId="552F122E"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5B6DFB">
        <w:rPr>
          <w:rFonts w:ascii="Garamond" w:hAnsi="Garamond"/>
          <w:b/>
          <w:bCs/>
          <w:sz w:val="22"/>
          <w:szCs w:val="22"/>
        </w:rPr>
        <w:t>behaviour</w:t>
      </w:r>
      <w:proofErr w:type="spellEnd"/>
      <w:r w:rsidRPr="005B6DFB">
        <w:rPr>
          <w:rFonts w:ascii="Garamond" w:hAnsi="Garamond"/>
          <w:b/>
          <w:bCs/>
          <w:sz w:val="22"/>
          <w:szCs w:val="22"/>
        </w:rPr>
        <w:t xml:space="preserve"> among groups.</w:t>
      </w:r>
    </w:p>
    <w:p w14:paraId="26F99205" w14:textId="2686721E" w:rsidR="0022603E" w:rsidRDefault="007D21BA" w:rsidP="007F5F83">
      <w:pPr>
        <w:rPr>
          <w:rFonts w:ascii="Garamond" w:hAnsi="Garamond"/>
          <w:b/>
          <w:bCs/>
          <w:sz w:val="22"/>
          <w:szCs w:val="22"/>
        </w:rPr>
      </w:pPr>
      <w:r w:rsidRPr="005B6DFB">
        <w:rPr>
          <w:rFonts w:ascii="Garamond" w:hAnsi="Garamond"/>
          <w:b/>
          <w:bCs/>
          <w:sz w:val="22"/>
          <w:szCs w:val="22"/>
        </w:rPr>
        <w:br/>
      </w:r>
      <w:r w:rsidR="00D82E78">
        <w:rPr>
          <w:rFonts w:ascii="Garamond" w:hAnsi="Garamond"/>
          <w:b/>
          <w:bCs/>
          <w:sz w:val="22"/>
          <w:szCs w:val="22"/>
        </w:rPr>
        <w:tab/>
      </w:r>
      <w:r w:rsidR="0022603E">
        <w:rPr>
          <w:rFonts w:ascii="Garamond" w:hAnsi="Garamond"/>
          <w:b/>
          <w:bCs/>
          <w:sz w:val="22"/>
          <w:szCs w:val="22"/>
        </w:rPr>
        <w:t xml:space="preserve">** Add new figure about run CV , change subtitle on it , and make sure its ordered by group not CV </w:t>
      </w:r>
    </w:p>
    <w:p w14:paraId="63F90B5F" w14:textId="381C0BB3" w:rsidR="00D82E78" w:rsidRDefault="0022603E" w:rsidP="007F5F83">
      <w:pPr>
        <w:rPr>
          <w:rFonts w:ascii="Garamond" w:hAnsi="Garamond"/>
          <w:b/>
          <w:bCs/>
          <w:sz w:val="22"/>
          <w:szCs w:val="22"/>
        </w:rPr>
      </w:pPr>
      <w:r>
        <w:rPr>
          <w:rFonts w:ascii="Garamond" w:hAnsi="Garamond"/>
          <w:b/>
          <w:bCs/>
          <w:sz w:val="22"/>
          <w:szCs w:val="22"/>
        </w:rPr>
        <w:t xml:space="preserve"> </w:t>
      </w:r>
    </w:p>
    <w:p w14:paraId="1AA828CE" w14:textId="77777777" w:rsidR="0022603E" w:rsidRDefault="0022603E" w:rsidP="007F5F83">
      <w:pPr>
        <w:rPr>
          <w:rFonts w:ascii="Garamond" w:hAnsi="Garamond"/>
          <w:b/>
          <w:bCs/>
          <w:sz w:val="22"/>
          <w:szCs w:val="22"/>
        </w:rPr>
      </w:pPr>
    </w:p>
    <w:p w14:paraId="605E5BBF" w14:textId="77777777" w:rsidR="0022603E" w:rsidRDefault="0022603E" w:rsidP="007F5F83">
      <w:pPr>
        <w:rPr>
          <w:rFonts w:ascii="Garamond" w:hAnsi="Garamond"/>
          <w:b/>
          <w:bCs/>
          <w:sz w:val="22"/>
          <w:szCs w:val="22"/>
        </w:rPr>
      </w:pPr>
    </w:p>
    <w:p w14:paraId="0BA13B11" w14:textId="77777777" w:rsidR="00D82E78" w:rsidRDefault="00D82E78" w:rsidP="007F5F83">
      <w:pPr>
        <w:rPr>
          <w:rFonts w:ascii="Garamond" w:hAnsi="Garamond"/>
          <w:b/>
          <w:bCs/>
          <w:sz w:val="22"/>
          <w:szCs w:val="22"/>
        </w:rPr>
      </w:pPr>
    </w:p>
    <w:p w14:paraId="6FE0B978" w14:textId="6436211D" w:rsidR="00584E8C" w:rsidRPr="005B6DFB" w:rsidRDefault="007D21BA" w:rsidP="007F5F83">
      <w:pPr>
        <w:rPr>
          <w:rFonts w:ascii="Garamond" w:hAnsi="Garamond"/>
          <w:b/>
          <w:bCs/>
          <w:sz w:val="22"/>
          <w:szCs w:val="22"/>
        </w:rPr>
      </w:pPr>
      <w:r w:rsidRPr="005B6DFB">
        <w:rPr>
          <w:rFonts w:ascii="Garamond" w:hAnsi="Garamond"/>
          <w:b/>
          <w:bCs/>
          <w:sz w:val="22"/>
          <w:szCs w:val="22"/>
        </w:rPr>
        <w:t>Line 261: By minimum protection values I’m assuming the authors are referring to the year with the observed lowest proportion protected?</w:t>
      </w:r>
    </w:p>
    <w:p w14:paraId="12CA9594" w14:textId="77777777" w:rsidR="005B6DFB" w:rsidRPr="005B6DFB" w:rsidRDefault="007D21BA" w:rsidP="007F5F83">
      <w:pPr>
        <w:rPr>
          <w:rFonts w:ascii="Garamond" w:hAnsi="Garamond"/>
          <w:b/>
          <w:bCs/>
          <w:sz w:val="22"/>
          <w:szCs w:val="22"/>
        </w:rPr>
      </w:pPr>
      <w:r w:rsidRPr="005B6DFB">
        <w:rPr>
          <w:rFonts w:ascii="Garamond" w:hAnsi="Garamond"/>
          <w:b/>
          <w:bCs/>
          <w:sz w:val="22"/>
          <w:szCs w:val="22"/>
        </w:rPr>
        <w:br/>
        <w:t>Line 266-268: This is a really important component of the work and I’m glad it was included. Did the authors consider inverting the x-axis on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r w:rsidRPr="005B6DFB">
        <w:rPr>
          <w:rFonts w:ascii="Garamond" w:hAnsi="Garamond"/>
          <w:b/>
          <w:bCs/>
          <w:sz w:val="22"/>
          <w:szCs w:val="22"/>
        </w:rPr>
        <w:br/>
      </w:r>
      <w:r w:rsidRPr="005B6DFB">
        <w:rPr>
          <w:rFonts w:ascii="Garamond" w:hAnsi="Garamond"/>
          <w:b/>
          <w:bCs/>
          <w:sz w:val="22"/>
          <w:szCs w:val="22"/>
        </w:rPr>
        <w:br/>
        <w:t>Line 277-279: Nitpicky but this sentence refers to multiple smaller upstream watersheds but then uses “watershed” to also refer to the entire basin.</w:t>
      </w:r>
      <w:r w:rsidRPr="005B6DFB">
        <w:rPr>
          <w:rFonts w:ascii="Garamond" w:hAnsi="Garamond"/>
          <w:b/>
          <w:bCs/>
          <w:sz w:val="22"/>
          <w:szCs w:val="22"/>
        </w:rPr>
        <w:br/>
      </w:r>
    </w:p>
    <w:p w14:paraId="6D59EC96" w14:textId="56584136" w:rsidR="00584E8C" w:rsidRPr="005B6DFB" w:rsidRDefault="007D21BA" w:rsidP="007F5F83">
      <w:pPr>
        <w:rPr>
          <w:rFonts w:ascii="Garamond" w:hAnsi="Garamond"/>
          <w:b/>
          <w:bCs/>
          <w:sz w:val="22"/>
          <w:szCs w:val="22"/>
        </w:rPr>
      </w:pPr>
      <w:r w:rsidRPr="005B6DFB">
        <w:rPr>
          <w:rFonts w:ascii="Garamond" w:hAnsi="Garamond"/>
          <w:b/>
          <w:bCs/>
          <w:sz w:val="22"/>
          <w:szCs w:val="22"/>
        </w:rPr>
        <w:t>Lines 279-281: Wording’s a little clunky.</w:t>
      </w:r>
    </w:p>
    <w:p w14:paraId="0E33BA08" w14:textId="77777777" w:rsidR="00584E8C" w:rsidRPr="005B6DFB" w:rsidRDefault="007D21BA" w:rsidP="007F5F83">
      <w:pPr>
        <w:rPr>
          <w:rFonts w:ascii="Garamond" w:hAnsi="Garamond"/>
          <w:b/>
          <w:bCs/>
          <w:sz w:val="22"/>
          <w:szCs w:val="22"/>
        </w:rPr>
      </w:pPr>
      <w:r w:rsidRPr="005B6DFB">
        <w:rPr>
          <w:rFonts w:ascii="Garamond" w:hAnsi="Garamond"/>
          <w:b/>
          <w:bCs/>
          <w:sz w:val="22"/>
          <w:szCs w:val="22"/>
        </w:rPr>
        <w:br/>
        <w:t>Line 282: Here would be a good place to insert a paragraph describing how regional stock groupings correspond, or not, to a priori assumptions about stock structure, as well as summarizing any existing knowledge on ecological differences (besides migration timing) between upper/middle/lower populations. Then pivot to management implications and efficacy.</w:t>
      </w:r>
    </w:p>
    <w:p w14:paraId="1E0424B7" w14:textId="77777777" w:rsidR="00584E8C" w:rsidRPr="005B6DFB" w:rsidRDefault="007D21BA" w:rsidP="007F5F83">
      <w:pPr>
        <w:rPr>
          <w:rFonts w:ascii="Garamond" w:hAnsi="Garamond"/>
          <w:b/>
          <w:bCs/>
          <w:sz w:val="22"/>
          <w:szCs w:val="22"/>
        </w:rPr>
      </w:pPr>
      <w:r w:rsidRPr="005B6DFB">
        <w:rPr>
          <w:rFonts w:ascii="Garamond" w:hAnsi="Garamond"/>
          <w:b/>
          <w:bCs/>
          <w:sz w:val="22"/>
          <w:szCs w:val="22"/>
        </w:rPr>
        <w:lastRenderedPageBreak/>
        <w:br/>
        <w:t>Line 298: Is proportional protection driven by relative abundance or variability in timing?</w:t>
      </w:r>
      <w:r w:rsidRPr="005B6DFB">
        <w:rPr>
          <w:rFonts w:ascii="Garamond" w:hAnsi="Garamond"/>
          <w:b/>
          <w:bCs/>
          <w:sz w:val="22"/>
          <w:szCs w:val="22"/>
        </w:rPr>
        <w:br/>
      </w:r>
    </w:p>
    <w:p w14:paraId="68AED59F"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Unfortunately the upper Kuskokwim populations seem to fall in the latter category.</w:t>
      </w:r>
      <w:r w:rsidRPr="005B6DFB">
        <w:rPr>
          <w:rFonts w:ascii="Garamond" w:hAnsi="Garamond"/>
          <w:b/>
          <w:bCs/>
          <w:sz w:val="22"/>
          <w:szCs w:val="22"/>
        </w:rPr>
        <w:br/>
      </w:r>
    </w:p>
    <w:p w14:paraId="1E033E0F" w14:textId="77777777" w:rsidR="00584E8C" w:rsidRPr="005B6DFB" w:rsidRDefault="007D21BA" w:rsidP="007F5F83">
      <w:pPr>
        <w:rPr>
          <w:rFonts w:ascii="Garamond" w:hAnsi="Garamond"/>
          <w:b/>
          <w:bCs/>
          <w:sz w:val="22"/>
          <w:szCs w:val="22"/>
        </w:rPr>
      </w:pPr>
      <w:r w:rsidRPr="005B6DFB">
        <w:rPr>
          <w:rFonts w:ascii="Garamond" w:hAnsi="Garamond"/>
          <w:b/>
          <w:bCs/>
          <w:sz w:val="22"/>
          <w:szCs w:val="22"/>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r w:rsidRPr="005B6DFB">
        <w:rPr>
          <w:rFonts w:ascii="Garamond" w:hAnsi="Garamond"/>
          <w:b/>
          <w:bCs/>
          <w:sz w:val="22"/>
          <w:szCs w:val="22"/>
        </w:rPr>
        <w:br/>
      </w:r>
    </w:p>
    <w:p w14:paraId="57EDA75E" w14:textId="62B6A411" w:rsidR="00491217" w:rsidRPr="005B6DFB" w:rsidRDefault="007D21BA" w:rsidP="00584E8C">
      <w:pPr>
        <w:rPr>
          <w:rFonts w:ascii="Garamond" w:hAnsi="Garamond"/>
          <w:b/>
          <w:bCs/>
          <w:sz w:val="22"/>
          <w:szCs w:val="22"/>
        </w:rPr>
      </w:pPr>
      <w:r w:rsidRPr="005B6DFB">
        <w:rPr>
          <w:rFonts w:ascii="Garamond" w:hAnsi="Garamond"/>
          <w:b/>
          <w:bCs/>
          <w:sz w:val="22"/>
          <w:szCs w:val="22"/>
        </w:rPr>
        <w:t>Lines 347-348: Somewhat vague. See previous comment requesting additional detail on information on within basin dynamics.</w:t>
      </w:r>
      <w:r w:rsidRPr="005B6DFB">
        <w:rPr>
          <w:rFonts w:ascii="Garamond" w:hAnsi="Garamond"/>
          <w:b/>
          <w:bCs/>
          <w:sz w:val="22"/>
          <w:szCs w:val="22"/>
        </w:rPr>
        <w:br/>
      </w:r>
    </w:p>
    <w:p w14:paraId="6D1EDECE" w14:textId="77777777" w:rsidR="00584E8C" w:rsidRPr="005B6DFB" w:rsidRDefault="00584E8C" w:rsidP="00584E8C">
      <w:pPr>
        <w:rPr>
          <w:rFonts w:ascii="Garamond" w:hAnsi="Garamond"/>
          <w:sz w:val="22"/>
          <w:szCs w:val="22"/>
        </w:rPr>
      </w:pPr>
    </w:p>
    <w:p w14:paraId="12B12B0C" w14:textId="77777777" w:rsidR="00584E8C" w:rsidRPr="005B6DFB" w:rsidRDefault="00584E8C" w:rsidP="00584E8C">
      <w:pPr>
        <w:rPr>
          <w:rFonts w:ascii="Garamond" w:hAnsi="Garamond"/>
          <w:sz w:val="22"/>
          <w:szCs w:val="22"/>
        </w:rPr>
      </w:pPr>
    </w:p>
    <w:p w14:paraId="2424F4ED" w14:textId="77777777" w:rsidR="00584E8C" w:rsidRPr="005B6DFB" w:rsidRDefault="00584E8C" w:rsidP="00584E8C">
      <w:pPr>
        <w:rPr>
          <w:rFonts w:ascii="Garamond" w:hAnsi="Garamond"/>
          <w:sz w:val="22"/>
          <w:szCs w:val="22"/>
        </w:rPr>
      </w:pPr>
    </w:p>
    <w:p w14:paraId="5C2023BB" w14:textId="77777777" w:rsidR="00584E8C" w:rsidRPr="005B6DFB" w:rsidRDefault="00584E8C" w:rsidP="00584E8C">
      <w:pPr>
        <w:rPr>
          <w:rFonts w:ascii="Garamond" w:hAnsi="Garamond"/>
          <w:sz w:val="22"/>
          <w:szCs w:val="22"/>
        </w:rPr>
      </w:pPr>
    </w:p>
    <w:p w14:paraId="3ACD6673" w14:textId="77777777" w:rsidR="00584E8C" w:rsidRPr="005B6DFB" w:rsidRDefault="00584E8C" w:rsidP="00584E8C">
      <w:pPr>
        <w:rPr>
          <w:rFonts w:ascii="Garamond" w:hAnsi="Garamond"/>
          <w:sz w:val="22"/>
          <w:szCs w:val="22"/>
        </w:rPr>
      </w:pPr>
    </w:p>
    <w:p w14:paraId="0ADFC782" w14:textId="77777777" w:rsidR="00491217" w:rsidRPr="005B6DFB" w:rsidRDefault="00491217" w:rsidP="00A6390C">
      <w:pPr>
        <w:pStyle w:val="Title"/>
        <w:rPr>
          <w:rFonts w:ascii="Garamond" w:hAnsi="Garamond"/>
          <w:sz w:val="22"/>
          <w:szCs w:val="22"/>
        </w:rPr>
      </w:pPr>
    </w:p>
    <w:p w14:paraId="03C141F6" w14:textId="533A9E82" w:rsidR="00A6390C" w:rsidRPr="005B6DFB" w:rsidRDefault="00A6390C" w:rsidP="005B6DFB">
      <w:pPr>
        <w:pStyle w:val="Heading2"/>
      </w:pPr>
      <w:r w:rsidRPr="005B6DFB">
        <w:t xml:space="preserve">Reviewer 2: </w:t>
      </w:r>
    </w:p>
    <w:p w14:paraId="1AF50157" w14:textId="1F542DB0" w:rsidR="00A6390C" w:rsidRPr="005B6DFB" w:rsidRDefault="00A6390C" w:rsidP="00A6390C">
      <w:pPr>
        <w:rPr>
          <w:rFonts w:ascii="Garamond" w:hAnsi="Garamond"/>
          <w:sz w:val="22"/>
          <w:szCs w:val="22"/>
        </w:rPr>
      </w:pPr>
      <w:r w:rsidRPr="005B6DFB">
        <w:rPr>
          <w:rFonts w:ascii="Garamond" w:hAnsi="Garamond"/>
          <w:sz w:val="22"/>
          <w:szCs w:val="22"/>
        </w:rPr>
        <w:t xml:space="preserve">General Comments </w:t>
      </w:r>
    </w:p>
    <w:p w14:paraId="58AA414B" w14:textId="597DB26E" w:rsidR="00A6390C" w:rsidRPr="005B6DFB" w:rsidRDefault="005052B4" w:rsidP="00A6390C">
      <w:pPr>
        <w:rPr>
          <w:rFonts w:ascii="Garamond" w:hAnsi="Garamond"/>
          <w:b/>
          <w:bCs/>
          <w:sz w:val="22"/>
          <w:szCs w:val="22"/>
        </w:rPr>
      </w:pPr>
      <w:r w:rsidRPr="005B6DFB">
        <w:rPr>
          <w:rFonts w:ascii="Garamond" w:hAnsi="Garamond"/>
          <w:b/>
          <w:bCs/>
          <w:sz w:val="22"/>
          <w:szCs w:val="22"/>
        </w:rPr>
        <w:t>From the title I didn’t think “multi-year otolith isotope study”. I am also not sure “balance” is the right word and a more pointed title about the upper-watershed fish may be more appropriate.</w:t>
      </w:r>
    </w:p>
    <w:p w14:paraId="5959770B" w14:textId="041BEF7C" w:rsidR="005052B4" w:rsidRPr="005B6DFB" w:rsidRDefault="005052B4" w:rsidP="00733A9B">
      <w:pPr>
        <w:ind w:left="720"/>
        <w:rPr>
          <w:rFonts w:ascii="Garamond" w:hAnsi="Garamond"/>
          <w:sz w:val="22"/>
          <w:szCs w:val="22"/>
        </w:rPr>
      </w:pPr>
      <w:r w:rsidRPr="005B6DFB">
        <w:rPr>
          <w:rFonts w:ascii="Garamond" w:hAnsi="Garamond"/>
          <w:sz w:val="22"/>
          <w:szCs w:val="22"/>
        </w:rPr>
        <w:t xml:space="preserve">Although we agree that the title does not lead the reader to the conclusion that this is an otolith-based study, we believe that the key take home message here is assessing how the strategic closure can balance the dual goals of opportunity and stock diversity when provided with sufficient spatial resolution (achieved via the otolith chemistry). For this reason we have opted to keep the title the same. </w:t>
      </w:r>
    </w:p>
    <w:p w14:paraId="3D8A9FEC" w14:textId="77777777" w:rsidR="005052B4" w:rsidRPr="005B6DFB" w:rsidRDefault="005052B4" w:rsidP="00A6390C">
      <w:pPr>
        <w:rPr>
          <w:rFonts w:ascii="Garamond" w:hAnsi="Garamond"/>
          <w:sz w:val="22"/>
          <w:szCs w:val="22"/>
        </w:rPr>
      </w:pPr>
    </w:p>
    <w:p w14:paraId="0A8E7970" w14:textId="4176A926" w:rsidR="007F5F83" w:rsidRPr="005B6DFB" w:rsidRDefault="005052B4">
      <w:pPr>
        <w:rPr>
          <w:rFonts w:ascii="Garamond" w:hAnsi="Garamond"/>
          <w:b/>
          <w:bCs/>
          <w:sz w:val="22"/>
          <w:szCs w:val="22"/>
        </w:rPr>
      </w:pPr>
      <w:r w:rsidRPr="005B6DFB">
        <w:rPr>
          <w:rFonts w:ascii="Garamond" w:hAnsi="Garamond"/>
          <w:b/>
          <w:bCs/>
          <w:sz w:val="22"/>
          <w:szCs w:val="22"/>
        </w:rPr>
        <w:t>Throughout the entire manuscript text and figures change Sr87/Sr86 to 87Sr/86Sr.</w:t>
      </w:r>
    </w:p>
    <w:p w14:paraId="23FAEEFF" w14:textId="6ABCF2B7" w:rsidR="005052B4" w:rsidRPr="005B6DFB" w:rsidRDefault="005052B4">
      <w:pPr>
        <w:rPr>
          <w:rFonts w:ascii="Garamond" w:hAnsi="Garamond"/>
          <w:b/>
          <w:bCs/>
          <w:sz w:val="22"/>
          <w:szCs w:val="22"/>
        </w:rPr>
      </w:pPr>
      <w:r w:rsidRPr="005B6DFB">
        <w:rPr>
          <w:rFonts w:ascii="Garamond" w:hAnsi="Garamond"/>
          <w:b/>
          <w:bCs/>
          <w:sz w:val="22"/>
          <w:szCs w:val="22"/>
          <w:highlight w:val="yellow"/>
        </w:rPr>
        <w:t>** Change throughout **</w:t>
      </w:r>
      <w:r w:rsidRPr="005B6DFB">
        <w:rPr>
          <w:rFonts w:ascii="Garamond" w:hAnsi="Garamond"/>
          <w:b/>
          <w:bCs/>
          <w:sz w:val="22"/>
          <w:szCs w:val="22"/>
        </w:rPr>
        <w:t xml:space="preserve"> </w:t>
      </w:r>
    </w:p>
    <w:p w14:paraId="4F4D7E03" w14:textId="77777777" w:rsidR="005052B4" w:rsidRPr="005B6DFB" w:rsidRDefault="005052B4">
      <w:pPr>
        <w:rPr>
          <w:rFonts w:ascii="Garamond" w:hAnsi="Garamond"/>
          <w:sz w:val="22"/>
          <w:szCs w:val="22"/>
        </w:rPr>
      </w:pPr>
    </w:p>
    <w:p w14:paraId="63229207" w14:textId="77777777" w:rsidR="005052B4" w:rsidRPr="005B6DFB" w:rsidRDefault="005052B4">
      <w:pPr>
        <w:rPr>
          <w:rFonts w:ascii="Garamond" w:hAnsi="Garamond"/>
          <w:sz w:val="22"/>
          <w:szCs w:val="22"/>
        </w:rPr>
      </w:pPr>
    </w:p>
    <w:p w14:paraId="23317A3B" w14:textId="6AE80C08" w:rsidR="005052B4" w:rsidRPr="005B6DFB" w:rsidRDefault="005052B4">
      <w:pPr>
        <w:rPr>
          <w:rFonts w:ascii="Garamond" w:hAnsi="Garamond"/>
          <w:b/>
          <w:bCs/>
          <w:sz w:val="22"/>
          <w:szCs w:val="22"/>
        </w:rPr>
      </w:pPr>
      <w:r w:rsidRPr="005B6DFB">
        <w:rPr>
          <w:rFonts w:ascii="Garamond" w:hAnsi="Garamond"/>
          <w:b/>
          <w:bCs/>
          <w:sz w:val="22"/>
          <w:szCs w:val="22"/>
        </w:rPr>
        <w:t>The abstract does a good job of introducing the problem and research objectives. However, without reading the rest of the paper the last two sentences don’t make a lot of sense to me. What are magnitudes of run-timing? And efficacy of what? (I assume the closure-dates?) Finally, how are simulated closure end dates providing greater protection (I assume its specific for simulated later closure end dates). I am sure this will become clear when reading the rest of the manuscript but ideally the abstract stands by itself. Maybe strategic rewording of these sentences will make this more clear.</w:t>
      </w:r>
    </w:p>
    <w:p w14:paraId="31594003" w14:textId="77777777" w:rsidR="00733A9B" w:rsidRPr="005B6DFB" w:rsidRDefault="00733A9B">
      <w:pPr>
        <w:rPr>
          <w:rFonts w:ascii="Garamond" w:hAnsi="Garamond"/>
          <w:sz w:val="22"/>
          <w:szCs w:val="22"/>
        </w:rPr>
      </w:pPr>
    </w:p>
    <w:p w14:paraId="43E47D48" w14:textId="47F98BBB" w:rsidR="005052B4" w:rsidRPr="005B6DFB" w:rsidRDefault="005052B4" w:rsidP="00733A9B">
      <w:pPr>
        <w:ind w:firstLine="720"/>
        <w:rPr>
          <w:rFonts w:ascii="Garamond" w:hAnsi="Garamond"/>
          <w:sz w:val="22"/>
          <w:szCs w:val="22"/>
        </w:rPr>
      </w:pPr>
      <w:r w:rsidRPr="005B6DFB">
        <w:rPr>
          <w:rFonts w:ascii="Garamond" w:hAnsi="Garamond"/>
          <w:sz w:val="22"/>
          <w:szCs w:val="22"/>
        </w:rPr>
        <w:t xml:space="preserve">To </w:t>
      </w:r>
      <w:r w:rsidR="00733A9B" w:rsidRPr="005B6DFB">
        <w:rPr>
          <w:rFonts w:ascii="Garamond" w:hAnsi="Garamond"/>
          <w:sz w:val="22"/>
          <w:szCs w:val="22"/>
        </w:rPr>
        <w:t xml:space="preserve">clarify the abstract for the reader we re-worded to read: </w:t>
      </w:r>
    </w:p>
    <w:p w14:paraId="22DF3D39" w14:textId="7FEB4058" w:rsidR="005052B4" w:rsidRPr="005B6DFB" w:rsidRDefault="00A32532" w:rsidP="00733A9B">
      <w:pPr>
        <w:ind w:left="720"/>
        <w:rPr>
          <w:rFonts w:ascii="Garamond" w:hAnsi="Garamond"/>
          <w:sz w:val="22"/>
          <w:szCs w:val="22"/>
        </w:rPr>
      </w:pPr>
      <w:r w:rsidRPr="005B6DFB">
        <w:rPr>
          <w:rFonts w:ascii="Garamond" w:hAnsi="Garamond"/>
          <w:sz w:val="22"/>
          <w:szCs w:val="22"/>
        </w:rPr>
        <w:t xml:space="preserve">“ </w:t>
      </w:r>
      <w:r w:rsidR="00733A9B" w:rsidRPr="005B6DFB">
        <w:rPr>
          <w:rFonts w:ascii="Garamond" w:hAnsi="Garamond"/>
          <w:sz w:val="22"/>
          <w:szCs w:val="22"/>
        </w:rPr>
        <w:t xml:space="preserve">A longer simulated closure provided greater protection for upper watershed stocks but with an associated tradeoff of lost harvest opportunity. The protection afforded to upper watershed stocks varied substantially among years due to variable overall return migration timing, highlighting the interaction between a fixed closure strategy and dynamic ecological processes that impact it’s overall efficacy.” </w:t>
      </w:r>
    </w:p>
    <w:p w14:paraId="6847D43C" w14:textId="77777777" w:rsidR="00733A9B" w:rsidRPr="005B6DFB" w:rsidRDefault="00733A9B" w:rsidP="00733A9B">
      <w:pPr>
        <w:rPr>
          <w:rFonts w:ascii="Garamond" w:hAnsi="Garamond"/>
          <w:sz w:val="22"/>
          <w:szCs w:val="22"/>
        </w:rPr>
      </w:pPr>
    </w:p>
    <w:p w14:paraId="47C79846" w14:textId="4F29836E" w:rsidR="00733A9B" w:rsidRPr="005B6DFB" w:rsidRDefault="00733A9B" w:rsidP="00733A9B">
      <w:pPr>
        <w:rPr>
          <w:rFonts w:ascii="Garamond" w:hAnsi="Garamond"/>
          <w:b/>
          <w:bCs/>
          <w:sz w:val="22"/>
          <w:szCs w:val="22"/>
        </w:rPr>
      </w:pPr>
      <w:r w:rsidRPr="005B6DFB">
        <w:rPr>
          <w:rFonts w:ascii="Garamond" w:hAnsi="Garamond"/>
          <w:b/>
          <w:bCs/>
          <w:sz w:val="22"/>
          <w:szCs w:val="22"/>
        </w:rPr>
        <w:t>Most CJFAS readers are likely familiar with the importance of the Kuskokwim river but for international readers it would be beneficial to add a qualifier like “major Pacific salmon producing river” or “a  large and remote Chinook salmon watershed” or something similar.</w:t>
      </w:r>
    </w:p>
    <w:p w14:paraId="086EFF69" w14:textId="67FF9780" w:rsidR="00733A9B" w:rsidRPr="005B6DFB" w:rsidRDefault="00733A9B" w:rsidP="00733A9B">
      <w:pPr>
        <w:ind w:left="720"/>
        <w:rPr>
          <w:rFonts w:ascii="Garamond" w:hAnsi="Garamond"/>
          <w:sz w:val="22"/>
          <w:szCs w:val="22"/>
        </w:rPr>
      </w:pPr>
      <w:r w:rsidRPr="005B6DFB">
        <w:rPr>
          <w:rFonts w:ascii="Garamond" w:hAnsi="Garamond"/>
          <w:sz w:val="22"/>
          <w:szCs w:val="22"/>
        </w:rPr>
        <w:t xml:space="preserve">We added a clearer introduction of the Kuskokwim as a salmon producing river in western Alaska. </w:t>
      </w:r>
    </w:p>
    <w:p w14:paraId="65632E51" w14:textId="77777777" w:rsidR="00733A9B" w:rsidRPr="005B6DFB" w:rsidRDefault="00733A9B" w:rsidP="00733A9B">
      <w:pPr>
        <w:rPr>
          <w:rFonts w:ascii="Garamond" w:hAnsi="Garamond"/>
          <w:sz w:val="22"/>
          <w:szCs w:val="22"/>
        </w:rPr>
      </w:pPr>
    </w:p>
    <w:p w14:paraId="77288623" w14:textId="68AEEE44" w:rsidR="00733A9B" w:rsidRPr="005B6DFB" w:rsidRDefault="00733A9B" w:rsidP="00733A9B">
      <w:pPr>
        <w:rPr>
          <w:rFonts w:ascii="Garamond" w:hAnsi="Garamond"/>
          <w:b/>
          <w:bCs/>
          <w:sz w:val="22"/>
          <w:szCs w:val="22"/>
        </w:rPr>
      </w:pPr>
      <w:r w:rsidRPr="005B6DFB">
        <w:rPr>
          <w:rFonts w:ascii="Garamond" w:hAnsi="Garamond"/>
          <w:b/>
          <w:bCs/>
          <w:sz w:val="22"/>
          <w:szCs w:val="22"/>
        </w:rPr>
        <w:t>Line 47-49 “However, the timing, yield, and duration of downstream fisheries are the result of the aggregate dynamics of these upstream components (Nesbitt &amp; Moore, 2016).” I am not sure I fully understand what is meant here. So the duration and yield of downstream fisheries are impacted by the dynamics of the salmon in the upper watersheds?</w:t>
      </w:r>
    </w:p>
    <w:p w14:paraId="617E69E1" w14:textId="77777777" w:rsidR="00733A9B" w:rsidRPr="005B6DFB" w:rsidRDefault="00733A9B" w:rsidP="00733A9B">
      <w:pPr>
        <w:rPr>
          <w:rFonts w:ascii="Garamond" w:hAnsi="Garamond"/>
          <w:sz w:val="22"/>
          <w:szCs w:val="22"/>
        </w:rPr>
      </w:pPr>
    </w:p>
    <w:p w14:paraId="1C86EFDC" w14:textId="4D472ECB" w:rsidR="00733A9B" w:rsidRPr="005B6DFB" w:rsidRDefault="00733A9B" w:rsidP="00733A9B">
      <w:pPr>
        <w:ind w:left="720"/>
        <w:rPr>
          <w:rFonts w:ascii="Garamond" w:hAnsi="Garamond"/>
          <w:sz w:val="22"/>
          <w:szCs w:val="22"/>
        </w:rPr>
      </w:pPr>
      <w:r w:rsidRPr="005B6DFB">
        <w:rPr>
          <w:rFonts w:ascii="Garamond" w:hAnsi="Garamond"/>
          <w:sz w:val="22"/>
          <w:szCs w:val="22"/>
        </w:rPr>
        <w:t xml:space="preserve">Yes, the duration and yield of the downstream fishery is a direct result of the dynamics of salmon in the upper watershed. Because the sub-populations that make up the watershed are characterized by variable run timing/abundance/etc. , what is observed in the downstream fishery is the aggregate of these patterns among stocks. For example, several upper watershed stocks with variable and non-overlapping run timing would extend the duration of the available harvest time for downstream fisheries as demonstrated in Nesbitt and Moore, 2016.  </w:t>
      </w:r>
    </w:p>
    <w:p w14:paraId="717480BC" w14:textId="77777777" w:rsidR="00733A9B" w:rsidRPr="005B6DFB" w:rsidRDefault="00733A9B" w:rsidP="00733A9B">
      <w:pPr>
        <w:rPr>
          <w:rFonts w:ascii="Garamond" w:hAnsi="Garamond"/>
          <w:sz w:val="22"/>
          <w:szCs w:val="22"/>
        </w:rPr>
      </w:pPr>
    </w:p>
    <w:p w14:paraId="28512D64" w14:textId="2AA1491F" w:rsidR="00733A9B" w:rsidRPr="005B6DFB" w:rsidRDefault="00974EB1" w:rsidP="00733A9B">
      <w:pPr>
        <w:rPr>
          <w:rFonts w:ascii="Garamond" w:hAnsi="Garamond"/>
          <w:b/>
          <w:bCs/>
          <w:sz w:val="22"/>
          <w:szCs w:val="22"/>
        </w:rPr>
      </w:pPr>
      <w:r w:rsidRPr="005B6DFB">
        <w:rPr>
          <w:rFonts w:ascii="Garamond" w:hAnsi="Garamond"/>
          <w:b/>
          <w:bCs/>
          <w:sz w:val="22"/>
          <w:szCs w:val="22"/>
        </w:rPr>
        <w:t>Line 54. “western” should be “Western”.</w:t>
      </w:r>
    </w:p>
    <w:p w14:paraId="52161DA6" w14:textId="768EC7FE" w:rsidR="00974EB1" w:rsidRPr="005B6DFB" w:rsidRDefault="00974EB1" w:rsidP="00733A9B">
      <w:pPr>
        <w:rPr>
          <w:rFonts w:ascii="Garamond" w:hAnsi="Garamond"/>
          <w:sz w:val="22"/>
          <w:szCs w:val="22"/>
        </w:rPr>
      </w:pPr>
      <w:r w:rsidRPr="005B6DFB">
        <w:rPr>
          <w:rFonts w:ascii="Garamond" w:hAnsi="Garamond"/>
          <w:sz w:val="22"/>
          <w:szCs w:val="22"/>
        </w:rPr>
        <w:tab/>
        <w:t xml:space="preserve">Corrected error. </w:t>
      </w:r>
    </w:p>
    <w:p w14:paraId="09DA6005" w14:textId="77777777" w:rsidR="00974EB1" w:rsidRPr="005B6DFB" w:rsidRDefault="00974EB1" w:rsidP="00733A9B">
      <w:pPr>
        <w:rPr>
          <w:rFonts w:ascii="Garamond" w:hAnsi="Garamond"/>
          <w:sz w:val="22"/>
          <w:szCs w:val="22"/>
        </w:rPr>
      </w:pPr>
    </w:p>
    <w:p w14:paraId="786EF20D" w14:textId="44833B5A" w:rsidR="00974EB1" w:rsidRPr="005B6DFB" w:rsidRDefault="00974EB1" w:rsidP="00733A9B">
      <w:pPr>
        <w:rPr>
          <w:rFonts w:ascii="Garamond" w:hAnsi="Garamond"/>
          <w:b/>
          <w:bCs/>
          <w:sz w:val="22"/>
          <w:szCs w:val="22"/>
        </w:rPr>
      </w:pPr>
      <w:r w:rsidRPr="005B6DFB">
        <w:rPr>
          <w:rFonts w:ascii="Garamond" w:hAnsi="Garamond"/>
          <w:b/>
          <w:bCs/>
          <w:sz w:val="22"/>
          <w:szCs w:val="22"/>
        </w:rPr>
        <w:lastRenderedPageBreak/>
        <w:t xml:space="preserve">Line 77. If available add a reference for the local/tribal knowledge. </w:t>
      </w:r>
      <w:proofErr w:type="spellStart"/>
      <w:r w:rsidRPr="005B6DFB">
        <w:rPr>
          <w:rFonts w:ascii="Garamond" w:hAnsi="Garamond"/>
          <w:b/>
          <w:bCs/>
          <w:sz w:val="22"/>
          <w:szCs w:val="22"/>
        </w:rPr>
        <w:t>Its</w:t>
      </w:r>
      <w:proofErr w:type="spellEnd"/>
      <w:r w:rsidRPr="005B6DFB">
        <w:rPr>
          <w:rFonts w:ascii="Garamond" w:hAnsi="Garamond"/>
          <w:b/>
          <w:bCs/>
          <w:sz w:val="22"/>
          <w:szCs w:val="22"/>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051CFF85" w:rsidR="00974EB1" w:rsidRPr="005B6DFB" w:rsidRDefault="00974EB1" w:rsidP="00974EB1">
      <w:pPr>
        <w:ind w:firstLine="720"/>
        <w:rPr>
          <w:rFonts w:ascii="Garamond" w:hAnsi="Garamond"/>
          <w:sz w:val="22"/>
          <w:szCs w:val="22"/>
        </w:rPr>
      </w:pPr>
      <w:r w:rsidRPr="005B6DFB">
        <w:rPr>
          <w:rFonts w:ascii="Garamond" w:hAnsi="Garamond"/>
          <w:sz w:val="22"/>
          <w:szCs w:val="22"/>
        </w:rPr>
        <w:t xml:space="preserve">** Ask Janessa** </w:t>
      </w:r>
    </w:p>
    <w:p w14:paraId="3B649B0F" w14:textId="77777777" w:rsidR="00974EB1" w:rsidRPr="005B6DFB" w:rsidRDefault="00974EB1" w:rsidP="00974EB1">
      <w:pPr>
        <w:rPr>
          <w:rFonts w:ascii="Garamond" w:hAnsi="Garamond"/>
          <w:sz w:val="22"/>
          <w:szCs w:val="22"/>
        </w:rPr>
      </w:pPr>
    </w:p>
    <w:p w14:paraId="3ADEEEBF" w14:textId="1579DB73" w:rsidR="00974EB1" w:rsidRPr="005B6DFB" w:rsidRDefault="00974EB1" w:rsidP="00974EB1">
      <w:pPr>
        <w:rPr>
          <w:rFonts w:ascii="Garamond" w:hAnsi="Garamond"/>
          <w:b/>
          <w:bCs/>
          <w:sz w:val="22"/>
          <w:szCs w:val="22"/>
        </w:rPr>
      </w:pPr>
      <w:r w:rsidRPr="005B6DFB">
        <w:rPr>
          <w:rFonts w:ascii="Garamond" w:hAnsi="Garamond"/>
          <w:b/>
          <w:bCs/>
          <w:sz w:val="22"/>
          <w:szCs w:val="22"/>
        </w:rPr>
        <w:t>Line 106. This should be a supplement table with year, CPUE, and available and selected samples. How were samples within a year subsampled?</w:t>
      </w:r>
    </w:p>
    <w:p w14:paraId="1B5AD1AC" w14:textId="1A88E402" w:rsidR="00974EB1" w:rsidRPr="005B6DFB" w:rsidRDefault="00974EB1" w:rsidP="00974EB1">
      <w:pPr>
        <w:ind w:left="720"/>
        <w:rPr>
          <w:rFonts w:ascii="Garamond" w:hAnsi="Garamond"/>
          <w:sz w:val="22"/>
          <w:szCs w:val="22"/>
        </w:rPr>
      </w:pPr>
      <w:r w:rsidRPr="005B6DFB">
        <w:rPr>
          <w:rFonts w:ascii="Garamond" w:hAnsi="Garamond"/>
          <w:sz w:val="22"/>
          <w:szCs w:val="22"/>
          <w:highlight w:val="yellow"/>
        </w:rPr>
        <w:t>** WE don’t have available vs sampled, but we do the other information, make a table**</w:t>
      </w:r>
      <w:r w:rsidRPr="005B6DFB">
        <w:rPr>
          <w:rFonts w:ascii="Garamond" w:hAnsi="Garamond"/>
          <w:sz w:val="22"/>
          <w:szCs w:val="22"/>
        </w:rPr>
        <w:t xml:space="preserve"> </w:t>
      </w:r>
    </w:p>
    <w:p w14:paraId="47ACF5B8" w14:textId="77777777" w:rsidR="00974EB1" w:rsidRPr="005B6DFB" w:rsidRDefault="00974EB1" w:rsidP="00974EB1">
      <w:pPr>
        <w:rPr>
          <w:rFonts w:ascii="Garamond" w:hAnsi="Garamond"/>
          <w:sz w:val="22"/>
          <w:szCs w:val="22"/>
        </w:rPr>
      </w:pPr>
    </w:p>
    <w:p w14:paraId="3A21748B" w14:textId="265DF688" w:rsidR="00974EB1" w:rsidRPr="005B6DFB" w:rsidRDefault="00974EB1" w:rsidP="00974EB1">
      <w:pPr>
        <w:rPr>
          <w:rFonts w:ascii="Garamond" w:hAnsi="Garamond"/>
          <w:b/>
          <w:bCs/>
          <w:sz w:val="22"/>
          <w:szCs w:val="22"/>
        </w:rPr>
      </w:pPr>
      <w:r w:rsidRPr="005B6DFB">
        <w:rPr>
          <w:rFonts w:ascii="Garamond" w:hAnsi="Garamond"/>
          <w:b/>
          <w:bCs/>
          <w:sz w:val="22"/>
          <w:szCs w:val="22"/>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0918E139" w14:textId="6E24BAF7" w:rsidR="00974EB1" w:rsidRPr="005B6DFB" w:rsidRDefault="00974EB1" w:rsidP="00974EB1">
      <w:pPr>
        <w:rPr>
          <w:rFonts w:ascii="Garamond" w:hAnsi="Garamond"/>
          <w:sz w:val="22"/>
          <w:szCs w:val="22"/>
        </w:rPr>
      </w:pPr>
      <w:r w:rsidRPr="005B6DFB">
        <w:rPr>
          <w:rFonts w:ascii="Garamond" w:hAnsi="Garamond"/>
          <w:sz w:val="22"/>
          <w:szCs w:val="22"/>
        </w:rPr>
        <w:tab/>
        <w:t xml:space="preserve">** Add supplemental from Diego** </w:t>
      </w:r>
    </w:p>
    <w:p w14:paraId="4335AEC4" w14:textId="77777777" w:rsidR="00974EB1" w:rsidRPr="005B6DFB" w:rsidRDefault="00974EB1" w:rsidP="00974EB1">
      <w:pPr>
        <w:rPr>
          <w:rFonts w:ascii="Garamond" w:hAnsi="Garamond"/>
          <w:sz w:val="22"/>
          <w:szCs w:val="22"/>
        </w:rPr>
      </w:pPr>
    </w:p>
    <w:p w14:paraId="5DA4D83A" w14:textId="77777777" w:rsidR="00DF1FA4" w:rsidRPr="005B6DFB" w:rsidRDefault="00DF1FA4" w:rsidP="00DF1FA4">
      <w:pPr>
        <w:rPr>
          <w:rFonts w:ascii="Garamond" w:hAnsi="Garamond"/>
          <w:sz w:val="22"/>
          <w:szCs w:val="22"/>
        </w:rPr>
      </w:pPr>
      <w:r w:rsidRPr="005B6DFB">
        <w:rPr>
          <w:rFonts w:ascii="Garamond" w:hAnsi="Garamond"/>
          <w:sz w:val="22"/>
          <w:szCs w:val="22"/>
        </w:rPr>
        <w:br/>
        <w:t>Line 115. I don’t think Capo et al is the correct reference here</w:t>
      </w:r>
    </w:p>
    <w:p w14:paraId="136A166D" w14:textId="77777777" w:rsidR="00DF1FA4" w:rsidRPr="005B6DFB" w:rsidRDefault="00DF1FA4" w:rsidP="00DF1FA4">
      <w:pPr>
        <w:rPr>
          <w:rFonts w:ascii="Garamond" w:hAnsi="Garamond"/>
          <w:sz w:val="22"/>
          <w:szCs w:val="22"/>
        </w:rPr>
      </w:pPr>
      <w:r w:rsidRPr="005B6DFB">
        <w:rPr>
          <w:rFonts w:ascii="Garamond" w:hAnsi="Garamond"/>
          <w:sz w:val="22"/>
          <w:szCs w:val="22"/>
        </w:rPr>
        <w:tab/>
        <w:t xml:space="preserve">** Find more appropriate citations or remove Capo ** </w:t>
      </w:r>
    </w:p>
    <w:p w14:paraId="6AF2D687" w14:textId="77777777" w:rsidR="00DF1FA4" w:rsidRPr="005B6DFB" w:rsidRDefault="00DF1FA4" w:rsidP="00DF1FA4">
      <w:pPr>
        <w:rPr>
          <w:rFonts w:ascii="Garamond" w:hAnsi="Garamond"/>
          <w:sz w:val="22"/>
          <w:szCs w:val="22"/>
        </w:rPr>
      </w:pPr>
    </w:p>
    <w:p w14:paraId="6FA1DDA8" w14:textId="77777777" w:rsidR="00DF1FA4" w:rsidRPr="005B6DFB" w:rsidRDefault="00DF1FA4" w:rsidP="00DF1FA4">
      <w:pPr>
        <w:rPr>
          <w:rFonts w:ascii="Garamond" w:hAnsi="Garamond"/>
          <w:b/>
          <w:bCs/>
          <w:sz w:val="22"/>
          <w:szCs w:val="22"/>
        </w:rPr>
      </w:pPr>
      <w:r w:rsidRPr="005B6DFB">
        <w:rPr>
          <w:rFonts w:ascii="Garamond" w:hAnsi="Garamond"/>
          <w:b/>
          <w:bCs/>
          <w:sz w:val="22"/>
          <w:szCs w:val="22"/>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7015CFAF" w14:textId="77777777" w:rsidR="00DF1FA4" w:rsidRPr="005B6DFB" w:rsidRDefault="00DF1FA4" w:rsidP="00DF1FA4">
      <w:pPr>
        <w:ind w:firstLine="720"/>
        <w:rPr>
          <w:rFonts w:ascii="Garamond" w:hAnsi="Garamond"/>
          <w:sz w:val="22"/>
          <w:szCs w:val="22"/>
        </w:rPr>
      </w:pPr>
      <w:r w:rsidRPr="005B6DFB">
        <w:rPr>
          <w:rFonts w:ascii="Garamond" w:hAnsi="Garamond"/>
          <w:sz w:val="22"/>
          <w:szCs w:val="22"/>
        </w:rPr>
        <w:t xml:space="preserve">** Add range of </w:t>
      </w:r>
      <w:proofErr w:type="spellStart"/>
      <w:r w:rsidRPr="005B6DFB">
        <w:rPr>
          <w:rFonts w:ascii="Garamond" w:hAnsi="Garamond"/>
          <w:sz w:val="22"/>
          <w:szCs w:val="22"/>
        </w:rPr>
        <w:t>Chittaro</w:t>
      </w:r>
      <w:proofErr w:type="spellEnd"/>
      <w:r w:rsidRPr="005B6DFB">
        <w:rPr>
          <w:rFonts w:ascii="Garamond" w:hAnsi="Garamond"/>
          <w:sz w:val="22"/>
          <w:szCs w:val="22"/>
        </w:rPr>
        <w:t xml:space="preserve"> et al * </w:t>
      </w:r>
    </w:p>
    <w:p w14:paraId="64E8B60D" w14:textId="77777777" w:rsidR="00DF1FA4" w:rsidRPr="005B6DFB" w:rsidRDefault="00DF1FA4" w:rsidP="00DF1FA4">
      <w:pPr>
        <w:ind w:left="720"/>
        <w:rPr>
          <w:rFonts w:ascii="Garamond" w:hAnsi="Garamond"/>
          <w:sz w:val="22"/>
          <w:szCs w:val="22"/>
        </w:rPr>
      </w:pPr>
      <w:r w:rsidRPr="005B6DFB">
        <w:rPr>
          <w:rFonts w:ascii="Garamond" w:hAnsi="Garamond"/>
          <w:sz w:val="22"/>
          <w:szCs w:val="22"/>
        </w:rPr>
        <w:t xml:space="preserve">Added a brief description of how Sr88 was used as a proxy for Sr concentration to indicate full depletion of the maternal signature. </w:t>
      </w:r>
    </w:p>
    <w:p w14:paraId="0C4387A5" w14:textId="77777777" w:rsidR="00DF1FA4" w:rsidRPr="005B6DFB" w:rsidRDefault="00DF1FA4" w:rsidP="00DF1FA4">
      <w:pPr>
        <w:rPr>
          <w:rFonts w:ascii="Garamond" w:hAnsi="Garamond"/>
          <w:sz w:val="22"/>
          <w:szCs w:val="22"/>
        </w:rPr>
      </w:pPr>
    </w:p>
    <w:p w14:paraId="30F8E2A6" w14:textId="008061D5" w:rsidR="00DF1FA4" w:rsidRPr="005B6DFB" w:rsidRDefault="00DF1FA4" w:rsidP="00DF1FA4">
      <w:pPr>
        <w:rPr>
          <w:rFonts w:ascii="Garamond" w:hAnsi="Garamond"/>
          <w:sz w:val="22"/>
          <w:szCs w:val="22"/>
        </w:rPr>
      </w:pPr>
      <w:r w:rsidRPr="005B6DFB">
        <w:rPr>
          <w:rFonts w:ascii="Garamond" w:hAnsi="Garamond"/>
          <w:sz w:val="22"/>
          <w:szCs w:val="22"/>
        </w:rPr>
        <w:br/>
      </w:r>
      <w:r w:rsidR="001A7F85" w:rsidRPr="005B6DFB">
        <w:rPr>
          <w:rFonts w:ascii="Garamond" w:hAnsi="Garamond"/>
          <w:sz w:val="22"/>
          <w:szCs w:val="22"/>
        </w:rPr>
        <w:t>Line 129. Is that histogram shown somewhere?</w:t>
      </w:r>
    </w:p>
    <w:p w14:paraId="66E0947E" w14:textId="11A4E972" w:rsidR="001A7F85" w:rsidRPr="005B6DFB" w:rsidRDefault="001A7F85" w:rsidP="00DF1FA4">
      <w:pPr>
        <w:rPr>
          <w:rFonts w:ascii="Garamond" w:hAnsi="Garamond"/>
          <w:sz w:val="22"/>
          <w:szCs w:val="22"/>
        </w:rPr>
      </w:pPr>
      <w:r w:rsidRPr="005B6DFB">
        <w:rPr>
          <w:rFonts w:ascii="Garamond" w:hAnsi="Garamond"/>
          <w:sz w:val="22"/>
          <w:szCs w:val="22"/>
        </w:rPr>
        <w:tab/>
        <w:t xml:space="preserve">Add histogram (better yet, boxplot) </w:t>
      </w:r>
    </w:p>
    <w:p w14:paraId="519B1C39" w14:textId="77777777" w:rsidR="001A7F85" w:rsidRPr="005B6DFB" w:rsidRDefault="001A7F85" w:rsidP="00DF1FA4">
      <w:pPr>
        <w:rPr>
          <w:rFonts w:ascii="Garamond" w:hAnsi="Garamond"/>
          <w:sz w:val="22"/>
          <w:szCs w:val="22"/>
        </w:rPr>
      </w:pPr>
    </w:p>
    <w:p w14:paraId="1C86F641" w14:textId="164854F6" w:rsidR="001A7F85" w:rsidRPr="005B6DFB" w:rsidRDefault="001A7F85" w:rsidP="00DF1FA4">
      <w:pPr>
        <w:rPr>
          <w:rFonts w:ascii="Garamond" w:hAnsi="Garamond"/>
          <w:b/>
          <w:bCs/>
          <w:sz w:val="22"/>
          <w:szCs w:val="22"/>
        </w:rPr>
      </w:pPr>
      <w:r w:rsidRPr="005B6DFB">
        <w:rPr>
          <w:rFonts w:ascii="Garamond" w:hAnsi="Garamond"/>
          <w:b/>
          <w:bCs/>
          <w:sz w:val="22"/>
          <w:szCs w:val="22"/>
        </w:rPr>
        <w:t>Line 163-169. So is it quartiles or is it predefined ranges? I assume start and end of run vary among years?</w:t>
      </w:r>
    </w:p>
    <w:p w14:paraId="19E0BB40" w14:textId="54BB6DE6" w:rsidR="001A7F85" w:rsidRPr="005B6DFB" w:rsidRDefault="001A7F85" w:rsidP="001A7F85">
      <w:pPr>
        <w:ind w:left="720"/>
        <w:rPr>
          <w:rFonts w:ascii="Garamond" w:hAnsi="Garamond"/>
          <w:sz w:val="22"/>
          <w:szCs w:val="22"/>
        </w:rPr>
      </w:pPr>
      <w:r w:rsidRPr="005B6DFB">
        <w:rPr>
          <w:rFonts w:ascii="Garamond" w:hAnsi="Garamond"/>
          <w:sz w:val="22"/>
          <w:szCs w:val="22"/>
        </w:rPr>
        <w:lastRenderedPageBreak/>
        <w:t xml:space="preserve">These are predefined ranges that are meant to represent a close representation of even quartiles through the run among all years. The start and end date do vary, so they are not even. We mention this later in the manuscript but we added brief language in this section to clarify this point. </w:t>
      </w:r>
    </w:p>
    <w:p w14:paraId="2910F50C" w14:textId="4BF6C39E" w:rsidR="001A7F85" w:rsidRPr="005B6DFB" w:rsidRDefault="001A7F85" w:rsidP="001A7F85">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These dates were chosen to roughly split the full run evenly into equal </w:t>
      </w:r>
      <w:proofErr w:type="spellStart"/>
      <w:r w:rsidRPr="005B6DFB">
        <w:rPr>
          <w:rFonts w:ascii="Garamond" w:hAnsi="Garamond" w:cs="Times New Roman"/>
          <w:sz w:val="22"/>
          <w:szCs w:val="22"/>
        </w:rPr>
        <w:t>quartileswhile</w:t>
      </w:r>
      <w:proofErr w:type="spellEnd"/>
      <w:r w:rsidRPr="005B6DFB">
        <w:rPr>
          <w:rFonts w:ascii="Garamond" w:hAnsi="Garamond" w:cs="Times New Roman"/>
          <w:sz w:val="22"/>
          <w:szCs w:val="22"/>
        </w:rPr>
        <w:t xml:space="preserve"> allowing for direct comparison among years. However, because the start and end date of the return migration varied among years, the duration of Q1 and Q4 varied.”</w:t>
      </w:r>
    </w:p>
    <w:p w14:paraId="76BEA76F" w14:textId="77777777" w:rsidR="00974EB1" w:rsidRPr="005B6DFB" w:rsidRDefault="00974EB1" w:rsidP="00974EB1">
      <w:pPr>
        <w:rPr>
          <w:rFonts w:ascii="Garamond" w:hAnsi="Garamond"/>
          <w:sz w:val="22"/>
          <w:szCs w:val="22"/>
        </w:rPr>
      </w:pPr>
    </w:p>
    <w:p w14:paraId="139E060F" w14:textId="305B1C35" w:rsidR="00EB0B96" w:rsidRPr="005B6DFB" w:rsidRDefault="00EB0B96" w:rsidP="00974EB1">
      <w:pPr>
        <w:rPr>
          <w:rFonts w:ascii="Garamond" w:hAnsi="Garamond"/>
          <w:b/>
          <w:bCs/>
          <w:sz w:val="22"/>
          <w:szCs w:val="22"/>
        </w:rPr>
      </w:pPr>
      <w:r w:rsidRPr="005B6DFB">
        <w:rPr>
          <w:rFonts w:ascii="Garamond" w:hAnsi="Garamond"/>
          <w:b/>
          <w:bCs/>
          <w:sz w:val="22"/>
          <w:szCs w:val="22"/>
        </w:rPr>
        <w:t>Line 170. What do you mean by “identified”?</w:t>
      </w:r>
    </w:p>
    <w:p w14:paraId="5C3F04CD" w14:textId="60CF366F" w:rsidR="00FB7854" w:rsidRPr="005B6DFB" w:rsidRDefault="00FB7854" w:rsidP="00FB7854">
      <w:pPr>
        <w:ind w:left="720"/>
        <w:rPr>
          <w:rFonts w:ascii="Garamond" w:hAnsi="Garamond"/>
          <w:sz w:val="22"/>
          <w:szCs w:val="22"/>
        </w:rPr>
      </w:pPr>
      <w:r w:rsidRPr="005B6DFB">
        <w:rPr>
          <w:rFonts w:ascii="Garamond" w:hAnsi="Garamond"/>
          <w:sz w:val="22"/>
          <w:szCs w:val="22"/>
        </w:rPr>
        <w:t xml:space="preserve">These tributaries were identified as relevant to management based on a combination of expert knowledge and conversation with regional collaborators. I added to this sentence to clarify this point </w:t>
      </w:r>
    </w:p>
    <w:p w14:paraId="3FEF0C9A" w14:textId="2F235684" w:rsidR="00FB7854" w:rsidRPr="005B6DFB" w:rsidRDefault="00FB7854" w:rsidP="00FB7854">
      <w:pPr>
        <w:ind w:left="720"/>
        <w:rPr>
          <w:rFonts w:ascii="Garamond" w:hAnsi="Garamond"/>
          <w:sz w:val="22"/>
          <w:szCs w:val="22"/>
        </w:rPr>
      </w:pPr>
      <w:r w:rsidRPr="005B6DFB">
        <w:rPr>
          <w:rFonts w:ascii="Garamond" w:hAnsi="Garamond"/>
          <w:sz w:val="22"/>
          <w:szCs w:val="22"/>
        </w:rPr>
        <w:t xml:space="preserve">“ </w:t>
      </w:r>
      <w:r w:rsidRPr="005B6DFB">
        <w:rPr>
          <w:rFonts w:ascii="Garamond" w:hAnsi="Garamond" w:cs="Times New Roman"/>
          <w:sz w:val="22"/>
          <w:szCs w:val="22"/>
        </w:rPr>
        <w:t xml:space="preserve">Several major tributaries were identified as focal management areas or important Chinook salmon-producing systems within the Kuskokwim River basin based on expert knowledge and consultation with regional collaborators.” </w:t>
      </w:r>
      <w:r w:rsidRPr="005B6DFB">
        <w:rPr>
          <w:rFonts w:ascii="Garamond" w:hAnsi="Garamond"/>
          <w:sz w:val="22"/>
          <w:szCs w:val="22"/>
        </w:rPr>
        <w:t xml:space="preserve"> </w:t>
      </w:r>
    </w:p>
    <w:p w14:paraId="530C7BE9" w14:textId="77777777" w:rsidR="000C6C3C" w:rsidRPr="005B6DFB" w:rsidRDefault="000C6C3C" w:rsidP="000C6C3C">
      <w:pPr>
        <w:rPr>
          <w:rFonts w:ascii="Garamond" w:hAnsi="Garamond"/>
          <w:sz w:val="22"/>
          <w:szCs w:val="22"/>
        </w:rPr>
      </w:pPr>
    </w:p>
    <w:p w14:paraId="666DF57D" w14:textId="77777777" w:rsidR="00073931" w:rsidRPr="005B6DFB" w:rsidRDefault="000C6C3C" w:rsidP="000C6C3C">
      <w:pPr>
        <w:rPr>
          <w:rFonts w:ascii="Garamond" w:hAnsi="Garamond"/>
          <w:sz w:val="22"/>
          <w:szCs w:val="22"/>
        </w:rPr>
      </w:pPr>
      <w:r w:rsidRPr="005B6DFB">
        <w:rPr>
          <w:rFonts w:ascii="Garamond" w:hAnsi="Garamond"/>
          <w:sz w:val="22"/>
          <w:szCs w:val="22"/>
        </w:rPr>
        <w:t>Line 178. So you tested 2-6 and then chose 6. Did you check if higher numbers of k would have produced better silhouette results?</w:t>
      </w:r>
    </w:p>
    <w:p w14:paraId="0CF4CF21" w14:textId="51F6D0EA" w:rsidR="00073931" w:rsidRPr="005B6DFB" w:rsidRDefault="00073931" w:rsidP="000C6C3C">
      <w:pPr>
        <w:rPr>
          <w:rFonts w:ascii="Garamond" w:hAnsi="Garamond"/>
          <w:sz w:val="22"/>
          <w:szCs w:val="22"/>
        </w:rPr>
      </w:pPr>
      <w:r w:rsidRPr="005B6DFB">
        <w:rPr>
          <w:rFonts w:ascii="Garamond" w:hAnsi="Garamond" w:cs="Times New Roman"/>
          <w:sz w:val="22"/>
          <w:szCs w:val="22"/>
        </w:rPr>
        <w:t>We briefly assessed a more refined clustering (higher k), but saw a notable increase in the amount of overlap among groups in the histogram/boxplot distribution of isotope values per cluster as well as a decrease in the silhouette score &gt;6.</w:t>
      </w:r>
    </w:p>
    <w:p w14:paraId="6A56D028" w14:textId="77777777" w:rsidR="00073931" w:rsidRPr="005B6DFB" w:rsidRDefault="00073931" w:rsidP="000C6C3C">
      <w:pPr>
        <w:rPr>
          <w:rFonts w:ascii="Garamond" w:hAnsi="Garamond"/>
          <w:sz w:val="22"/>
          <w:szCs w:val="22"/>
        </w:rPr>
      </w:pPr>
    </w:p>
    <w:p w14:paraId="4349EC6D" w14:textId="26BAE102" w:rsidR="000C6C3C" w:rsidRPr="005B6DFB" w:rsidRDefault="000C6C3C" w:rsidP="000C6C3C">
      <w:pPr>
        <w:rPr>
          <w:rFonts w:ascii="Garamond" w:hAnsi="Garamond"/>
          <w:b/>
          <w:bCs/>
          <w:sz w:val="22"/>
          <w:szCs w:val="22"/>
        </w:rPr>
      </w:pPr>
      <w:r w:rsidRPr="005B6DFB">
        <w:rPr>
          <w:rFonts w:ascii="Garamond" w:hAnsi="Garamond"/>
          <w:sz w:val="22"/>
          <w:szCs w:val="22"/>
        </w:rPr>
        <w:t xml:space="preserve"> </w:t>
      </w:r>
      <w:r w:rsidRPr="005B6DFB">
        <w:rPr>
          <w:rFonts w:ascii="Garamond" w:hAnsi="Garamond"/>
          <w:b/>
          <w:bCs/>
          <w:sz w:val="22"/>
          <w:szCs w:val="22"/>
        </w:rPr>
        <w:t xml:space="preserve">The clustering approach seems a bit at odds with the Bayesian assignment carried out before (and a bit awkward since you then have to manually move one of the tributaries at which point why not just make groups based on your expert knowledge). How closely do these clusters align with management units or other groupings people commonly </w:t>
      </w:r>
      <w:proofErr w:type="spellStart"/>
      <w:r w:rsidRPr="005B6DFB">
        <w:rPr>
          <w:rFonts w:ascii="Garamond" w:hAnsi="Garamond"/>
          <w:b/>
          <w:bCs/>
          <w:sz w:val="22"/>
          <w:szCs w:val="22"/>
        </w:rPr>
        <w:t>use</w:t>
      </w:r>
      <w:proofErr w:type="spellEnd"/>
      <w:r w:rsidRPr="005B6DFB">
        <w:rPr>
          <w:rFonts w:ascii="Garamond" w:hAnsi="Garamond"/>
          <w:b/>
          <w:bCs/>
          <w:sz w:val="22"/>
          <w:szCs w:val="22"/>
        </w:rPr>
        <w:t xml:space="preserve"> for this watershed? If k means clustering is really the best approach explain that a bit more here in the methods (why not just use the tributary level for your analysis or if grouping is needed maybe tree-based approaches can separate out groups more consistently).</w:t>
      </w:r>
    </w:p>
    <w:p w14:paraId="3140AB37" w14:textId="30BE77AD" w:rsidR="000C6C3C" w:rsidRPr="005B6DFB" w:rsidRDefault="000C6C3C" w:rsidP="000C6C3C">
      <w:pPr>
        <w:rPr>
          <w:rFonts w:ascii="Garamond" w:hAnsi="Garamond" w:cs="Times New Roman"/>
          <w:sz w:val="22"/>
          <w:szCs w:val="22"/>
        </w:rPr>
      </w:pPr>
    </w:p>
    <w:p w14:paraId="106E37B9" w14:textId="2AE313A6" w:rsidR="00073931" w:rsidRPr="005B6DFB" w:rsidRDefault="00235B19" w:rsidP="00235B19">
      <w:pPr>
        <w:ind w:left="720"/>
        <w:rPr>
          <w:rFonts w:ascii="Garamond" w:hAnsi="Garamond" w:cs="Times New Roman"/>
          <w:sz w:val="22"/>
          <w:szCs w:val="22"/>
        </w:rPr>
      </w:pPr>
      <w:r w:rsidRPr="005B6DFB">
        <w:rPr>
          <w:rFonts w:ascii="Garamond" w:hAnsi="Garamond" w:cs="Times New Roman"/>
          <w:sz w:val="22"/>
          <w:szCs w:val="22"/>
        </w:rPr>
        <w:t xml:space="preserve">The purpose of the clustering is to identify which of the tributaries and regions previously flagged as relevant in the basin can be reliably distinguished using isotope values. Relying on tributary-level assignments alone would instead force comparisons among tributaries that cannot actually be told apart. Because we retained only the highest posterior values, we believe this method leveraged the probabilistic Bayesian assignment for the initial assignment  while restricting results comparisons to groups that can actually be </w:t>
      </w:r>
      <w:proofErr w:type="spellStart"/>
      <w:r w:rsidRPr="005B6DFB">
        <w:rPr>
          <w:rFonts w:ascii="Garamond" w:hAnsi="Garamond" w:cs="Times New Roman"/>
          <w:sz w:val="22"/>
          <w:szCs w:val="22"/>
        </w:rPr>
        <w:t>distinguished.Clustering</w:t>
      </w:r>
      <w:proofErr w:type="spellEnd"/>
      <w:r w:rsidRPr="005B6DFB">
        <w:rPr>
          <w:rFonts w:ascii="Garamond" w:hAnsi="Garamond" w:cs="Times New Roman"/>
          <w:sz w:val="22"/>
          <w:szCs w:val="22"/>
        </w:rPr>
        <w:t xml:space="preserve"> these pre-defined tributaries, rather than applying unsupervised clustering across all tributaries in the basin, comes at the cost of some overlap among groups, but it allows the results to be interpreted within management-relevant spatial extents. We believe this approach is appropriate for identifying meaningful groups, though we did not attempt a tree-based method.</w:t>
      </w:r>
    </w:p>
    <w:p w14:paraId="6B3BFE04" w14:textId="77777777" w:rsidR="004A310F" w:rsidRPr="005B6DFB" w:rsidRDefault="004A310F" w:rsidP="000C6C3C">
      <w:pPr>
        <w:rPr>
          <w:rFonts w:ascii="Garamond" w:hAnsi="Garamond" w:cs="Times New Roman"/>
          <w:sz w:val="22"/>
          <w:szCs w:val="22"/>
        </w:rPr>
      </w:pPr>
    </w:p>
    <w:p w14:paraId="121F96C2" w14:textId="60E73E55" w:rsidR="00891F16" w:rsidRPr="005B6DFB" w:rsidRDefault="00891F16" w:rsidP="000C6C3C">
      <w:pPr>
        <w:rPr>
          <w:rFonts w:ascii="Garamond" w:hAnsi="Garamond" w:cs="Times New Roman"/>
          <w:b/>
          <w:bCs/>
          <w:sz w:val="22"/>
          <w:szCs w:val="22"/>
        </w:rPr>
      </w:pPr>
      <w:r w:rsidRPr="005B6DFB">
        <w:rPr>
          <w:rFonts w:ascii="Garamond" w:hAnsi="Garamond"/>
          <w:b/>
          <w:bCs/>
          <w:sz w:val="22"/>
          <w:szCs w:val="22"/>
        </w:rPr>
        <w:t>Line 206-209. Why are the simulated time frames constrained to a shift of only a few days.</w:t>
      </w:r>
      <w:r w:rsidRPr="005B6DFB">
        <w:rPr>
          <w:rFonts w:ascii="Garamond" w:hAnsi="Garamond"/>
          <w:b/>
          <w:bCs/>
          <w:sz w:val="22"/>
          <w:szCs w:val="22"/>
        </w:rPr>
        <w:br/>
      </w:r>
    </w:p>
    <w:p w14:paraId="22E3D099" w14:textId="4BE48893" w:rsidR="00891F16" w:rsidRPr="005B6DFB" w:rsidRDefault="00891F16" w:rsidP="00891F16">
      <w:pPr>
        <w:ind w:left="720"/>
        <w:rPr>
          <w:rFonts w:ascii="Garamond" w:hAnsi="Garamond" w:cs="Times New Roman"/>
          <w:sz w:val="22"/>
          <w:szCs w:val="22"/>
        </w:rPr>
      </w:pPr>
      <w:r w:rsidRPr="005B6DFB">
        <w:rPr>
          <w:rFonts w:ascii="Garamond" w:hAnsi="Garamond" w:cs="Times New Roman"/>
          <w:sz w:val="22"/>
          <w:szCs w:val="22"/>
        </w:rPr>
        <w:t xml:space="preserve">Given the short total return migration timing, a shift in the closure end date by only a few days represents a significant change to the closure duration, and a six-day closure extension would be extremely significant.  We chose these values to represent relatively realistic scenarios to simulate. </w:t>
      </w:r>
    </w:p>
    <w:p w14:paraId="62055CC7" w14:textId="647599E0" w:rsidR="000C6C3C" w:rsidRPr="005B6DFB" w:rsidRDefault="004A310F" w:rsidP="000C6C3C">
      <w:pPr>
        <w:rPr>
          <w:rFonts w:ascii="Garamond" w:hAnsi="Garamond" w:cs="Times New Roman"/>
          <w:sz w:val="22"/>
          <w:szCs w:val="22"/>
        </w:rPr>
      </w:pPr>
      <w:r w:rsidRPr="005B6DFB">
        <w:rPr>
          <w:rFonts w:ascii="Garamond" w:hAnsi="Garamond" w:cs="Times New Roman"/>
          <w:sz w:val="22"/>
          <w:szCs w:val="22"/>
        </w:rPr>
        <w:t xml:space="preserve"> </w:t>
      </w:r>
    </w:p>
    <w:p w14:paraId="466872A6" w14:textId="30031289" w:rsidR="00CF167E" w:rsidRPr="005B6DFB" w:rsidRDefault="00CF167E" w:rsidP="000C6C3C">
      <w:pPr>
        <w:rPr>
          <w:rFonts w:ascii="Garamond" w:hAnsi="Garamond"/>
          <w:b/>
          <w:bCs/>
          <w:sz w:val="22"/>
          <w:szCs w:val="22"/>
        </w:rPr>
      </w:pPr>
      <w:r w:rsidRPr="005B6DFB">
        <w:rPr>
          <w:rFonts w:ascii="Garamond" w:hAnsi="Garamond"/>
          <w:b/>
          <w:bCs/>
          <w:sz w:val="22"/>
          <w:szCs w:val="22"/>
        </w:rPr>
        <w:t>Line 216-218. This shift in seasonal contribution from upstream to downstream is very hard to see given how Fig. 3 is organized. Have you tried what this looks like when facetted by group and with Quantile as x axis and % contribution as y?</w:t>
      </w:r>
    </w:p>
    <w:p w14:paraId="425B8156" w14:textId="6DC54D20" w:rsidR="00CF167E" w:rsidRPr="005B6DFB" w:rsidRDefault="00CF167E" w:rsidP="000C6C3C">
      <w:pPr>
        <w:rPr>
          <w:rFonts w:ascii="Garamond" w:hAnsi="Garamond"/>
          <w:sz w:val="22"/>
          <w:szCs w:val="22"/>
        </w:rPr>
      </w:pPr>
      <w:r w:rsidRPr="005B6DFB">
        <w:rPr>
          <w:rFonts w:ascii="Garamond" w:hAnsi="Garamond"/>
          <w:sz w:val="22"/>
          <w:szCs w:val="22"/>
          <w:highlight w:val="yellow"/>
        </w:rPr>
        <w:t>** Re do the figure this way **</w:t>
      </w:r>
      <w:r w:rsidRPr="005B6DFB">
        <w:rPr>
          <w:rFonts w:ascii="Garamond" w:hAnsi="Garamond"/>
          <w:sz w:val="22"/>
          <w:szCs w:val="22"/>
        </w:rPr>
        <w:t xml:space="preserve"> </w:t>
      </w:r>
    </w:p>
    <w:p w14:paraId="3325A843" w14:textId="77777777" w:rsidR="00345F9C" w:rsidRPr="005B6DFB" w:rsidRDefault="00345F9C" w:rsidP="000C6C3C">
      <w:pPr>
        <w:rPr>
          <w:rFonts w:ascii="Garamond" w:hAnsi="Garamond"/>
          <w:sz w:val="22"/>
          <w:szCs w:val="22"/>
        </w:rPr>
      </w:pPr>
    </w:p>
    <w:p w14:paraId="23712DEE" w14:textId="47FBD848" w:rsidR="00345F9C" w:rsidRPr="005B6DFB" w:rsidRDefault="00345F9C" w:rsidP="000C6C3C">
      <w:pPr>
        <w:rPr>
          <w:rFonts w:ascii="Garamond" w:hAnsi="Garamond"/>
          <w:b/>
          <w:bCs/>
          <w:sz w:val="22"/>
          <w:szCs w:val="22"/>
        </w:rPr>
      </w:pPr>
      <w:r w:rsidRPr="005B6DFB">
        <w:rPr>
          <w:rFonts w:ascii="Garamond" w:hAnsi="Garamond"/>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59F4C5C3" w14:textId="4B8ACEEF" w:rsidR="00345F9C" w:rsidRPr="005B6DFB" w:rsidRDefault="00345F9C" w:rsidP="000C6C3C">
      <w:pPr>
        <w:rPr>
          <w:rFonts w:ascii="Garamond" w:hAnsi="Garamond"/>
          <w:sz w:val="22"/>
          <w:szCs w:val="22"/>
        </w:rPr>
      </w:pPr>
      <w:r w:rsidRPr="005B6DFB">
        <w:rPr>
          <w:rFonts w:ascii="Garamond" w:hAnsi="Garamond"/>
          <w:sz w:val="22"/>
          <w:szCs w:val="22"/>
        </w:rPr>
        <w:t xml:space="preserve"> </w:t>
      </w:r>
      <w:r w:rsidRPr="005B6DFB">
        <w:rPr>
          <w:rFonts w:ascii="Garamond" w:hAnsi="Garamond"/>
          <w:sz w:val="22"/>
          <w:szCs w:val="22"/>
          <w:highlight w:val="yellow"/>
        </w:rPr>
        <w:t>** Add a mention of other cases**</w:t>
      </w:r>
      <w:r w:rsidRPr="005B6DFB">
        <w:rPr>
          <w:rFonts w:ascii="Garamond" w:hAnsi="Garamond"/>
          <w:sz w:val="22"/>
          <w:szCs w:val="22"/>
        </w:rPr>
        <w:t xml:space="preserve"> </w:t>
      </w:r>
    </w:p>
    <w:p w14:paraId="063793A7" w14:textId="77777777" w:rsidR="00345F9C" w:rsidRPr="005B6DFB" w:rsidRDefault="00345F9C" w:rsidP="000C6C3C">
      <w:pPr>
        <w:rPr>
          <w:rFonts w:ascii="Garamond" w:hAnsi="Garamond"/>
          <w:sz w:val="22"/>
          <w:szCs w:val="22"/>
        </w:rPr>
      </w:pPr>
    </w:p>
    <w:p w14:paraId="2766FBCC" w14:textId="34D68359" w:rsidR="00345F9C" w:rsidRPr="005B6DFB" w:rsidRDefault="00345F9C" w:rsidP="000C6C3C">
      <w:pPr>
        <w:rPr>
          <w:rFonts w:ascii="Garamond" w:hAnsi="Garamond"/>
          <w:sz w:val="22"/>
          <w:szCs w:val="22"/>
        </w:rPr>
      </w:pPr>
      <w:r w:rsidRPr="005B6DFB">
        <w:rPr>
          <w:rFonts w:ascii="Garamond" w:hAnsi="Garamond"/>
          <w:sz w:val="22"/>
          <w:szCs w:val="22"/>
        </w:rPr>
        <w:t>The tradeoff between protection and harvest is well illustrated but could be expanded further by exploring the effects of protecting species across multiple years. So by increasing protection in yr1 how much more harvest could be expected in the next return year (3 years later?). Over what time frame do these local harvest fisheries operate (could they compensate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0884D627" w14:textId="7BB46F6F" w:rsidR="00345F9C" w:rsidRPr="005B6DFB" w:rsidRDefault="00345F9C" w:rsidP="00345F9C">
      <w:pPr>
        <w:rPr>
          <w:rFonts w:ascii="Garamond" w:hAnsi="Garamond"/>
          <w:sz w:val="22"/>
          <w:szCs w:val="22"/>
        </w:rPr>
      </w:pPr>
      <w:r w:rsidRPr="005B6DFB">
        <w:rPr>
          <w:rFonts w:ascii="Garamond" w:hAnsi="Garamond"/>
          <w:sz w:val="22"/>
          <w:szCs w:val="22"/>
          <w:highlight w:val="yellow"/>
        </w:rPr>
        <w:t>** This assessment is likely much more complicated and not quantifiable using these data.**</w:t>
      </w:r>
    </w:p>
    <w:p w14:paraId="1C88472A" w14:textId="77777777" w:rsidR="00345F9C" w:rsidRPr="005B6DFB" w:rsidRDefault="00345F9C" w:rsidP="00345F9C">
      <w:pPr>
        <w:rPr>
          <w:rFonts w:ascii="Garamond" w:hAnsi="Garamond"/>
          <w:sz w:val="22"/>
          <w:szCs w:val="22"/>
        </w:rPr>
      </w:pPr>
    </w:p>
    <w:p w14:paraId="3F00050A" w14:textId="7ECE1F3B" w:rsidR="00345F9C" w:rsidRPr="005B6DFB" w:rsidRDefault="00345F9C" w:rsidP="00345F9C">
      <w:pPr>
        <w:rPr>
          <w:rFonts w:ascii="Garamond" w:hAnsi="Garamond"/>
          <w:b/>
          <w:bCs/>
          <w:sz w:val="22"/>
          <w:szCs w:val="22"/>
        </w:rPr>
      </w:pPr>
      <w:r w:rsidRPr="005B6DFB">
        <w:rPr>
          <w:rFonts w:ascii="Garamond" w:hAnsi="Garamond"/>
          <w:b/>
          <w:bCs/>
          <w:sz w:val="22"/>
          <w:szCs w:val="22"/>
        </w:rPr>
        <w:t>Line 301-303. Yes I was wondering about this the entire time reading the manuscript. Given the run timing changes each year why is a fixed calendar cut-off used? I am assuming because it can actually be implemented and provides some type of certainty for the harvest fisheries. Any other reasons why a fixed-cutoff would be beneficial? Or in other words given how difficult a dynamic cut-off window might be what type of increased protection would warrant going down that road?</w:t>
      </w:r>
    </w:p>
    <w:p w14:paraId="015369E1" w14:textId="40853E5F" w:rsidR="00EB3BCD" w:rsidRPr="005B6DFB" w:rsidRDefault="00EB3BCD" w:rsidP="00345F9C">
      <w:pPr>
        <w:rPr>
          <w:rFonts w:ascii="Garamond" w:hAnsi="Garamond"/>
          <w:sz w:val="22"/>
          <w:szCs w:val="22"/>
        </w:rPr>
      </w:pPr>
      <w:r w:rsidRPr="005B6DFB">
        <w:rPr>
          <w:rFonts w:ascii="Garamond" w:hAnsi="Garamond"/>
          <w:sz w:val="22"/>
          <w:szCs w:val="22"/>
        </w:rPr>
        <w:t xml:space="preserve">** Add description of why a fixed-date management is used** </w:t>
      </w:r>
    </w:p>
    <w:p w14:paraId="43A16E78" w14:textId="77777777" w:rsidR="00EB3BCD" w:rsidRPr="005B6DFB" w:rsidRDefault="00EB3BCD" w:rsidP="00345F9C">
      <w:pPr>
        <w:rPr>
          <w:rFonts w:ascii="Garamond" w:hAnsi="Garamond"/>
          <w:b/>
          <w:bCs/>
          <w:sz w:val="22"/>
          <w:szCs w:val="22"/>
        </w:rPr>
      </w:pPr>
    </w:p>
    <w:p w14:paraId="637F6C03" w14:textId="4CE87B3F" w:rsidR="00EB3BCD" w:rsidRPr="005B6DFB" w:rsidRDefault="00EB3BCD" w:rsidP="00345F9C">
      <w:pPr>
        <w:rPr>
          <w:rFonts w:ascii="Garamond" w:hAnsi="Garamond"/>
          <w:b/>
          <w:bCs/>
          <w:sz w:val="22"/>
          <w:szCs w:val="22"/>
        </w:rPr>
      </w:pPr>
      <w:r w:rsidRPr="005B6DFB">
        <w:rPr>
          <w:rFonts w:ascii="Garamond" w:hAnsi="Garamond"/>
          <w:b/>
          <w:bCs/>
          <w:sz w:val="22"/>
          <w:szCs w:val="22"/>
        </w:rPr>
        <w:t>Figure 3. Add more descriptive headings and text directly to the figure (so A-D are Quantiles and you can even give the date ranges). Group1-Group6 goes upstream to downstream. Add sample n and add maybe light grey datapoints.</w:t>
      </w:r>
    </w:p>
    <w:p w14:paraId="042F1891" w14:textId="77777777" w:rsidR="00EB3BCD" w:rsidRPr="005B6DFB" w:rsidRDefault="00EB3BCD" w:rsidP="00345F9C">
      <w:pPr>
        <w:rPr>
          <w:rFonts w:ascii="Garamond" w:hAnsi="Garamond"/>
          <w:sz w:val="22"/>
          <w:szCs w:val="22"/>
        </w:rPr>
      </w:pPr>
    </w:p>
    <w:p w14:paraId="0713896F" w14:textId="0F2B5A45" w:rsidR="00EB3BCD" w:rsidRDefault="00EB3BCD" w:rsidP="00345F9C">
      <w:pPr>
        <w:rPr>
          <w:rFonts w:ascii="Garamond" w:hAnsi="Garamond"/>
          <w:sz w:val="22"/>
          <w:szCs w:val="22"/>
        </w:rPr>
      </w:pPr>
      <w:r w:rsidRPr="005B6DFB">
        <w:rPr>
          <w:rFonts w:ascii="Garamond" w:hAnsi="Garamond"/>
          <w:sz w:val="22"/>
          <w:szCs w:val="22"/>
        </w:rPr>
        <w:t>** Re do figure 3 as previously suggested. Add n?</w:t>
      </w:r>
      <w:r w:rsidR="00615537" w:rsidRPr="005B6DFB">
        <w:rPr>
          <w:rFonts w:ascii="Garamond" w:hAnsi="Garamond"/>
          <w:sz w:val="22"/>
          <w:szCs w:val="22"/>
        </w:rPr>
        <w:t xml:space="preserve">, Change order of Group 1-6 in Figure 4. </w:t>
      </w:r>
    </w:p>
    <w:p w14:paraId="738F4A42" w14:textId="5EF92D05" w:rsidR="005B6DFB" w:rsidRDefault="005B6DFB" w:rsidP="005B6DFB">
      <w:pPr>
        <w:pStyle w:val="Heading1"/>
      </w:pPr>
      <w:r w:rsidRPr="005B6DFB">
        <w:t>Reviewer 3</w:t>
      </w:r>
    </w:p>
    <w:p w14:paraId="19C89F0D" w14:textId="77777777" w:rsidR="005B6DFB" w:rsidRDefault="005B6DFB" w:rsidP="005B6DFB">
      <w:pPr>
        <w:rPr>
          <w:rFonts w:ascii="Garamond" w:hAnsi="Garamond"/>
          <w:b/>
          <w:bCs/>
        </w:rPr>
      </w:pPr>
    </w:p>
    <w:p w14:paraId="2D95639D" w14:textId="6C371FB7" w:rsidR="005B6DFB" w:rsidRDefault="005B6DFB" w:rsidP="005B6DFB">
      <w:pPr>
        <w:rPr>
          <w:rFonts w:ascii="Garamond" w:hAnsi="Garamond"/>
          <w:b/>
          <w:bCs/>
          <w:sz w:val="22"/>
          <w:szCs w:val="22"/>
        </w:rPr>
      </w:pPr>
      <w:r w:rsidRPr="005B6DFB">
        <w:rPr>
          <w:rFonts w:ascii="Garamond" w:hAnsi="Garamond"/>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Default="005B6DFB" w:rsidP="005B6DFB">
      <w:pPr>
        <w:rPr>
          <w:rFonts w:ascii="Garamond" w:hAnsi="Garamond"/>
          <w:sz w:val="22"/>
          <w:szCs w:val="22"/>
        </w:rPr>
      </w:pPr>
      <w:r>
        <w:rPr>
          <w:rFonts w:ascii="Garamond" w:hAnsi="Garamond"/>
          <w:b/>
          <w:bCs/>
          <w:sz w:val="22"/>
          <w:szCs w:val="22"/>
        </w:rPr>
        <w:tab/>
      </w:r>
      <w:r>
        <w:rPr>
          <w:rFonts w:ascii="Garamond" w:hAnsi="Garamond"/>
          <w:sz w:val="22"/>
          <w:szCs w:val="22"/>
        </w:rPr>
        <w:t xml:space="preserve">To clarify this point we expanded on this sentence to clearly define this metric : </w:t>
      </w:r>
    </w:p>
    <w:p w14:paraId="65672BF5" w14:textId="00632021" w:rsidR="005B6DFB" w:rsidRPr="005B6DFB" w:rsidRDefault="005B6DFB" w:rsidP="005B6DFB">
      <w:pPr>
        <w:ind w:left="720"/>
        <w:rPr>
          <w:rFonts w:ascii="Garamond" w:hAnsi="Garamond"/>
          <w:sz w:val="22"/>
          <w:szCs w:val="22"/>
        </w:rPr>
      </w:pPr>
      <w:r>
        <w:rPr>
          <w:rFonts w:ascii="Garamond" w:hAnsi="Garamond"/>
          <w:sz w:val="22"/>
          <w:szCs w:val="22"/>
        </w:rPr>
        <w:t>“</w:t>
      </w:r>
      <w:r>
        <w:rPr>
          <w:rFonts w:ascii="Garamond" w:hAnsi="Garamond"/>
        </w:rPr>
        <w:t xml:space="preserve">To assess the impact of the existing front-end closure, we quantified the </w:t>
      </w:r>
      <w:r w:rsidRPr="009C0002">
        <w:rPr>
          <w:rFonts w:ascii="Garamond" w:hAnsi="Garamond"/>
        </w:rPr>
        <w:t>proportion of total abundance occurring within the closure period (corresponding to the first seasonal quartile, Q1, in our dataset) that was assigned to each regional group based on otolith</w:t>
      </w:r>
      <w:r>
        <w:rPr>
          <w:rFonts w:ascii="Garamond" w:hAnsi="Garamond"/>
        </w:rPr>
        <w:t xml:space="preserve"> isotope</w:t>
      </w:r>
      <w:r w:rsidRPr="009C0002">
        <w:rPr>
          <w:rFonts w:ascii="Garamond" w:hAnsi="Garamond"/>
        </w:rPr>
        <w:t xml:space="preserve"> assignments. We refer to this metric</w:t>
      </w:r>
      <w:r>
        <w:rPr>
          <w:rFonts w:ascii="Garamond" w:hAnsi="Garamond"/>
        </w:rPr>
        <w:t xml:space="preserve"> hereafter</w:t>
      </w:r>
      <w:r w:rsidRPr="009C0002">
        <w:rPr>
          <w:rFonts w:ascii="Garamond" w:hAnsi="Garamond"/>
        </w:rPr>
        <w:t xml:space="preserve"> as </w:t>
      </w:r>
      <w:r>
        <w:rPr>
          <w:rFonts w:ascii="Garamond" w:hAnsi="Garamond"/>
        </w:rPr>
        <w:t>“</w:t>
      </w:r>
      <w:r w:rsidRPr="004A06A1">
        <w:rPr>
          <w:rFonts w:ascii="Garamond" w:hAnsi="Garamond"/>
        </w:rPr>
        <w:t>percent protection</w:t>
      </w:r>
      <w:r>
        <w:rPr>
          <w:rFonts w:ascii="Garamond" w:hAnsi="Garamond"/>
        </w:rPr>
        <w:t>”</w:t>
      </w:r>
      <w:r w:rsidRPr="009C0002">
        <w:rPr>
          <w:rFonts w:ascii="Garamond" w:hAnsi="Garamond"/>
        </w:rPr>
        <w:t>.</w:t>
      </w:r>
    </w:p>
    <w:p w14:paraId="650CB1DA" w14:textId="77777777" w:rsidR="005B6DFB" w:rsidRPr="005B6DFB" w:rsidRDefault="005B6DFB" w:rsidP="005B6DFB">
      <w:pPr>
        <w:rPr>
          <w:rFonts w:ascii="Garamond" w:hAnsi="Garamond"/>
          <w:b/>
          <w:bCs/>
          <w:sz w:val="22"/>
          <w:szCs w:val="22"/>
        </w:rPr>
      </w:pPr>
    </w:p>
    <w:p w14:paraId="6AECDE3D" w14:textId="77777777" w:rsidR="005B6DFB" w:rsidRDefault="005B6DFB" w:rsidP="005B6DFB">
      <w:pPr>
        <w:rPr>
          <w:rFonts w:ascii="Garamond" w:hAnsi="Garamond"/>
          <w:b/>
          <w:bCs/>
          <w:sz w:val="22"/>
          <w:szCs w:val="22"/>
        </w:rPr>
      </w:pPr>
      <w:r w:rsidRPr="005B6DFB">
        <w:rPr>
          <w:rFonts w:ascii="Garamond" w:hAnsi="Garamond"/>
          <w:b/>
          <w:bCs/>
          <w:sz w:val="22"/>
          <w:szCs w:val="22"/>
        </w:rPr>
        <w:t>In Figure 3, it would be beneficial to add a title to each panel describing the date range for the seasonal quartiles.</w:t>
      </w:r>
    </w:p>
    <w:p w14:paraId="057D00F5" w14:textId="22E743E3" w:rsidR="005B6DFB" w:rsidRPr="005B6DFB" w:rsidRDefault="005B6DFB" w:rsidP="005B6DFB">
      <w:pPr>
        <w:rPr>
          <w:rFonts w:ascii="Garamond" w:hAnsi="Garamond"/>
          <w:b/>
          <w:bCs/>
          <w:sz w:val="22"/>
          <w:szCs w:val="22"/>
        </w:rPr>
      </w:pPr>
      <w:r>
        <w:rPr>
          <w:rFonts w:ascii="Garamond" w:hAnsi="Garamond"/>
          <w:b/>
          <w:bCs/>
          <w:sz w:val="22"/>
          <w:szCs w:val="22"/>
        </w:rPr>
        <w:tab/>
      </w:r>
      <w:r w:rsidRPr="005B6DFB">
        <w:rPr>
          <w:rFonts w:ascii="Garamond" w:hAnsi="Garamond"/>
          <w:b/>
          <w:bCs/>
          <w:sz w:val="22"/>
          <w:szCs w:val="22"/>
          <w:highlight w:val="yellow"/>
        </w:rPr>
        <w:t>** Add more detailed title to each panel in figure 3**</w:t>
      </w:r>
      <w:r>
        <w:rPr>
          <w:rFonts w:ascii="Garamond" w:hAnsi="Garamond"/>
          <w:b/>
          <w:bCs/>
          <w:sz w:val="22"/>
          <w:szCs w:val="22"/>
        </w:rPr>
        <w:t xml:space="preserve"> </w:t>
      </w:r>
      <w:r w:rsidRPr="005B6DFB">
        <w:rPr>
          <w:rFonts w:ascii="Garamond" w:hAnsi="Garamond"/>
          <w:b/>
          <w:bCs/>
          <w:sz w:val="22"/>
          <w:szCs w:val="22"/>
        </w:rPr>
        <w:br/>
      </w:r>
    </w:p>
    <w:p w14:paraId="0CBCB573" w14:textId="77777777" w:rsidR="005B6DFB" w:rsidRDefault="005B6DFB" w:rsidP="005B6DFB">
      <w:pPr>
        <w:rPr>
          <w:rFonts w:ascii="Garamond" w:hAnsi="Garamond"/>
          <w:b/>
          <w:bCs/>
          <w:sz w:val="22"/>
          <w:szCs w:val="22"/>
        </w:rPr>
      </w:pPr>
      <w:r w:rsidRPr="005B6DFB">
        <w:rPr>
          <w:rFonts w:ascii="Garamond" w:hAnsi="Garamond"/>
          <w:b/>
          <w:bCs/>
          <w:sz w:val="22"/>
          <w:szCs w:val="22"/>
        </w:rPr>
        <w:t>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where as in this case the figure is describing the cumulative proportion of season total CPUE as apportioned among groups.</w:t>
      </w:r>
    </w:p>
    <w:p w14:paraId="3DA52A2F" w14:textId="504C6F68" w:rsidR="005B6DFB" w:rsidRPr="005B6DFB" w:rsidRDefault="005B6DFB" w:rsidP="005B6DFB">
      <w:pPr>
        <w:ind w:firstLine="720"/>
        <w:rPr>
          <w:rFonts w:ascii="Garamond" w:hAnsi="Garamond"/>
          <w:b/>
          <w:bCs/>
          <w:sz w:val="22"/>
          <w:szCs w:val="22"/>
        </w:rPr>
      </w:pPr>
      <w:r w:rsidRPr="005B6DFB">
        <w:rPr>
          <w:rFonts w:ascii="Garamond" w:hAnsi="Garamond"/>
          <w:b/>
          <w:bCs/>
          <w:sz w:val="22"/>
          <w:szCs w:val="22"/>
          <w:highlight w:val="yellow"/>
        </w:rPr>
        <w:t>** Change y axis label in Figure 4 **</w:t>
      </w:r>
      <w:r>
        <w:rPr>
          <w:rFonts w:ascii="Garamond" w:hAnsi="Garamond"/>
          <w:b/>
          <w:bCs/>
          <w:sz w:val="22"/>
          <w:szCs w:val="22"/>
        </w:rPr>
        <w:t xml:space="preserve"> </w:t>
      </w:r>
      <w:r w:rsidRPr="005B6DFB">
        <w:rPr>
          <w:rFonts w:ascii="Garamond" w:hAnsi="Garamond"/>
          <w:b/>
          <w:bCs/>
          <w:sz w:val="22"/>
          <w:szCs w:val="22"/>
        </w:rPr>
        <w:br/>
      </w:r>
      <w:r w:rsidRPr="005B6DFB">
        <w:rPr>
          <w:rFonts w:ascii="Garamond" w:hAnsi="Garamond"/>
          <w:b/>
          <w:bCs/>
          <w:sz w:val="22"/>
          <w:szCs w:val="22"/>
        </w:rPr>
        <w:b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61FADE2D" w14:textId="1F5AB775" w:rsidR="005B6DFB" w:rsidRPr="005B6DFB" w:rsidRDefault="005B6DFB" w:rsidP="005B6DFB">
      <w:pPr>
        <w:rPr>
          <w:rFonts w:ascii="Garamond" w:hAnsi="Garamond"/>
          <w:b/>
          <w:bCs/>
          <w:sz w:val="22"/>
          <w:szCs w:val="22"/>
        </w:rPr>
      </w:pPr>
      <w:r>
        <w:rPr>
          <w:rFonts w:ascii="Garamond" w:hAnsi="Garamond"/>
          <w:b/>
          <w:bCs/>
          <w:sz w:val="22"/>
          <w:szCs w:val="22"/>
        </w:rPr>
        <w:tab/>
      </w:r>
    </w:p>
    <w:p w14:paraId="5657A6BA" w14:textId="77777777" w:rsidR="005B6DFB" w:rsidRPr="005B6DFB" w:rsidRDefault="005B6DFB" w:rsidP="005B6DFB">
      <w:pPr>
        <w:rPr>
          <w:rFonts w:ascii="Garamond" w:hAnsi="Garamond"/>
          <w:b/>
          <w:bCs/>
          <w:sz w:val="22"/>
          <w:szCs w:val="22"/>
        </w:rPr>
      </w:pPr>
      <w:r w:rsidRPr="005B6DFB">
        <w:rPr>
          <w:rFonts w:ascii="Garamond" w:hAnsi="Garamond"/>
          <w:b/>
          <w:bCs/>
          <w:sz w:val="22"/>
          <w:szCs w:val="22"/>
        </w:rPr>
        <w:t>Line 144 For the inline equation notation (</w:t>
      </w:r>
      <w:proofErr w:type="spellStart"/>
      <w:r w:rsidRPr="005B6DFB">
        <w:rPr>
          <w:rFonts w:ascii="Garamond" w:hAnsi="Garamond"/>
          <w:b/>
          <w:bCs/>
          <w:sz w:val="22"/>
          <w:szCs w:val="22"/>
        </w:rPr>
        <w:t>r_j</w:t>
      </w:r>
      <w:proofErr w:type="spellEnd"/>
      <w:r w:rsidRPr="005B6DFB">
        <w:rPr>
          <w:rFonts w:ascii="Garamond" w:hAnsi="Garamond"/>
          <w:b/>
          <w:bCs/>
          <w:sz w:val="22"/>
          <w:szCs w:val="22"/>
        </w:rPr>
        <w:t>) should be (</w:t>
      </w:r>
      <w:proofErr w:type="spellStart"/>
      <w:r w:rsidRPr="005B6DFB">
        <w:rPr>
          <w:rFonts w:ascii="Garamond" w:hAnsi="Garamond"/>
          <w:b/>
          <w:bCs/>
          <w:sz w:val="22"/>
          <w:szCs w:val="22"/>
        </w:rPr>
        <w:t>rj</w:t>
      </w:r>
      <w:proofErr w:type="spellEnd"/>
      <w:r w:rsidRPr="005B6DFB">
        <w:rPr>
          <w:rFonts w:ascii="Garamond" w:hAnsi="Garamond"/>
          <w:b/>
          <w:bCs/>
          <w:sz w:val="22"/>
          <w:szCs w:val="22"/>
        </w:rPr>
        <w:t>).</w:t>
      </w:r>
      <w:r w:rsidRPr="005B6DFB">
        <w:rPr>
          <w:rFonts w:ascii="Garamond" w:hAnsi="Garamond"/>
          <w:b/>
          <w:bCs/>
          <w:sz w:val="22"/>
          <w:szCs w:val="22"/>
        </w:rPr>
        <w:br/>
      </w:r>
      <w:r w:rsidRPr="005B6DFB">
        <w:rPr>
          <w:rFonts w:ascii="Garamond" w:hAnsi="Garamond"/>
          <w:b/>
          <w:bCs/>
          <w:sz w:val="22"/>
          <w:szCs w:val="22"/>
        </w:rPr>
        <w:br/>
        <w:t>Lines 242-244 It may be clearer to describe “total relative abundance” rather than “total contribution” in this context for clarity.</w:t>
      </w:r>
      <w:r w:rsidRPr="005B6DFB">
        <w:rPr>
          <w:rFonts w:ascii="Garamond" w:hAnsi="Garamond"/>
          <w:b/>
          <w:bCs/>
          <w:sz w:val="22"/>
          <w:szCs w:val="22"/>
        </w:rPr>
        <w:br/>
      </w:r>
      <w:r w:rsidRPr="005B6DFB">
        <w:rPr>
          <w:rFonts w:ascii="Garamond" w:hAnsi="Garamond"/>
          <w:b/>
          <w:bCs/>
          <w:sz w:val="22"/>
          <w:szCs w:val="22"/>
        </w:rPr>
        <w:br/>
        <w:t xml:space="preserve">Line 249 For clarity, I recommend rephrasing “… a much larger range of protection across our </w:t>
      </w:r>
      <w:r w:rsidRPr="005B6DFB">
        <w:rPr>
          <w:rFonts w:ascii="Garamond" w:hAnsi="Garamond"/>
          <w:b/>
          <w:bCs/>
          <w:sz w:val="22"/>
          <w:szCs w:val="22"/>
        </w:rPr>
        <w:lastRenderedPageBreak/>
        <w:t>dataset…” with “… a much larger range of relative abundance protected… “</w:t>
      </w:r>
      <w:r w:rsidRPr="005B6DFB">
        <w:rPr>
          <w:rFonts w:ascii="Garamond" w:hAnsi="Garamond"/>
          <w:b/>
          <w:bCs/>
          <w:sz w:val="22"/>
          <w:szCs w:val="22"/>
        </w:rPr>
        <w:br/>
      </w:r>
      <w:r w:rsidRPr="005B6DFB">
        <w:rPr>
          <w:rFonts w:ascii="Garamond" w:hAnsi="Garamond"/>
          <w:b/>
          <w:bCs/>
          <w:sz w:val="22"/>
          <w:szCs w:val="22"/>
        </w:rPr>
        <w:br/>
        <w:t>Line 261-263 Consider adding the more explicit context to the sentence below that the no change in minimum protection means that in some years increasing the duration of the front end closure would have no conservation benefit. This could be done with a very minor addition: “Importantly, the minimum protection values in the three-day extension scenario were similar to the results of the currently implemented closure, indicating that in select years extending front end closure by three days would not provide additional conservation benefit.”</w:t>
      </w:r>
      <w:r w:rsidRPr="005B6DFB">
        <w:rPr>
          <w:rFonts w:ascii="Garamond" w:hAnsi="Garamond"/>
          <w:b/>
          <w:bCs/>
          <w:sz w:val="22"/>
          <w:szCs w:val="22"/>
        </w:rPr>
        <w:br/>
      </w:r>
      <w:r w:rsidRPr="005B6DFB">
        <w:rPr>
          <w:rFonts w:ascii="Garamond" w:hAnsi="Garamond"/>
          <w:b/>
          <w:bCs/>
          <w:sz w:val="22"/>
          <w:szCs w:val="22"/>
        </w:rPr>
        <w:br/>
        <w:t>This addition for context, would help better set up the discussion in the subsequent lines about the sensitivity of the minimum protection values to the front end closure alternatives.</w:t>
      </w:r>
      <w:r w:rsidRPr="005B6DFB">
        <w:rPr>
          <w:rFonts w:ascii="Garamond" w:hAnsi="Garamond"/>
          <w:b/>
          <w:bCs/>
          <w:sz w:val="22"/>
          <w:szCs w:val="22"/>
        </w:rPr>
        <w:br/>
      </w:r>
      <w:r w:rsidRPr="005B6DFB">
        <w:rPr>
          <w:rFonts w:ascii="Garamond" w:hAnsi="Garamond"/>
          <w:b/>
          <w:bCs/>
          <w:sz w:val="22"/>
          <w:szCs w:val="22"/>
        </w:rPr>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5B6DFB">
        <w:rPr>
          <w:rFonts w:ascii="Garamond" w:hAnsi="Garamond"/>
          <w:b/>
          <w:bCs/>
          <w:sz w:val="22"/>
          <w:szCs w:val="22"/>
        </w:rPr>
        <w:br/>
      </w:r>
      <w:r w:rsidRPr="005B6DFB">
        <w:rPr>
          <w:rFonts w:ascii="Garamond" w:hAnsi="Garamond"/>
          <w:b/>
          <w:bCs/>
          <w:sz w:val="22"/>
          <w:szCs w:val="22"/>
        </w:rPr>
        <w:br/>
        <w:t>Line 271 Suggest rephrasing “… substantially increases protection for several groups; …” to “… increases protection for upriver groups; …” as a way to keep the reader oriented as to the interpretation of Group 1 &amp; 2 as the primary conservation beneficiaries being the upriver spawning stocks.</w:t>
      </w:r>
      <w:r w:rsidRPr="005B6DFB">
        <w:rPr>
          <w:rFonts w:ascii="Garamond" w:hAnsi="Garamond"/>
          <w:b/>
          <w:bCs/>
          <w:sz w:val="22"/>
          <w:szCs w:val="22"/>
        </w:rPr>
        <w:br/>
      </w:r>
      <w:r w:rsidRPr="005B6DFB">
        <w:rPr>
          <w:rFonts w:ascii="Garamond" w:hAnsi="Garamond"/>
          <w:b/>
          <w:bCs/>
          <w:sz w:val="22"/>
          <w:szCs w:val="22"/>
        </w:rPr>
        <w:br/>
        <w:t>Line 279 Suggest reiterating the year range for the analyses with a parenthetical statement as “This relationship was consistent throughout our multi-year dataset (2017-2022) …” for clarity.</w:t>
      </w:r>
      <w:r w:rsidRPr="005B6DFB">
        <w:rPr>
          <w:rFonts w:ascii="Garamond" w:hAnsi="Garamond"/>
          <w:b/>
          <w:bCs/>
          <w:sz w:val="22"/>
          <w:szCs w:val="22"/>
        </w:rPr>
        <w:br/>
      </w:r>
      <w:r w:rsidRPr="005B6DFB">
        <w:rPr>
          <w:rFonts w:ascii="Garamond" w:hAnsi="Garamond"/>
          <w:b/>
          <w:bCs/>
          <w:sz w:val="22"/>
          <w:szCs w:val="22"/>
        </w:rPr>
        <w:br/>
        <w:t>Line 326 When discussing the potential cost to harvest opportunity of the front end closure it would be useful to add the range across years in the total potential harvest falling within the front end closure window in addition to the average (12%).</w:t>
      </w:r>
      <w:r w:rsidRPr="005B6DFB">
        <w:rPr>
          <w:rFonts w:ascii="Garamond" w:hAnsi="Garamond"/>
          <w:b/>
          <w:bCs/>
          <w:sz w:val="22"/>
          <w:szCs w:val="22"/>
        </w:rPr>
        <w:br/>
      </w:r>
      <w:r w:rsidRPr="005B6DFB">
        <w:rPr>
          <w:rFonts w:ascii="Garamond" w:hAnsi="Garamond"/>
          <w:b/>
          <w:bCs/>
          <w:sz w:val="22"/>
          <w:szCs w:val="22"/>
        </w:rPr>
        <w:br/>
        <w:t>Line 329 Similar to the recommendation above, it would be useful to indicate the min-max range of the additional potential harvest falling within the closure window, across years.</w:t>
      </w:r>
      <w:r w:rsidRPr="005B6DFB">
        <w:rPr>
          <w:rFonts w:ascii="Garamond" w:hAnsi="Garamond"/>
          <w:b/>
          <w:bCs/>
          <w:sz w:val="22"/>
          <w:szCs w:val="22"/>
        </w:rPr>
        <w:br/>
      </w:r>
      <w:r w:rsidRPr="005B6DFB">
        <w:rPr>
          <w:rFonts w:ascii="Garamond" w:hAnsi="Garamond"/>
          <w:b/>
          <w:bCs/>
          <w:sz w:val="22"/>
          <w:szCs w:val="22"/>
        </w:rPr>
        <w:br/>
        <w:t>Including the ranges as suggested in the two comments above would highlight the heterogeneity in conservation costs to harvest opportunity among years, an understanding of which is one of the major benefits of this multiyear study.</w:t>
      </w:r>
      <w:r w:rsidRPr="005B6DFB">
        <w:rPr>
          <w:rFonts w:ascii="Garamond" w:hAnsi="Garamond"/>
          <w:b/>
          <w:bCs/>
          <w:sz w:val="22"/>
          <w:szCs w:val="22"/>
        </w:rPr>
        <w:br/>
      </w:r>
      <w:r w:rsidRPr="005B6DFB">
        <w:rPr>
          <w:rFonts w:ascii="Garamond" w:hAnsi="Garamond"/>
          <w:b/>
          <w:bCs/>
          <w:sz w:val="22"/>
          <w:szCs w:val="22"/>
        </w:rPr>
        <w:br/>
        <w:t>Lines 341-343 The text correctly highlights that an extended front end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Likewise, a major consideration in this context is the timing of harvest relative to optimal conditions for drying and preserving fish. The authors may consider highlighting some of these points to further clarify the underlying impacts of changes in the front end closure.</w:t>
      </w:r>
    </w:p>
    <w:p w14:paraId="23F05773" w14:textId="77777777" w:rsidR="005B6DFB" w:rsidRPr="005B6DFB" w:rsidRDefault="005B6DFB" w:rsidP="005B6DFB">
      <w:pPr>
        <w:rPr>
          <w:rFonts w:ascii="Garamond" w:hAnsi="Garamond"/>
          <w:b/>
          <w:bCs/>
          <w:sz w:val="22"/>
          <w:szCs w:val="22"/>
        </w:rPr>
      </w:pPr>
    </w:p>
    <w:sectPr w:rsidR="005B6DFB" w:rsidRPr="005B6D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73931"/>
    <w:rsid w:val="0007524E"/>
    <w:rsid w:val="000C6C3C"/>
    <w:rsid w:val="000C72EC"/>
    <w:rsid w:val="000E59B0"/>
    <w:rsid w:val="001267A1"/>
    <w:rsid w:val="00163126"/>
    <w:rsid w:val="00181D06"/>
    <w:rsid w:val="001A7F85"/>
    <w:rsid w:val="001B29D5"/>
    <w:rsid w:val="0022603E"/>
    <w:rsid w:val="00235B19"/>
    <w:rsid w:val="002E2582"/>
    <w:rsid w:val="00345F9C"/>
    <w:rsid w:val="003C353E"/>
    <w:rsid w:val="00437304"/>
    <w:rsid w:val="00446B65"/>
    <w:rsid w:val="00491217"/>
    <w:rsid w:val="004959F1"/>
    <w:rsid w:val="004A310F"/>
    <w:rsid w:val="004B2F94"/>
    <w:rsid w:val="005052B4"/>
    <w:rsid w:val="00543764"/>
    <w:rsid w:val="00584E8C"/>
    <w:rsid w:val="005B6DFB"/>
    <w:rsid w:val="00615537"/>
    <w:rsid w:val="00727743"/>
    <w:rsid w:val="00733A9B"/>
    <w:rsid w:val="00735C63"/>
    <w:rsid w:val="00754A39"/>
    <w:rsid w:val="00755816"/>
    <w:rsid w:val="007C49BD"/>
    <w:rsid w:val="007D21BA"/>
    <w:rsid w:val="007F5F83"/>
    <w:rsid w:val="00891F16"/>
    <w:rsid w:val="00974EB1"/>
    <w:rsid w:val="00A32532"/>
    <w:rsid w:val="00A6390C"/>
    <w:rsid w:val="00A77737"/>
    <w:rsid w:val="00A9405C"/>
    <w:rsid w:val="00A96286"/>
    <w:rsid w:val="00AC4132"/>
    <w:rsid w:val="00AF0475"/>
    <w:rsid w:val="00B974E8"/>
    <w:rsid w:val="00BA245F"/>
    <w:rsid w:val="00BF7BCB"/>
    <w:rsid w:val="00C669D1"/>
    <w:rsid w:val="00CF167E"/>
    <w:rsid w:val="00CF720A"/>
    <w:rsid w:val="00D3318A"/>
    <w:rsid w:val="00D57024"/>
    <w:rsid w:val="00D64608"/>
    <w:rsid w:val="00D82E78"/>
    <w:rsid w:val="00DD7012"/>
    <w:rsid w:val="00DF1FA4"/>
    <w:rsid w:val="00E73D69"/>
    <w:rsid w:val="00EB0B96"/>
    <w:rsid w:val="00EB3BCD"/>
    <w:rsid w:val="00ED7579"/>
    <w:rsid w:val="00F31097"/>
    <w:rsid w:val="00F842D9"/>
    <w:rsid w:val="00F93EF2"/>
    <w:rsid w:val="00FB7854"/>
    <w:rsid w:val="00FD1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4017</TotalTime>
  <Pages>15</Pages>
  <Words>7721</Words>
  <Characters>44014</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24</cp:revision>
  <dcterms:created xsi:type="dcterms:W3CDTF">2026-06-18T21:05:00Z</dcterms:created>
  <dcterms:modified xsi:type="dcterms:W3CDTF">2026-06-23T16:38:00Z</dcterms:modified>
</cp:coreProperties>
</file>