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51D01594"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w:t>
      </w:r>
      <w:r w:rsidR="001E0D88">
        <w:rPr>
          <w:rFonts w:ascii="Garamond" w:hAnsi="Garamond"/>
          <w:sz w:val="22"/>
          <w:szCs w:val="22"/>
        </w:rPr>
        <w:t xml:space="preserve">fisheries </w:t>
      </w:r>
      <w:r w:rsidRPr="00711069">
        <w:rPr>
          <w:rFonts w:ascii="Garamond" w:hAnsi="Garamond"/>
          <w:sz w:val="22"/>
          <w:szCs w:val="22"/>
        </w:rPr>
        <w:t>management is the need to maximize harvest opportunities while maintaining and protecting biodiversity. This challenge is present in mixed species fisheries, where harvesting productive species often risks over-exploitation of non-target co-occurring species of concern</w:t>
      </w:r>
      <w:r w:rsidR="001E0D88">
        <w:rPr>
          <w:rFonts w:ascii="Garamond" w:hAnsi="Garamond"/>
          <w:sz w:val="22"/>
          <w:szCs w:val="22"/>
        </w:rPr>
        <w:t xml:space="preserve"> (Cite)</w:t>
      </w:r>
      <w:r w:rsidRPr="00711069">
        <w:rPr>
          <w:rFonts w:ascii="Garamond" w:hAnsi="Garamond"/>
          <w:sz w:val="22"/>
          <w:szCs w:val="22"/>
        </w:rPr>
        <w:t xml:space="preserve">.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(Esquible et al., 2018).</w:t>
      </w:r>
      <w:r>
        <w:rPr>
          <w:rFonts w:ascii="Garamond" w:hAnsi="Garamond"/>
          <w:sz w:val="22"/>
          <w:szCs w:val="22"/>
        </w:rPr>
        <w:t xml:space="preserve"> In particular, Chinook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(Clark et al., 2018; Esquible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Orutsaramiut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isomet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r w:rsidRPr="006D1917">
        <w:rPr>
          <w:rFonts w:ascii="Garamond" w:eastAsia="Times New Roman" w:hAnsi="Garamond" w:cs="Times New Roman"/>
          <w:b/>
          <w:bCs/>
          <w:kern w:val="0"/>
          <w:sz w:val="22"/>
          <w:szCs w:val="22"/>
          <w14:ligatures w14:val="none"/>
        </w:rPr>
        <w:t>Isoscape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isoscape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analytical, within-population, and isoscape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 xml:space="preserve">The probability of an individual assigning to tributary j is defined as the product of the probability of the isotope ratio in the otolith of an individual (o) given the isotope ratio in tributary j (r_j). The probability of the isotope ratio (rj)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(PStreamOrder)</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 xml:space="preserve">Second, a habitat suitability prior (PHabitat)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4"/>
      <w:ins w:id="1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4"/>
      <w:r w:rsidR="00B27EC5">
        <w:rPr>
          <w:rStyle w:val="CommentReference"/>
        </w:rPr>
        <w:commentReference w:id="14"/>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Takotna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 xml:space="preserve">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w:t>
      </w:r>
      <w:r w:rsidRPr="00E20CE9">
        <w:rPr>
          <w:rFonts w:ascii="Garamond" w:hAnsi="Garamond"/>
          <w:sz w:val="22"/>
          <w:szCs w:val="22"/>
        </w:rPr>
        <w:lastRenderedPageBreak/>
        <w:t>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Takotna and Nixon fork </w:t>
      </w:r>
      <w:r w:rsidR="00B27EC5">
        <w:rPr>
          <w:rFonts w:ascii="Garamond" w:hAnsi="Garamond"/>
          <w:sz w:val="22"/>
          <w:szCs w:val="22"/>
        </w:rPr>
        <w:t>stock as well as the</w:t>
      </w:r>
      <w:r w:rsidR="00E355B2">
        <w:rPr>
          <w:rFonts w:ascii="Garamond" w:hAnsi="Garamond"/>
          <w:sz w:val="22"/>
          <w:szCs w:val="22"/>
        </w:rPr>
        <w:t xml:space="preserve"> Tatlawiksuk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 </w:t>
      </w:r>
      <w:r w:rsidR="00C10AF2">
        <w:rPr>
          <w:rFonts w:ascii="Garamond" w:hAnsi="Garamond"/>
          <w:sz w:val="22"/>
          <w:szCs w:val="22"/>
        </w:rPr>
        <w:t>June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Takotna River and Nixon Fork, Swift River, Holitna River, Hoholitna River, Middle Kuskokwim Main, Aniak</w:t>
      </w:r>
      <w:r w:rsidR="00B27EC5">
        <w:rPr>
          <w:rFonts w:ascii="Garamond" w:hAnsi="Garamond"/>
          <w:sz w:val="22"/>
          <w:szCs w:val="22"/>
        </w:rPr>
        <w:t xml:space="preserve"> River</w:t>
      </w:r>
      <w:r w:rsidR="00C10AF2">
        <w:rPr>
          <w:rFonts w:ascii="Garamond" w:hAnsi="Garamond"/>
          <w:sz w:val="22"/>
          <w:szCs w:val="22"/>
        </w:rPr>
        <w:t>, and Kisarlik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Holitna River (median; 10.4%, range 9.5-13.6%), Hoholitna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xml:space="preserve">) displayed further decreasing contribution from Upper Kuskokwim stocks (i.e Upper Kuskokwim Main, Big River, Takotna River and Nixon Fork, Tatlawiksuk River, and Swift River). The Hoholitna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w:t>
      </w:r>
      <w:r w:rsidR="002D12FE">
        <w:rPr>
          <w:rFonts w:ascii="Garamond" w:hAnsi="Garamond"/>
          <w:sz w:val="22"/>
          <w:szCs w:val="22"/>
        </w:rPr>
        <w:lastRenderedPageBreak/>
        <w:t xml:space="preserve">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r w:rsidR="002D12FE">
        <w:rPr>
          <w:rFonts w:ascii="Garamond" w:hAnsi="Garamond"/>
          <w:sz w:val="22"/>
          <w:szCs w:val="22"/>
        </w:rPr>
        <w:t>Tuluksak</w:t>
      </w:r>
      <w:r w:rsidR="00536536">
        <w:rPr>
          <w:rFonts w:ascii="Garamond" w:hAnsi="Garamond"/>
          <w:sz w:val="22"/>
          <w:szCs w:val="22"/>
        </w:rPr>
        <w:t xml:space="preserve"> (median; 6.1%) </w:t>
      </w:r>
      <w:r w:rsidR="002D12FE">
        <w:rPr>
          <w:rFonts w:ascii="Garamond" w:hAnsi="Garamond"/>
          <w:sz w:val="22"/>
          <w:szCs w:val="22"/>
        </w:rPr>
        <w:t>, Kisaralik</w:t>
      </w:r>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 xml:space="preserve"> all reached their peak contribution during this period, consistent with late returns for stocks in the lower portion of the watershed. </w:t>
      </w:r>
    </w:p>
    <w:p w14:paraId="708701AB" w14:textId="6EBA9821"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Hoholitna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A pattern of early returning upper Kuskokwim stocks clearly affords higher protection to these stocks from a front end closure ending on June 12</w:t>
      </w:r>
      <w:r w:rsidRPr="00470C70">
        <w:rPr>
          <w:rFonts w:ascii="Garamond" w:hAnsi="Garamond"/>
          <w:sz w:val="22"/>
          <w:szCs w:val="22"/>
          <w:vertAlign w:val="superscript"/>
        </w:rPr>
        <w:t>th</w:t>
      </w:r>
      <w:r>
        <w:rPr>
          <w:rFonts w:ascii="Garamond" w:hAnsi="Garamond"/>
          <w:sz w:val="22"/>
          <w:szCs w:val="22"/>
        </w:rPr>
        <w:t>.  Nearly all stocks upstream of Swift River received median protection &gt;10% of the total stock contribution across all years of our dataset, with several notable outlkiers &gt;30% protection in some years. An exception is the Takotna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r w:rsidR="00966E61">
        <w:rPr>
          <w:rFonts w:ascii="Garamond" w:hAnsi="Garamond"/>
          <w:sz w:val="22"/>
          <w:szCs w:val="22"/>
        </w:rPr>
        <w:lastRenderedPageBreak/>
        <w:t xml:space="preserve">Hoholitna River stocks, however, contain outliers of 22.1% and 18.4%, indicating that a front end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60F35EC" w14:textId="493F6930" w:rsidR="00E10F4A" w:rsidRDefault="00A005B7" w:rsidP="00E10F4A">
      <w:pPr>
        <w:pStyle w:val="whitespace-normal"/>
        <w:spacing w:line="480" w:lineRule="auto"/>
        <w:ind w:firstLine="720"/>
        <w:rPr>
          <w:rFonts w:ascii="Garamond" w:hAnsi="Garamond"/>
          <w:sz w:val="22"/>
          <w:szCs w:val="22"/>
        </w:rPr>
      </w:pPr>
      <w:r w:rsidRPr="009C42BD">
        <w:rPr>
          <w:rFonts w:ascii="Garamond" w:hAnsi="Garamond"/>
          <w:sz w:val="22"/>
          <w:szCs w:val="22"/>
        </w:rPr>
        <w:t xml:space="preserve">The analysis presented here illustrates the spatiotemporal patterns of Chinook salmon in the Kuskokwim river-basin at a finer spatial scale and over a longer </w:t>
      </w:r>
      <w:r w:rsidR="002C1C99" w:rsidRPr="009C42BD">
        <w:rPr>
          <w:rFonts w:ascii="Garamond" w:hAnsi="Garamond"/>
          <w:sz w:val="22"/>
          <w:szCs w:val="22"/>
        </w:rPr>
        <w:t>time period</w:t>
      </w:r>
      <w:r w:rsidRPr="009C42BD">
        <w:rPr>
          <w:rFonts w:ascii="Garamond" w:hAnsi="Garamond"/>
          <w:sz w:val="22"/>
          <w:szCs w:val="22"/>
        </w:rPr>
        <w:t xml:space="preserve"> than had previously </w:t>
      </w:r>
      <w:r w:rsidR="009C42BD">
        <w:rPr>
          <w:rFonts w:ascii="Garamond" w:hAnsi="Garamond"/>
          <w:sz w:val="22"/>
          <w:szCs w:val="22"/>
        </w:rPr>
        <w:t xml:space="preserve">been </w:t>
      </w:r>
      <w:r w:rsidRPr="009C42BD">
        <w:rPr>
          <w:rFonts w:ascii="Garamond" w:hAnsi="Garamond"/>
          <w:sz w:val="22"/>
          <w:szCs w:val="22"/>
        </w:rPr>
        <w:t xml:space="preserve">available. In doing so, we corroborated </w:t>
      </w:r>
      <w:r w:rsidR="009C42BD">
        <w:rPr>
          <w:rFonts w:ascii="Garamond" w:hAnsi="Garamond"/>
          <w:sz w:val="22"/>
          <w:szCs w:val="22"/>
        </w:rPr>
        <w:t>a preliminarily observed</w:t>
      </w:r>
      <w:r w:rsidRPr="009C42BD">
        <w:rPr>
          <w:rFonts w:ascii="Garamond" w:hAnsi="Garamond"/>
          <w:sz w:val="22"/>
          <w:szCs w:val="22"/>
        </w:rPr>
        <w:t xml:space="preserve"> relationship between run timing and watershed position, where </w:t>
      </w:r>
      <w:r w:rsidR="009C42BD">
        <w:rPr>
          <w:rFonts w:ascii="Garamond" w:hAnsi="Garamond"/>
          <w:sz w:val="22"/>
          <w:szCs w:val="22"/>
        </w:rPr>
        <w:t>return timing reflects a gradient in watershed position from the earliest retuning upstream stocks to late returning lower watershed stocks. T</w:t>
      </w:r>
      <w:r w:rsidR="00E10F4A" w:rsidRPr="009C42BD">
        <w:rPr>
          <w:rFonts w:ascii="Garamond" w:hAnsi="Garamond"/>
          <w:sz w:val="22"/>
          <w:szCs w:val="22"/>
        </w:rPr>
        <w:t xml:space="preserve">his pattern </w:t>
      </w:r>
      <w:r w:rsidR="009C42BD">
        <w:rPr>
          <w:rFonts w:ascii="Garamond" w:hAnsi="Garamond"/>
          <w:sz w:val="22"/>
          <w:szCs w:val="22"/>
        </w:rPr>
        <w:t xml:space="preserve">was observed </w:t>
      </w:r>
      <w:r w:rsidR="002C1C99">
        <w:rPr>
          <w:rFonts w:ascii="Garamond" w:hAnsi="Garamond"/>
          <w:sz w:val="22"/>
          <w:szCs w:val="22"/>
        </w:rPr>
        <w:t>consistently</w:t>
      </w:r>
      <w:r w:rsidR="00E10F4A" w:rsidRPr="009C42BD">
        <w:rPr>
          <w:rFonts w:ascii="Garamond" w:hAnsi="Garamond"/>
          <w:sz w:val="22"/>
          <w:szCs w:val="22"/>
        </w:rPr>
        <w:t xml:space="preserve"> throughout our multi-year dataset despite significant differences in run timing and overall run strength. The</w:t>
      </w:r>
      <w:r w:rsidR="009C42BD">
        <w:rPr>
          <w:rFonts w:ascii="Garamond" w:hAnsi="Garamond"/>
          <w:sz w:val="22"/>
          <w:szCs w:val="22"/>
        </w:rPr>
        <w:t>se results highlight the consistency of this pattern in the Kuskokwim river basin, and has significant implications for management strategy which aims to protect up stream stocks. In our evaluation of the current implemented front-end closure ending on June 11</w:t>
      </w:r>
      <w:r w:rsidR="009C42BD" w:rsidRPr="009C42BD">
        <w:rPr>
          <w:rFonts w:ascii="Garamond" w:hAnsi="Garamond"/>
          <w:sz w:val="22"/>
          <w:szCs w:val="22"/>
          <w:vertAlign w:val="superscript"/>
        </w:rPr>
        <w:t>th</w:t>
      </w:r>
      <w:r w:rsidR="009C42BD">
        <w:rPr>
          <w:rFonts w:ascii="Garamond" w:hAnsi="Garamond"/>
          <w:sz w:val="22"/>
          <w:szCs w:val="22"/>
        </w:rPr>
        <w:t xml:space="preserve">, upper Kuskokwim stocks such as ____, ____, and ____ were afforded significant protection from the fishery. In doing so, this strategy appears to successfully allow upper Kuskokwim fish to return to upstream tributaries, thereby providing subsistence opportunities for upper Kuskokwim communities and </w:t>
      </w:r>
      <w:r w:rsidR="002C1C99">
        <w:rPr>
          <w:rFonts w:ascii="Garamond" w:hAnsi="Garamond"/>
          <w:sz w:val="22"/>
          <w:szCs w:val="22"/>
        </w:rPr>
        <w:t xml:space="preserve">protecting a significant portion of the overall returns from downstream harvest in subsistence or commercial fisheries. </w:t>
      </w:r>
    </w:p>
    <w:p w14:paraId="5A1D0A0C" w14:textId="77777777" w:rsidR="0013324E" w:rsidRDefault="002C1C99" w:rsidP="0013324E">
      <w:pPr>
        <w:pStyle w:val="whitespace-normal"/>
        <w:spacing w:line="480" w:lineRule="auto"/>
        <w:ind w:firstLine="720"/>
        <w:rPr>
          <w:rFonts w:ascii="Garamond" w:hAnsi="Garamond"/>
          <w:sz w:val="22"/>
          <w:szCs w:val="22"/>
        </w:rPr>
      </w:pPr>
      <w:r>
        <w:rPr>
          <w:rFonts w:ascii="Garamond" w:hAnsi="Garamond"/>
          <w:sz w:val="22"/>
          <w:szCs w:val="22"/>
        </w:rPr>
        <w:t>Despite</w:t>
      </w:r>
      <w:r w:rsidR="00BF0C62">
        <w:rPr>
          <w:rFonts w:ascii="Garamond" w:hAnsi="Garamond"/>
          <w:sz w:val="22"/>
          <w:szCs w:val="22"/>
        </w:rPr>
        <w:t xml:space="preserve"> </w:t>
      </w:r>
      <w:r>
        <w:rPr>
          <w:rFonts w:ascii="Garamond" w:hAnsi="Garamond"/>
          <w:sz w:val="22"/>
          <w:szCs w:val="22"/>
        </w:rPr>
        <w:t>clear</w:t>
      </w:r>
      <w:r w:rsidR="00BF0C62">
        <w:rPr>
          <w:rFonts w:ascii="Garamond" w:hAnsi="Garamond"/>
          <w:sz w:val="22"/>
          <w:szCs w:val="22"/>
        </w:rPr>
        <w:t>ly higher</w:t>
      </w:r>
      <w:r>
        <w:rPr>
          <w:rFonts w:ascii="Garamond" w:hAnsi="Garamond"/>
          <w:sz w:val="22"/>
          <w:szCs w:val="22"/>
        </w:rPr>
        <w:t xml:space="preserve"> average protection afforded </w:t>
      </w:r>
      <w:r w:rsidR="0013324E">
        <w:rPr>
          <w:rFonts w:ascii="Garamond" w:hAnsi="Garamond"/>
          <w:sz w:val="22"/>
          <w:szCs w:val="22"/>
        </w:rPr>
        <w:t xml:space="preserve">to upper watershed stocks by the front-end closure, the range of protection values in our dataset is notable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number of stocks afforded that protection depend on the interaction </w:t>
      </w:r>
      <w:r w:rsidR="0013324E">
        <w:rPr>
          <w:rFonts w:ascii="Garamond" w:hAnsi="Garamond"/>
          <w:sz w:val="22"/>
          <w:szCs w:val="22"/>
        </w:rPr>
        <w:lastRenderedPageBreak/>
        <w:t xml:space="preserve">between the run dynamics and the timing of the closure. A more dynamic closure which is flexible based on the timing of the run may provide more consistent protection to upstream stocks. </w:t>
      </w:r>
    </w:p>
    <w:p w14:paraId="2F164875" w14:textId="77777777" w:rsidR="005858F1" w:rsidRDefault="0013324E" w:rsidP="005858F1">
      <w:pPr>
        <w:pStyle w:val="whitespace-normal"/>
        <w:spacing w:line="480" w:lineRule="auto"/>
        <w:ind w:firstLine="720"/>
        <w:rPr>
          <w:rFonts w:ascii="Garamond" w:hAnsi="Garamond"/>
          <w:sz w:val="22"/>
          <w:szCs w:val="22"/>
        </w:rPr>
      </w:pPr>
      <w:r>
        <w:rPr>
          <w:rFonts w:ascii="Garamond" w:hAnsi="Garamond"/>
          <w:sz w:val="22"/>
          <w:szCs w:val="22"/>
        </w:rPr>
        <w:t>In addition to providing a more thorough understanding of the spatiotemporal patterns of returning Chinook salmon in the Kuskokwim-river basin, t</w:t>
      </w:r>
      <w:r w:rsidR="00E671EF" w:rsidRPr="00E671EF">
        <w:rPr>
          <w:rFonts w:ascii="Garamond" w:hAnsi="Garamond"/>
          <w:sz w:val="22"/>
          <w:szCs w:val="22"/>
        </w:rPr>
        <w:t xml:space="preserve">hese results </w:t>
      </w:r>
      <w:r>
        <w:rPr>
          <w:rFonts w:ascii="Garamond" w:hAnsi="Garamond"/>
          <w:sz w:val="22"/>
          <w:szCs w:val="22"/>
        </w:rPr>
        <w:t xml:space="preserve">contribute to a body of knowledge on Pacific Salmon ecology in large, free flowing, and relatively pristine river systems. </w:t>
      </w:r>
      <w:r w:rsidR="00065DC6" w:rsidRPr="00065DC6">
        <w:rPr>
          <w:rFonts w:ascii="Garamond" w:hAnsi="Garamond"/>
          <w:sz w:val="22"/>
          <w:szCs w:val="22"/>
        </w:rPr>
        <w:t>The patterns observed in our dataset support both the preliminary understanding of the relationship between return timing and watershed position and the well-established understanding of salmon ecosystem dynamics at annual and sub-annual timescales.</w:t>
      </w:r>
      <w:r>
        <w:rPr>
          <w:rFonts w:ascii="Garamond" w:hAnsi="Garamond"/>
          <w:sz w:val="22"/>
          <w:szCs w:val="22"/>
        </w:rPr>
        <w:t xml:space="preserve"> </w:t>
      </w:r>
      <w:r w:rsidR="00385F28" w:rsidRPr="00385F28">
        <w:rPr>
          <w:rFonts w:ascii="Garamond" w:hAnsi="Garamond"/>
          <w:sz w:val="22"/>
          <w:szCs w:val="22"/>
        </w:rPr>
        <w:t>Exploring ecosystem-wide patterns at the tributary scale may provide managers with a more complete understanding of ecosystem processes, offering both comprehensive basin-wide insights and fine-scale estimates relevant to localized management decisions</w:t>
      </w:r>
      <w:r w:rsidR="00CD3038">
        <w:rPr>
          <w:rFonts w:ascii="Garamond" w:hAnsi="Garamond"/>
          <w:sz w:val="22"/>
          <w:szCs w:val="22"/>
        </w:rPr>
        <w:t xml:space="preserve">. </w:t>
      </w:r>
      <w:r w:rsidR="00385F28" w:rsidRPr="00385F28">
        <w:rPr>
          <w:rFonts w:ascii="Garamond" w:hAnsi="Garamond"/>
          <w:sz w:val="22"/>
          <w:szCs w:val="22"/>
        </w:rPr>
        <w:t xml:space="preserve">While otolith-based methods used in this study have not been explicitly validated for the Kuskokwim River Basin, they have demonstrated high assignment accuracy for Pacific salmon in similar Alaska watersheds. These methods do contain some limitations for large-scale implementation in </w:t>
      </w:r>
      <w:r w:rsidR="005858F1" w:rsidRPr="00385F28">
        <w:rPr>
          <w:rFonts w:ascii="Garamond" w:hAnsi="Garamond"/>
          <w:sz w:val="22"/>
          <w:szCs w:val="22"/>
        </w:rPr>
        <w:t>management;</w:t>
      </w:r>
      <w:r w:rsidR="00385F28" w:rsidRPr="00385F28">
        <w:rPr>
          <w:rFonts w:ascii="Garamond" w:hAnsi="Garamond"/>
          <w:sz w:val="22"/>
          <w:szCs w:val="22"/>
        </w:rPr>
        <w:t xml:space="preserve"> most notably significant turnaround time compared to genetics-based techniques and the potential for assignment error due to limitations in isotopic heterogeneity. </w:t>
      </w:r>
      <w:r w:rsidR="005858F1" w:rsidRPr="005858F1">
        <w:rPr>
          <w:rFonts w:ascii="Garamond" w:hAnsi="Garamond"/>
          <w:sz w:val="22"/>
          <w:szCs w:val="22"/>
        </w:rPr>
        <w:t>Despite these limitations, otolith microchemistry remains well-suited for exploring spatial patterns across large, remote watersheds where e</w:t>
      </w:r>
      <w:r w:rsidR="005858F1">
        <w:rPr>
          <w:rFonts w:ascii="Garamond" w:hAnsi="Garamond"/>
          <w:sz w:val="22"/>
          <w:szCs w:val="22"/>
        </w:rPr>
        <w:t>xtensive</w:t>
      </w:r>
      <w:r w:rsidR="005858F1" w:rsidRPr="005858F1">
        <w:rPr>
          <w:rFonts w:ascii="Garamond" w:hAnsi="Garamond"/>
          <w:sz w:val="22"/>
          <w:szCs w:val="22"/>
        </w:rPr>
        <w:t xml:space="preserve"> </w:t>
      </w:r>
      <w:r w:rsidR="005858F1" w:rsidRPr="005858F1">
        <w:rPr>
          <w:rFonts w:ascii="Garamond" w:hAnsi="Garamond"/>
          <w:sz w:val="22"/>
          <w:szCs w:val="22"/>
        </w:rPr>
        <w:t>monitoring</w:t>
      </w:r>
      <w:r w:rsidR="005858F1" w:rsidRPr="005858F1">
        <w:rPr>
          <w:rFonts w:ascii="Garamond" w:hAnsi="Garamond"/>
          <w:sz w:val="22"/>
          <w:szCs w:val="22"/>
        </w:rPr>
        <w:t xml:space="preserve"> programs </w:t>
      </w:r>
      <w:r w:rsidR="005858F1">
        <w:rPr>
          <w:rFonts w:ascii="Garamond" w:hAnsi="Garamond"/>
          <w:sz w:val="22"/>
          <w:szCs w:val="22"/>
        </w:rPr>
        <w:t>are</w:t>
      </w:r>
      <w:r w:rsidR="005858F1" w:rsidRPr="005858F1">
        <w:rPr>
          <w:rFonts w:ascii="Garamond" w:hAnsi="Garamond"/>
          <w:sz w:val="22"/>
          <w:szCs w:val="22"/>
        </w:rPr>
        <w:t xml:space="preserve"> impractical, and provides the unique advantage of retrospective analysis through archived samples</w:t>
      </w:r>
    </w:p>
    <w:p w14:paraId="6B9C8693" w14:textId="37BC98E4" w:rsidR="0013324E" w:rsidRDefault="001430A9" w:rsidP="005858F1">
      <w:pPr>
        <w:pStyle w:val="whitespace-normal"/>
        <w:spacing w:line="480" w:lineRule="auto"/>
        <w:ind w:firstLine="720"/>
        <w:rPr>
          <w:rFonts w:ascii="Garamond" w:hAnsi="Garamond"/>
          <w:sz w:val="22"/>
          <w:szCs w:val="22"/>
        </w:rPr>
      </w:pPr>
      <w:r w:rsidRPr="001430A9">
        <w:rPr>
          <w:rFonts w:ascii="Garamond" w:hAnsi="Garamond"/>
          <w:sz w:val="22"/>
          <w:szCs w:val="22"/>
        </w:rPr>
        <w:t>More broadly, our results underscore the value of exploring ecosystem function and evaluating management strategies at the subpopulation scale, where fine-scale spatial and temporal patterns can reveal underlying biocomplexity that is critical to population resilience. By explicitly incorporating the spatiotemporal dynamics of metapopulations, managers may be better equipped to design conservation strategies that meet human resource needs while safeguarding the ecological diversity and life history variation that underpin healthy, functioning ecosystems</w:t>
      </w:r>
      <w:r>
        <w:rPr>
          <w:rFonts w:ascii="Garamond" w:hAnsi="Garamond"/>
          <w:sz w:val="22"/>
          <w:szCs w:val="22"/>
        </w:rPr>
        <w:t xml:space="preserve">. </w:t>
      </w:r>
      <w:r w:rsidR="005858F1">
        <w:rPr>
          <w:rFonts w:ascii="Garamond" w:hAnsi="Garamond"/>
          <w:sz w:val="22"/>
          <w:szCs w:val="22"/>
        </w:rPr>
        <w:t xml:space="preserve">Given growing global resource needs as well as increased uncertainty of ecosystem processes in a novel climate and under novel management </w:t>
      </w:r>
      <w:r>
        <w:rPr>
          <w:rFonts w:ascii="Garamond" w:hAnsi="Garamond"/>
          <w:sz w:val="22"/>
          <w:szCs w:val="22"/>
        </w:rPr>
        <w:t>regimes,</w:t>
      </w:r>
      <w:r w:rsidR="005858F1">
        <w:rPr>
          <w:rFonts w:ascii="Garamond" w:hAnsi="Garamond"/>
          <w:sz w:val="22"/>
          <w:szCs w:val="22"/>
        </w:rPr>
        <w:t xml:space="preserve"> there is an established and growing need to understand ecosystem processes at multiple spatial and temporal scales</w:t>
      </w:r>
      <w:r>
        <w:rPr>
          <w:rFonts w:ascii="Garamond" w:hAnsi="Garamond"/>
          <w:sz w:val="22"/>
          <w:szCs w:val="22"/>
        </w:rPr>
        <w:t xml:space="preserve">. </w:t>
      </w:r>
      <w:r w:rsidRPr="001430A9">
        <w:rPr>
          <w:rFonts w:ascii="Garamond" w:hAnsi="Garamond"/>
          <w:sz w:val="22"/>
          <w:szCs w:val="22"/>
        </w:rPr>
        <w:lastRenderedPageBreak/>
        <w:t>Doing so is essential not only for detecting shifts in ecosystem function but also for developing adaptive strategies that sustain ecosystem services and support long-term resilience in the face of future uncertainty.</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front end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w:t>
      </w:r>
      <w:r w:rsidRPr="006D1917">
        <w:rPr>
          <w:rFonts w:ascii="Garamond" w:hAnsi="Garamond"/>
          <w:sz w:val="22"/>
          <w:szCs w:val="22"/>
        </w:rPr>
        <w:lastRenderedPageBreak/>
        <w:t>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6"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7"/>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7"/>
      <w:r>
        <w:rPr>
          <w:rStyle w:val="CommentReference"/>
        </w:rPr>
        <w:commentReference w:id="17"/>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4"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7"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94565" w14:textId="77777777" w:rsidR="00793B30" w:rsidRDefault="00793B30">
      <w:pPr>
        <w:spacing w:after="0" w:line="240" w:lineRule="auto"/>
      </w:pPr>
      <w:r>
        <w:separator/>
      </w:r>
    </w:p>
  </w:endnote>
  <w:endnote w:type="continuationSeparator" w:id="0">
    <w:p w14:paraId="20F0A283" w14:textId="77777777" w:rsidR="00793B30" w:rsidRDefault="00793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F3A75" w14:textId="77777777" w:rsidR="00793B30" w:rsidRDefault="00793B30">
      <w:pPr>
        <w:spacing w:after="0" w:line="240" w:lineRule="auto"/>
      </w:pPr>
      <w:r>
        <w:separator/>
      </w:r>
    </w:p>
  </w:footnote>
  <w:footnote w:type="continuationSeparator" w:id="0">
    <w:p w14:paraId="0262B8D7" w14:textId="77777777" w:rsidR="00793B30" w:rsidRDefault="00793B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566CD"/>
    <w:rsid w:val="00060FEB"/>
    <w:rsid w:val="00065DC6"/>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256A0"/>
    <w:rsid w:val="002323C1"/>
    <w:rsid w:val="002549E1"/>
    <w:rsid w:val="0025573D"/>
    <w:rsid w:val="002A3FE3"/>
    <w:rsid w:val="002C1C99"/>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53AE8"/>
    <w:rsid w:val="006617C0"/>
    <w:rsid w:val="00663FC6"/>
    <w:rsid w:val="006762C3"/>
    <w:rsid w:val="00676513"/>
    <w:rsid w:val="00682611"/>
    <w:rsid w:val="00693A39"/>
    <w:rsid w:val="006B418B"/>
    <w:rsid w:val="006D6AEE"/>
    <w:rsid w:val="006E5473"/>
    <w:rsid w:val="007072E7"/>
    <w:rsid w:val="00711069"/>
    <w:rsid w:val="00717B12"/>
    <w:rsid w:val="00724D0B"/>
    <w:rsid w:val="007266BC"/>
    <w:rsid w:val="007555A4"/>
    <w:rsid w:val="007561E4"/>
    <w:rsid w:val="0076034D"/>
    <w:rsid w:val="00780305"/>
    <w:rsid w:val="00793B30"/>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22435"/>
    <w:rsid w:val="00932FBC"/>
    <w:rsid w:val="00966E61"/>
    <w:rsid w:val="00967DC4"/>
    <w:rsid w:val="0097261B"/>
    <w:rsid w:val="0097448D"/>
    <w:rsid w:val="009833DB"/>
    <w:rsid w:val="00983880"/>
    <w:rsid w:val="00986BAC"/>
    <w:rsid w:val="009879FD"/>
    <w:rsid w:val="009C079F"/>
    <w:rsid w:val="009C308C"/>
    <w:rsid w:val="009C42BD"/>
    <w:rsid w:val="009D66DA"/>
    <w:rsid w:val="009F3E36"/>
    <w:rsid w:val="009F7AF2"/>
    <w:rsid w:val="00A005B7"/>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27EC5"/>
    <w:rsid w:val="00B30111"/>
    <w:rsid w:val="00B40601"/>
    <w:rsid w:val="00B50583"/>
    <w:rsid w:val="00B74D8D"/>
    <w:rsid w:val="00B923D2"/>
    <w:rsid w:val="00BB27C2"/>
    <w:rsid w:val="00BB381E"/>
    <w:rsid w:val="00BF0C62"/>
    <w:rsid w:val="00C10AF2"/>
    <w:rsid w:val="00C31CB4"/>
    <w:rsid w:val="00C32D99"/>
    <w:rsid w:val="00C50332"/>
    <w:rsid w:val="00C50733"/>
    <w:rsid w:val="00C6603A"/>
    <w:rsid w:val="00C67240"/>
    <w:rsid w:val="00C83BF2"/>
    <w:rsid w:val="00C93DD5"/>
    <w:rsid w:val="00C95028"/>
    <w:rsid w:val="00C9741A"/>
    <w:rsid w:val="00C97C2C"/>
    <w:rsid w:val="00CA262D"/>
    <w:rsid w:val="00CA7EEC"/>
    <w:rsid w:val="00CB3C24"/>
    <w:rsid w:val="00CD3038"/>
    <w:rsid w:val="00CF03CC"/>
    <w:rsid w:val="00CF45A1"/>
    <w:rsid w:val="00D0546A"/>
    <w:rsid w:val="00D105F1"/>
    <w:rsid w:val="00D149EB"/>
    <w:rsid w:val="00D30A4B"/>
    <w:rsid w:val="00D43F43"/>
    <w:rsid w:val="00D53B0E"/>
    <w:rsid w:val="00D625F2"/>
    <w:rsid w:val="00DA7E79"/>
    <w:rsid w:val="00DC75BB"/>
    <w:rsid w:val="00DD0E6E"/>
    <w:rsid w:val="00DD7574"/>
    <w:rsid w:val="00DE33E0"/>
    <w:rsid w:val="00E10F4A"/>
    <w:rsid w:val="00E20CE9"/>
    <w:rsid w:val="00E212FE"/>
    <w:rsid w:val="00E355B2"/>
    <w:rsid w:val="00E35FA9"/>
    <w:rsid w:val="00E454BB"/>
    <w:rsid w:val="00E671EF"/>
    <w:rsid w:val="00E82AC1"/>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2139</TotalTime>
  <Pages>15</Pages>
  <Words>20426</Words>
  <Characters>116434</Characters>
  <Application>Microsoft Office Word</Application>
  <DocSecurity>0</DocSecurity>
  <Lines>970</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27</cp:revision>
  <dcterms:created xsi:type="dcterms:W3CDTF">2025-07-26T18:19:00Z</dcterms:created>
  <dcterms:modified xsi:type="dcterms:W3CDTF">2025-07-31T18:53:00Z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