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F90BB" w14:textId="77777777" w:rsidR="00CF202D" w:rsidRDefault="00CF202D"/>
    <w:p w14:paraId="3B6B3123" w14:textId="183E8C4D" w:rsidR="00CF202D" w:rsidRDefault="00CF202D">
      <w:r>
        <w:rPr>
          <w:noProof/>
        </w:rPr>
        <w:drawing>
          <wp:inline distT="0" distB="0" distL="0" distR="0" wp14:anchorId="329926DD" wp14:editId="5BFBBA03">
            <wp:extent cx="5943600" cy="4505325"/>
            <wp:effectExtent l="0" t="0" r="0" b="9525"/>
            <wp:docPr id="1577477404" name="Picture 1" descr="A map of a riv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77404" name="Picture 1" descr="A map of a river system&#10;&#10;AI-generated content may be incorrect."/>
                    <pic:cNvPicPr/>
                  </pic:nvPicPr>
                  <pic:blipFill>
                    <a:blip r:embed="rId6"/>
                    <a:stretch>
                      <a:fillRect/>
                    </a:stretch>
                  </pic:blipFill>
                  <pic:spPr>
                    <a:xfrm>
                      <a:off x="0" y="0"/>
                      <a:ext cx="5943600" cy="4505325"/>
                    </a:xfrm>
                    <a:prstGeom prst="rect">
                      <a:avLst/>
                    </a:prstGeom>
                  </pic:spPr>
                </pic:pic>
              </a:graphicData>
            </a:graphic>
          </wp:inline>
        </w:drawing>
      </w:r>
    </w:p>
    <w:p w14:paraId="23387805" w14:textId="7392C11A" w:rsidR="00A27DB1" w:rsidRDefault="00F66A96">
      <w:r w:rsidRPr="00F66A96">
        <w:rPr>
          <w:rFonts w:ascii="Garamond" w:hAnsi="Garamond"/>
          <w:b/>
          <w:bCs/>
        </w:rPr>
        <w:t>Figure 1:</w:t>
      </w:r>
      <w:r>
        <w:t xml:space="preserve"> </w:t>
      </w:r>
      <w:r w:rsidRPr="00F66A96">
        <w:rPr>
          <w:rFonts w:ascii="Garamond" w:hAnsi="Garamond"/>
          <w:sz w:val="22"/>
          <w:szCs w:val="22"/>
        </w:rPr>
        <w:t xml:space="preserve">Strontium </w:t>
      </w:r>
      <w:proofErr w:type="spellStart"/>
      <w:r w:rsidRPr="00F66A96">
        <w:rPr>
          <w:rFonts w:ascii="Garamond" w:hAnsi="Garamond"/>
          <w:sz w:val="22"/>
          <w:szCs w:val="22"/>
        </w:rPr>
        <w:t>isoscape</w:t>
      </w:r>
      <w:proofErr w:type="spellEnd"/>
      <w:r w:rsidRPr="00F66A96">
        <w:rPr>
          <w:rFonts w:ascii="Garamond" w:hAnsi="Garamond"/>
          <w:sz w:val="22"/>
          <w:szCs w:val="22"/>
        </w:rPr>
        <w:t xml:space="preserve"> of the Kuskokwim River basin (will insert bounding box coordinates) displaying the spatial variation in modeled Sr87/Sr86 ratios. Ratios range from .7042 to .7107, with a general trend towards more enriched values at the top of the watershed.</w:t>
      </w:r>
      <w:r>
        <w:t xml:space="preserve"> </w:t>
      </w:r>
    </w:p>
    <w:p w14:paraId="4EAD45E6" w14:textId="77777777" w:rsidR="00A27DB1" w:rsidRDefault="00A27DB1"/>
    <w:p w14:paraId="303178A3" w14:textId="77777777" w:rsidR="00A27DB1" w:rsidRDefault="00A27DB1"/>
    <w:p w14:paraId="643CB1A3" w14:textId="77777777" w:rsidR="00A27DB1" w:rsidRDefault="00A27DB1"/>
    <w:p w14:paraId="12AE20CB" w14:textId="77777777" w:rsidR="00A27DB1" w:rsidRDefault="00A27DB1"/>
    <w:p w14:paraId="7AE9E5C5" w14:textId="77777777" w:rsidR="00A27DB1" w:rsidRDefault="00A27DB1"/>
    <w:p w14:paraId="527287EF" w14:textId="77777777" w:rsidR="00A27DB1" w:rsidRDefault="00A27DB1"/>
    <w:p w14:paraId="712FB4B3" w14:textId="77777777" w:rsidR="00A27DB1" w:rsidRDefault="00A27DB1"/>
    <w:p w14:paraId="7B0870A6" w14:textId="379A5410" w:rsidR="00A27DB1" w:rsidRDefault="00A27DB1">
      <w:r>
        <w:rPr>
          <w:noProof/>
        </w:rPr>
        <w:lastRenderedPageBreak/>
        <w:drawing>
          <wp:inline distT="0" distB="0" distL="0" distR="0" wp14:anchorId="3697CDD8" wp14:editId="22A6AFC7">
            <wp:extent cx="5943600" cy="4593590"/>
            <wp:effectExtent l="0" t="0" r="0" b="0"/>
            <wp:docPr id="4336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7156" name=""/>
                    <pic:cNvPicPr/>
                  </pic:nvPicPr>
                  <pic:blipFill>
                    <a:blip r:embed="rId7"/>
                    <a:stretch>
                      <a:fillRect/>
                    </a:stretch>
                  </pic:blipFill>
                  <pic:spPr>
                    <a:xfrm>
                      <a:off x="0" y="0"/>
                      <a:ext cx="5943600" cy="4593590"/>
                    </a:xfrm>
                    <a:prstGeom prst="rect">
                      <a:avLst/>
                    </a:prstGeom>
                  </pic:spPr>
                </pic:pic>
              </a:graphicData>
            </a:graphic>
          </wp:inline>
        </w:drawing>
      </w:r>
    </w:p>
    <w:p w14:paraId="2A44DCB1" w14:textId="31EA443D" w:rsidR="0073582E" w:rsidRPr="00F66A96" w:rsidRDefault="00F66A96">
      <w:pPr>
        <w:rPr>
          <w:rFonts w:ascii="Garamond" w:hAnsi="Garamond"/>
        </w:rPr>
      </w:pPr>
      <w:r w:rsidRPr="00F66A96">
        <w:rPr>
          <w:rFonts w:ascii="Garamond" w:hAnsi="Garamond"/>
          <w:b/>
          <w:bCs/>
        </w:rPr>
        <w:t>Figure 2:</w:t>
      </w:r>
      <w:r w:rsidRPr="00F66A96">
        <w:rPr>
          <w:rFonts w:ascii="Garamond" w:hAnsi="Garamond"/>
        </w:rPr>
        <w:t xml:space="preserve"> Tributaries included in each management unit, derived by selecting the upstream reaches of several identified rivers of management interest to the Alaska Department of Fish and Game. Several manually selected units were added to reach full coverage of the basin. </w:t>
      </w:r>
    </w:p>
    <w:p w14:paraId="685305E4" w14:textId="77777777" w:rsidR="00977BB9" w:rsidRDefault="00977BB9"/>
    <w:p w14:paraId="68EBA22A" w14:textId="77777777" w:rsidR="00977BB9" w:rsidRDefault="00977BB9"/>
    <w:p w14:paraId="018ECC2F" w14:textId="77777777" w:rsidR="00977BB9" w:rsidRDefault="00977BB9"/>
    <w:p w14:paraId="39E89D23" w14:textId="77777777" w:rsidR="00977BB9" w:rsidRDefault="00977BB9"/>
    <w:p w14:paraId="75E840BB" w14:textId="77777777" w:rsidR="00977BB9" w:rsidRDefault="00977BB9"/>
    <w:p w14:paraId="58AE72F3" w14:textId="77777777" w:rsidR="00977BB9" w:rsidRDefault="00977BB9"/>
    <w:p w14:paraId="4595220B" w14:textId="77777777" w:rsidR="00977BB9" w:rsidRDefault="00977BB9"/>
    <w:p w14:paraId="31CD0949" w14:textId="77777777" w:rsidR="00977BB9" w:rsidRDefault="00977BB9"/>
    <w:p w14:paraId="0E9A74BD" w14:textId="77777777" w:rsidR="00E24311" w:rsidRDefault="00E24311"/>
    <w:p w14:paraId="4FCC2968" w14:textId="466E35AA" w:rsidR="00E20D32" w:rsidRDefault="00E20D32">
      <w:pPr>
        <w:rPr>
          <w:noProof/>
        </w:rPr>
      </w:pPr>
    </w:p>
    <w:p w14:paraId="3B33446F" w14:textId="693025CE" w:rsidR="00977BB9" w:rsidRDefault="00977BB9"/>
    <w:p w14:paraId="111647EB" w14:textId="4B8EA4E0" w:rsidR="0085236A" w:rsidRDefault="0085236A">
      <w:pPr>
        <w:rPr>
          <w:rFonts w:ascii="Garamond" w:hAnsi="Garamond"/>
          <w:b/>
          <w:bCs/>
          <w:sz w:val="22"/>
          <w:szCs w:val="22"/>
        </w:rPr>
      </w:pPr>
    </w:p>
    <w:p w14:paraId="721F8AA0" w14:textId="01EFFB59" w:rsidR="0085236A" w:rsidRPr="0085236A" w:rsidRDefault="0085236A" w:rsidP="0085236A">
      <w:pPr>
        <w:rPr>
          <w:rFonts w:ascii="Garamond" w:hAnsi="Garamond"/>
          <w:sz w:val="22"/>
          <w:szCs w:val="22"/>
        </w:rPr>
      </w:pPr>
    </w:p>
    <w:p w14:paraId="4CA30733" w14:textId="2E7A6A94" w:rsidR="0085236A" w:rsidRPr="0085236A" w:rsidRDefault="0085236A" w:rsidP="0085236A">
      <w:pPr>
        <w:rPr>
          <w:rFonts w:ascii="Garamond" w:hAnsi="Garamond"/>
          <w:sz w:val="22"/>
          <w:szCs w:val="22"/>
        </w:rPr>
      </w:pPr>
    </w:p>
    <w:p w14:paraId="3C275B6F" w14:textId="795A9E0A" w:rsidR="0085236A" w:rsidRPr="0085236A" w:rsidRDefault="0085236A" w:rsidP="0085236A">
      <w:pPr>
        <w:rPr>
          <w:rFonts w:ascii="Garamond" w:hAnsi="Garamond"/>
          <w:sz w:val="22"/>
          <w:szCs w:val="22"/>
        </w:rPr>
      </w:pPr>
    </w:p>
    <w:p w14:paraId="04017387" w14:textId="43A929DB" w:rsidR="0085236A" w:rsidRPr="0085236A" w:rsidRDefault="0085236A" w:rsidP="0085236A">
      <w:pPr>
        <w:rPr>
          <w:rFonts w:ascii="Garamond" w:hAnsi="Garamond"/>
          <w:sz w:val="22"/>
          <w:szCs w:val="22"/>
        </w:rPr>
      </w:pPr>
    </w:p>
    <w:p w14:paraId="5D7E2099" w14:textId="20C01584" w:rsidR="0085236A" w:rsidRPr="0085236A" w:rsidRDefault="0085236A" w:rsidP="0085236A">
      <w:pPr>
        <w:rPr>
          <w:rFonts w:ascii="Garamond" w:hAnsi="Garamond"/>
          <w:sz w:val="22"/>
          <w:szCs w:val="22"/>
        </w:rPr>
      </w:pPr>
    </w:p>
    <w:p w14:paraId="30219FCF" w14:textId="1AE3B557" w:rsidR="0085236A" w:rsidRPr="0085236A" w:rsidRDefault="0085236A" w:rsidP="0085236A">
      <w:pPr>
        <w:rPr>
          <w:rFonts w:ascii="Garamond" w:hAnsi="Garamond"/>
          <w:sz w:val="22"/>
          <w:szCs w:val="22"/>
        </w:rPr>
      </w:pPr>
    </w:p>
    <w:p w14:paraId="372F75DB" w14:textId="58AF7214" w:rsidR="0085236A" w:rsidRPr="0085236A" w:rsidRDefault="0085236A" w:rsidP="0085236A">
      <w:pPr>
        <w:rPr>
          <w:rFonts w:ascii="Garamond" w:hAnsi="Garamond"/>
          <w:sz w:val="22"/>
          <w:szCs w:val="22"/>
        </w:rPr>
      </w:pPr>
    </w:p>
    <w:p w14:paraId="66DF2315" w14:textId="7AE21372" w:rsidR="0085236A" w:rsidRPr="0085236A" w:rsidRDefault="0085236A" w:rsidP="0085236A">
      <w:pPr>
        <w:rPr>
          <w:rFonts w:ascii="Garamond" w:hAnsi="Garamond"/>
          <w:sz w:val="22"/>
          <w:szCs w:val="22"/>
        </w:rPr>
      </w:pPr>
    </w:p>
    <w:p w14:paraId="739D540A" w14:textId="60F8DFD7" w:rsidR="0085236A" w:rsidRPr="0085236A" w:rsidRDefault="0085236A" w:rsidP="0085236A">
      <w:pPr>
        <w:rPr>
          <w:rFonts w:ascii="Garamond" w:hAnsi="Garamond"/>
          <w:sz w:val="22"/>
          <w:szCs w:val="22"/>
        </w:rPr>
      </w:pPr>
    </w:p>
    <w:p w14:paraId="30855287" w14:textId="6D2EE920" w:rsidR="0085236A" w:rsidRPr="0085236A" w:rsidRDefault="0085236A" w:rsidP="0085236A">
      <w:pPr>
        <w:rPr>
          <w:rFonts w:ascii="Garamond" w:hAnsi="Garamond"/>
          <w:sz w:val="22"/>
          <w:szCs w:val="22"/>
        </w:rPr>
      </w:pPr>
    </w:p>
    <w:p w14:paraId="10267B06" w14:textId="7E47D1E4" w:rsidR="0085236A" w:rsidRPr="0085236A" w:rsidRDefault="0085236A" w:rsidP="0085236A">
      <w:pPr>
        <w:rPr>
          <w:rFonts w:ascii="Garamond" w:hAnsi="Garamond"/>
          <w:sz w:val="22"/>
          <w:szCs w:val="22"/>
        </w:rPr>
      </w:pPr>
    </w:p>
    <w:p w14:paraId="4F64EB9E" w14:textId="4B5EF8B2" w:rsidR="0085236A" w:rsidRPr="0085236A" w:rsidRDefault="0085236A" w:rsidP="0085236A">
      <w:pPr>
        <w:rPr>
          <w:rFonts w:ascii="Garamond" w:hAnsi="Garamond"/>
          <w:sz w:val="22"/>
          <w:szCs w:val="22"/>
        </w:rPr>
      </w:pPr>
    </w:p>
    <w:p w14:paraId="1087FF2E" w14:textId="50F8EC97" w:rsidR="0085236A" w:rsidRDefault="0085236A">
      <w:pPr>
        <w:rPr>
          <w:rFonts w:ascii="Garamond" w:hAnsi="Garamond"/>
          <w:b/>
          <w:bCs/>
          <w:sz w:val="22"/>
          <w:szCs w:val="22"/>
        </w:rPr>
      </w:pPr>
    </w:p>
    <w:p w14:paraId="75BACED4" w14:textId="7AD2E0DF" w:rsidR="00E20D32" w:rsidRDefault="0085236A" w:rsidP="0085236A">
      <w:pPr>
        <w:tabs>
          <w:tab w:val="left" w:pos="2621"/>
        </w:tabs>
        <w:rPr>
          <w:noProof/>
        </w:rPr>
      </w:pPr>
      <w:r>
        <w:rPr>
          <w:rFonts w:ascii="Garamond" w:hAnsi="Garamond"/>
          <w:b/>
          <w:bCs/>
          <w:sz w:val="22"/>
          <w:szCs w:val="22"/>
        </w:rPr>
        <w:tab/>
      </w:r>
    </w:p>
    <w:p w14:paraId="50BA0FC8" w14:textId="5939AE82" w:rsidR="00E20D32" w:rsidRDefault="00E20D32" w:rsidP="0085236A">
      <w:pPr>
        <w:tabs>
          <w:tab w:val="left" w:pos="2621"/>
        </w:tabs>
        <w:rPr>
          <w:noProof/>
        </w:rPr>
      </w:pPr>
    </w:p>
    <w:p w14:paraId="499B05B7" w14:textId="5A2CFC03" w:rsidR="00E20D32" w:rsidRDefault="00E20D32" w:rsidP="0085236A">
      <w:pPr>
        <w:tabs>
          <w:tab w:val="left" w:pos="2621"/>
        </w:tabs>
        <w:rPr>
          <w:noProof/>
        </w:rPr>
      </w:pPr>
    </w:p>
    <w:p w14:paraId="275DA289" w14:textId="77777777" w:rsidR="007F3DD4" w:rsidRDefault="007F3DD4" w:rsidP="0085236A">
      <w:pPr>
        <w:tabs>
          <w:tab w:val="left" w:pos="2621"/>
        </w:tabs>
        <w:rPr>
          <w:noProof/>
        </w:rPr>
      </w:pPr>
    </w:p>
    <w:p w14:paraId="547EBDD9" w14:textId="77777777" w:rsidR="007F3DD4" w:rsidRDefault="007F3DD4" w:rsidP="0085236A">
      <w:pPr>
        <w:tabs>
          <w:tab w:val="left" w:pos="2621"/>
        </w:tabs>
        <w:rPr>
          <w:noProof/>
        </w:rPr>
      </w:pPr>
    </w:p>
    <w:p w14:paraId="6DED9AC8" w14:textId="6F16B084" w:rsidR="00E20D32" w:rsidRDefault="007F3DD4" w:rsidP="0085236A">
      <w:pPr>
        <w:tabs>
          <w:tab w:val="left" w:pos="2621"/>
        </w:tabs>
        <w:rPr>
          <w:noProof/>
        </w:rPr>
      </w:pPr>
      <w:r>
        <w:rPr>
          <w:noProof/>
        </w:rPr>
        <w:lastRenderedPageBreak/>
        <w:drawing>
          <wp:inline distT="0" distB="0" distL="0" distR="0" wp14:anchorId="34888FD1" wp14:editId="1D461E74">
            <wp:extent cx="6288103" cy="2955139"/>
            <wp:effectExtent l="0" t="0" r="0" b="0"/>
            <wp:docPr id="739570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936" t="38434"/>
                    <a:stretch>
                      <a:fillRect/>
                    </a:stretch>
                  </pic:blipFill>
                  <pic:spPr bwMode="auto">
                    <a:xfrm>
                      <a:off x="0" y="0"/>
                      <a:ext cx="6296239" cy="2958963"/>
                    </a:xfrm>
                    <a:prstGeom prst="rect">
                      <a:avLst/>
                    </a:prstGeom>
                    <a:noFill/>
                    <a:ln>
                      <a:noFill/>
                    </a:ln>
                    <a:extLst>
                      <a:ext uri="{53640926-AAD7-44D8-BBD7-CCE9431645EC}">
                        <a14:shadowObscured xmlns:a14="http://schemas.microsoft.com/office/drawing/2010/main"/>
                      </a:ext>
                    </a:extLst>
                  </pic:spPr>
                </pic:pic>
              </a:graphicData>
            </a:graphic>
          </wp:inline>
        </w:drawing>
      </w:r>
    </w:p>
    <w:p w14:paraId="28065481" w14:textId="4D75F322" w:rsidR="00977BB9" w:rsidRPr="007F3DD4" w:rsidRDefault="00E24311" w:rsidP="007F3DD4">
      <w:pPr>
        <w:tabs>
          <w:tab w:val="left" w:pos="2621"/>
        </w:tabs>
        <w:rPr>
          <w:rFonts w:ascii="Garamond" w:hAnsi="Garamond"/>
          <w:b/>
          <w:bCs/>
          <w:sz w:val="22"/>
          <w:szCs w:val="22"/>
        </w:rPr>
      </w:pPr>
      <w:r w:rsidRPr="00E24311">
        <w:rPr>
          <w:rFonts w:ascii="Garamond" w:hAnsi="Garamond"/>
          <w:b/>
          <w:bCs/>
          <w:sz w:val="22"/>
          <w:szCs w:val="22"/>
        </w:rPr>
        <w:t>Figure 3</w:t>
      </w:r>
      <w:r w:rsidRPr="00E24311">
        <w:rPr>
          <w:rFonts w:ascii="Garamond" w:hAnsi="Garamond"/>
          <w:sz w:val="22"/>
          <w:szCs w:val="22"/>
        </w:rPr>
        <w:t xml:space="preserve">: a) Mean contribution of management units for each seasonal quartile of the salmon run. Tributaries with darker colors (closer to red) indicate relatively higher mean proportional contribution to quartile returns. B) boxplots illustrating the range in mean values across all years of the dataset. </w:t>
      </w:r>
    </w:p>
    <w:p w14:paraId="0A2BA260" w14:textId="77777777" w:rsidR="00977BB9" w:rsidRDefault="00977BB9" w:rsidP="00977BB9"/>
    <w:p w14:paraId="08DDEC35" w14:textId="77777777" w:rsidR="00977BB9" w:rsidRDefault="00977BB9" w:rsidP="00977BB9"/>
    <w:p w14:paraId="6640B7A9" w14:textId="77777777" w:rsidR="00977BB9" w:rsidRDefault="00977BB9" w:rsidP="00977BB9"/>
    <w:p w14:paraId="3E2A9956" w14:textId="77777777" w:rsidR="00977BB9" w:rsidRDefault="00977BB9" w:rsidP="00977BB9"/>
    <w:p w14:paraId="2EA26405" w14:textId="77777777" w:rsidR="00977BB9" w:rsidRDefault="00977BB9" w:rsidP="00977BB9"/>
    <w:p w14:paraId="0CC8C0C2" w14:textId="77777777" w:rsidR="00977BB9" w:rsidRDefault="00977BB9" w:rsidP="00977BB9"/>
    <w:p w14:paraId="2DD7DDD9" w14:textId="77777777" w:rsidR="00977BB9" w:rsidRDefault="00977BB9" w:rsidP="00977BB9"/>
    <w:p w14:paraId="71617B06" w14:textId="77777777" w:rsidR="00977BB9" w:rsidRDefault="00977BB9" w:rsidP="00977BB9"/>
    <w:p w14:paraId="3E298A71" w14:textId="77777777" w:rsidR="00977BB9" w:rsidRDefault="00977BB9" w:rsidP="00977BB9"/>
    <w:p w14:paraId="4D25018C" w14:textId="77777777" w:rsidR="00977BB9" w:rsidRDefault="00977BB9" w:rsidP="00977BB9"/>
    <w:p w14:paraId="1F470B1B" w14:textId="77777777" w:rsidR="00977BB9" w:rsidRDefault="00977BB9" w:rsidP="00977BB9"/>
    <w:p w14:paraId="265C0670" w14:textId="77777777" w:rsidR="00977BB9" w:rsidRDefault="00977BB9" w:rsidP="00977BB9"/>
    <w:p w14:paraId="6357BFF2" w14:textId="77777777" w:rsidR="00977BB9" w:rsidRDefault="00977BB9" w:rsidP="00977BB9"/>
    <w:p w14:paraId="1316F12C" w14:textId="77777777" w:rsidR="00977BB9" w:rsidRDefault="00977BB9" w:rsidP="00977BB9"/>
    <w:p w14:paraId="1C69A6EA" w14:textId="77777777" w:rsidR="00977BB9" w:rsidRDefault="00977BB9" w:rsidP="00977BB9"/>
    <w:p w14:paraId="010A5C2E" w14:textId="0471CA47" w:rsidR="00977BB9" w:rsidRDefault="00977BB9" w:rsidP="00977BB9">
      <w:r>
        <w:t xml:space="preserve">Figure 4: </w:t>
      </w:r>
      <w:commentRangeStart w:id="0"/>
      <w:r>
        <w:t>Cumulative</w:t>
      </w:r>
      <w:commentRangeEnd w:id="0"/>
      <w:r w:rsidR="00DC00FF">
        <w:rPr>
          <w:rStyle w:val="CommentReference"/>
        </w:rPr>
        <w:commentReference w:id="0"/>
      </w:r>
      <w:r>
        <w:t xml:space="preserve"> Distribution Plots </w:t>
      </w:r>
    </w:p>
    <w:p w14:paraId="635D59AB" w14:textId="454D4DF1" w:rsidR="00977BB9" w:rsidRDefault="0002376B" w:rsidP="00977BB9">
      <w:pPr>
        <w:rPr>
          <w:rStyle w:val="CommentReference"/>
        </w:rPr>
      </w:pPr>
      <w:r>
        <w:rPr>
          <w:noProof/>
          <w:sz w:val="16"/>
          <w:szCs w:val="16"/>
        </w:rPr>
        <w:drawing>
          <wp:inline distT="0" distB="0" distL="0" distR="0" wp14:anchorId="7B64ADF7" wp14:editId="0ADAE1D4">
            <wp:extent cx="5502729" cy="6878412"/>
            <wp:effectExtent l="0" t="0" r="0" b="5080"/>
            <wp:docPr id="192848830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8302" name="Picture 1" descr="A graph of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56894" cy="6946119"/>
                    </a:xfrm>
                    <a:prstGeom prst="rect">
                      <a:avLst/>
                    </a:prstGeom>
                  </pic:spPr>
                </pic:pic>
              </a:graphicData>
            </a:graphic>
          </wp:inline>
        </w:drawing>
      </w:r>
    </w:p>
    <w:p w14:paraId="0C7F6258" w14:textId="19B737D2" w:rsidR="00E24311" w:rsidRPr="00E24311" w:rsidRDefault="00E24311" w:rsidP="00977BB9">
      <w:pPr>
        <w:rPr>
          <w:rStyle w:val="CommentReference"/>
          <w:rFonts w:ascii="Garamond" w:hAnsi="Garamond"/>
          <w:sz w:val="22"/>
          <w:szCs w:val="22"/>
        </w:rPr>
      </w:pPr>
      <w:r w:rsidRPr="00E24311">
        <w:rPr>
          <w:rStyle w:val="CommentReference"/>
          <w:rFonts w:ascii="Garamond" w:hAnsi="Garamond"/>
          <w:sz w:val="22"/>
          <w:szCs w:val="22"/>
        </w:rPr>
        <w:t xml:space="preserve">Figure 4: Cumulative distributions of returning stocks for each three-day period of the run. Stocks are colored in order of their watershed position, with the furthest upstream stocks in red transitioning towards downstream stocks in blue. </w:t>
      </w:r>
    </w:p>
    <w:p w14:paraId="2FE614D2" w14:textId="1F0F878A" w:rsidR="0002376B" w:rsidRDefault="0002376B" w:rsidP="00977BB9">
      <w:r>
        <w:rPr>
          <w:noProof/>
        </w:rPr>
        <w:lastRenderedPageBreak/>
        <w:drawing>
          <wp:inline distT="0" distB="0" distL="0" distR="0" wp14:anchorId="31CF7FF1" wp14:editId="66B67B0E">
            <wp:extent cx="6743826" cy="4495884"/>
            <wp:effectExtent l="0" t="0" r="0" b="0"/>
            <wp:docPr id="814574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74038" name="Picture 81457403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00595" cy="4533730"/>
                    </a:xfrm>
                    <a:prstGeom prst="rect">
                      <a:avLst/>
                    </a:prstGeom>
                  </pic:spPr>
                </pic:pic>
              </a:graphicData>
            </a:graphic>
          </wp:inline>
        </w:drawing>
      </w:r>
    </w:p>
    <w:p w14:paraId="3CB69DD6" w14:textId="31A914BA" w:rsidR="00977BB9" w:rsidRPr="00A662EC" w:rsidRDefault="00E24311" w:rsidP="00977BB9">
      <w:pPr>
        <w:rPr>
          <w:rFonts w:ascii="Garamond" w:hAnsi="Garamond"/>
          <w:sz w:val="22"/>
          <w:szCs w:val="22"/>
        </w:rPr>
      </w:pPr>
      <w:r w:rsidRPr="00291E84">
        <w:rPr>
          <w:rFonts w:ascii="Garamond" w:hAnsi="Garamond"/>
          <w:b/>
          <w:bCs/>
          <w:sz w:val="22"/>
          <w:szCs w:val="22"/>
        </w:rPr>
        <w:t>Figure 5:</w:t>
      </w:r>
      <w:r w:rsidRPr="00A662EC">
        <w:rPr>
          <w:rFonts w:ascii="Garamond" w:hAnsi="Garamond"/>
          <w:sz w:val="22"/>
          <w:szCs w:val="22"/>
        </w:rPr>
        <w:t xml:space="preserve"> </w:t>
      </w:r>
      <w:r w:rsidR="00A662EC" w:rsidRPr="00A662EC">
        <w:rPr>
          <w:rFonts w:ascii="Garamond" w:hAnsi="Garamond"/>
          <w:sz w:val="22"/>
          <w:szCs w:val="22"/>
        </w:rPr>
        <w:t xml:space="preserve">Range and mean number of days from the beginning </w:t>
      </w:r>
      <w:proofErr w:type="spellStart"/>
      <w:r w:rsidR="00A662EC" w:rsidRPr="00A662EC">
        <w:rPr>
          <w:rFonts w:ascii="Garamond" w:hAnsi="Garamond"/>
          <w:sz w:val="22"/>
          <w:szCs w:val="22"/>
        </w:rPr>
        <w:t>fo</w:t>
      </w:r>
      <w:proofErr w:type="spellEnd"/>
      <w:r w:rsidR="00A662EC" w:rsidRPr="00A662EC">
        <w:rPr>
          <w:rFonts w:ascii="Garamond" w:hAnsi="Garamond"/>
          <w:sz w:val="22"/>
          <w:szCs w:val="22"/>
        </w:rPr>
        <w:t xml:space="preserve"> the run to 50% of total returns by stock. The width of the bar represents the range of values, whereas the black vertical line represents the mean. Bars are colored by their watershed position, with upstream stocks in Red and downstream stocks in blue. </w:t>
      </w:r>
    </w:p>
    <w:p w14:paraId="476135A0" w14:textId="77777777" w:rsidR="00977BB9" w:rsidRDefault="00977BB9" w:rsidP="00977BB9"/>
    <w:p w14:paraId="1A2874C6" w14:textId="77777777" w:rsidR="00B359D6" w:rsidRDefault="00B359D6" w:rsidP="00977BB9"/>
    <w:p w14:paraId="3331E87C" w14:textId="20CC5AFC" w:rsidR="00977BB9" w:rsidRDefault="0042214D" w:rsidP="00977BB9">
      <w:r>
        <w:rPr>
          <w:noProof/>
        </w:rPr>
        <w:lastRenderedPageBreak/>
        <w:drawing>
          <wp:inline distT="0" distB="0" distL="0" distR="0" wp14:anchorId="5ACB3875" wp14:editId="0C482931">
            <wp:extent cx="6002448" cy="4157566"/>
            <wp:effectExtent l="0" t="0" r="5080" b="0"/>
            <wp:docPr id="5621553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55378" name="Picture 1" descr="A graph with different colored lines&#10;&#10;AI-generated content may be incorrect."/>
                    <pic:cNvPicPr/>
                  </pic:nvPicPr>
                  <pic:blipFill rotWithShape="1">
                    <a:blip r:embed="rId15" cstate="print">
                      <a:extLst>
                        <a:ext uri="{28A0092B-C50C-407E-A947-70E740481C1C}">
                          <a14:useLocalDpi xmlns:a14="http://schemas.microsoft.com/office/drawing/2010/main" val="0"/>
                        </a:ext>
                      </a:extLst>
                    </a:blip>
                    <a:srcRect l="5435" t="8025" r="7649" b="7696"/>
                    <a:stretch>
                      <a:fillRect/>
                    </a:stretch>
                  </pic:blipFill>
                  <pic:spPr bwMode="auto">
                    <a:xfrm>
                      <a:off x="0" y="0"/>
                      <a:ext cx="6094474" cy="4221307"/>
                    </a:xfrm>
                    <a:prstGeom prst="rect">
                      <a:avLst/>
                    </a:prstGeom>
                    <a:ln>
                      <a:noFill/>
                    </a:ln>
                    <a:extLst>
                      <a:ext uri="{53640926-AAD7-44D8-BBD7-CCE9431645EC}">
                        <a14:shadowObscured xmlns:a14="http://schemas.microsoft.com/office/drawing/2010/main"/>
                      </a:ext>
                    </a:extLst>
                  </pic:spPr>
                </pic:pic>
              </a:graphicData>
            </a:graphic>
          </wp:inline>
        </w:drawing>
      </w:r>
    </w:p>
    <w:p w14:paraId="5A776F59" w14:textId="3AF9A232" w:rsidR="00291E84" w:rsidRPr="00291E84" w:rsidRDefault="00291E84" w:rsidP="00977BB9">
      <w:pPr>
        <w:rPr>
          <w:rFonts w:ascii="Garamond" w:hAnsi="Garamond"/>
          <w:sz w:val="22"/>
          <w:szCs w:val="22"/>
        </w:rPr>
      </w:pPr>
      <w:r w:rsidRPr="00291E84">
        <w:rPr>
          <w:rFonts w:ascii="Garamond" w:hAnsi="Garamond"/>
          <w:sz w:val="22"/>
          <w:szCs w:val="22"/>
        </w:rPr>
        <w:t>Figure 6: The range of proportional protection offered by the front-end closure ending on June 11</w:t>
      </w:r>
      <w:r w:rsidRPr="00291E84">
        <w:rPr>
          <w:rFonts w:ascii="Garamond" w:hAnsi="Garamond"/>
          <w:sz w:val="22"/>
          <w:szCs w:val="22"/>
          <w:vertAlign w:val="superscript"/>
        </w:rPr>
        <w:t>th</w:t>
      </w:r>
      <w:r w:rsidRPr="00291E84">
        <w:rPr>
          <w:rFonts w:ascii="Garamond" w:hAnsi="Garamond"/>
          <w:sz w:val="22"/>
          <w:szCs w:val="22"/>
        </w:rPr>
        <w:t xml:space="preserve">. White circles indicate the mean, whereas violin plots illustrate the range of values across all years by stock. </w:t>
      </w:r>
    </w:p>
    <w:p w14:paraId="5E46F366" w14:textId="77777777" w:rsidR="00291E84" w:rsidRDefault="00291E84" w:rsidP="00977BB9"/>
    <w:sectPr w:rsidR="00291E8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07-17T14:10:00Z" w:initials="DS">
    <w:p w14:paraId="5D59A14B" w14:textId="77777777" w:rsidR="00DC00FF" w:rsidRDefault="00DC00FF" w:rsidP="00DC00FF">
      <w:pPr>
        <w:pStyle w:val="CommentText"/>
      </w:pPr>
      <w:r>
        <w:rPr>
          <w:rStyle w:val="CommentReference"/>
        </w:rPr>
        <w:annotationRef/>
      </w:r>
      <w:r>
        <w:t>Discussion point is that the effectiveness of the front end closure depends both on run timing but also run compression. Eg 2017 was late but extended. 2019 was early but compressed.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59A1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DF08E" w16cex:dateUtc="2025-07-17T2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59A14B" w16cid:durableId="33BDF08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61F0E" w14:textId="77777777" w:rsidR="00F24C3D" w:rsidRDefault="00F24C3D" w:rsidP="00E24311">
      <w:pPr>
        <w:spacing w:after="0" w:line="240" w:lineRule="auto"/>
      </w:pPr>
      <w:r>
        <w:separator/>
      </w:r>
    </w:p>
  </w:endnote>
  <w:endnote w:type="continuationSeparator" w:id="0">
    <w:p w14:paraId="2E5C325C" w14:textId="77777777" w:rsidR="00F24C3D" w:rsidRDefault="00F24C3D" w:rsidP="00E243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22BC3" w14:textId="77777777" w:rsidR="00F24C3D" w:rsidRDefault="00F24C3D" w:rsidP="00E24311">
      <w:pPr>
        <w:spacing w:after="0" w:line="240" w:lineRule="auto"/>
      </w:pPr>
      <w:r>
        <w:separator/>
      </w:r>
    </w:p>
  </w:footnote>
  <w:footnote w:type="continuationSeparator" w:id="0">
    <w:p w14:paraId="74E086B8" w14:textId="77777777" w:rsidR="00F24C3D" w:rsidRDefault="00F24C3D" w:rsidP="00E24311">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8AC"/>
    <w:rsid w:val="0002376B"/>
    <w:rsid w:val="000B7514"/>
    <w:rsid w:val="00112ED8"/>
    <w:rsid w:val="0019626D"/>
    <w:rsid w:val="002323C1"/>
    <w:rsid w:val="00291E84"/>
    <w:rsid w:val="0042214D"/>
    <w:rsid w:val="004D22B8"/>
    <w:rsid w:val="004D6874"/>
    <w:rsid w:val="0059082A"/>
    <w:rsid w:val="00627BAB"/>
    <w:rsid w:val="0073582E"/>
    <w:rsid w:val="00754A39"/>
    <w:rsid w:val="0076034D"/>
    <w:rsid w:val="007F3DD4"/>
    <w:rsid w:val="0085236A"/>
    <w:rsid w:val="0087606A"/>
    <w:rsid w:val="008D0E28"/>
    <w:rsid w:val="008E2D39"/>
    <w:rsid w:val="00977BB9"/>
    <w:rsid w:val="009879FD"/>
    <w:rsid w:val="00A27DB1"/>
    <w:rsid w:val="00A662EC"/>
    <w:rsid w:val="00B359D6"/>
    <w:rsid w:val="00B923D2"/>
    <w:rsid w:val="00B97F71"/>
    <w:rsid w:val="00CC08AC"/>
    <w:rsid w:val="00CF202D"/>
    <w:rsid w:val="00CF720A"/>
    <w:rsid w:val="00D47CF5"/>
    <w:rsid w:val="00DC00FF"/>
    <w:rsid w:val="00DD0CAE"/>
    <w:rsid w:val="00DD7012"/>
    <w:rsid w:val="00E20D32"/>
    <w:rsid w:val="00E24311"/>
    <w:rsid w:val="00ED67B9"/>
    <w:rsid w:val="00F24C3D"/>
    <w:rsid w:val="00F66A96"/>
    <w:rsid w:val="00FA2B35"/>
    <w:rsid w:val="00FA4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57B8D"/>
  <w15:chartTrackingRefBased/>
  <w15:docId w15:val="{6F494F9C-622D-4E71-9A1F-687E62DD2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8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8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8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8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8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8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8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8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8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8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8AC"/>
    <w:rPr>
      <w:rFonts w:eastAsiaTheme="majorEastAsia" w:cstheme="majorBidi"/>
      <w:color w:val="272727" w:themeColor="text1" w:themeTint="D8"/>
    </w:rPr>
  </w:style>
  <w:style w:type="paragraph" w:styleId="Title">
    <w:name w:val="Title"/>
    <w:basedOn w:val="Normal"/>
    <w:next w:val="Normal"/>
    <w:link w:val="TitleChar"/>
    <w:uiPriority w:val="10"/>
    <w:qFormat/>
    <w:rsid w:val="00CC0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8AC"/>
    <w:pPr>
      <w:spacing w:before="160"/>
      <w:jc w:val="center"/>
    </w:pPr>
    <w:rPr>
      <w:i/>
      <w:iCs/>
      <w:color w:val="404040" w:themeColor="text1" w:themeTint="BF"/>
    </w:rPr>
  </w:style>
  <w:style w:type="character" w:customStyle="1" w:styleId="QuoteChar">
    <w:name w:val="Quote Char"/>
    <w:basedOn w:val="DefaultParagraphFont"/>
    <w:link w:val="Quote"/>
    <w:uiPriority w:val="29"/>
    <w:rsid w:val="00CC08AC"/>
    <w:rPr>
      <w:i/>
      <w:iCs/>
      <w:color w:val="404040" w:themeColor="text1" w:themeTint="BF"/>
    </w:rPr>
  </w:style>
  <w:style w:type="paragraph" w:styleId="ListParagraph">
    <w:name w:val="List Paragraph"/>
    <w:basedOn w:val="Normal"/>
    <w:uiPriority w:val="34"/>
    <w:qFormat/>
    <w:rsid w:val="00CC08AC"/>
    <w:pPr>
      <w:ind w:left="720"/>
      <w:contextualSpacing/>
    </w:pPr>
  </w:style>
  <w:style w:type="character" w:styleId="IntenseEmphasis">
    <w:name w:val="Intense Emphasis"/>
    <w:basedOn w:val="DefaultParagraphFont"/>
    <w:uiPriority w:val="21"/>
    <w:qFormat/>
    <w:rsid w:val="00CC08AC"/>
    <w:rPr>
      <w:i/>
      <w:iCs/>
      <w:color w:val="0F4761" w:themeColor="accent1" w:themeShade="BF"/>
    </w:rPr>
  </w:style>
  <w:style w:type="paragraph" w:styleId="IntenseQuote">
    <w:name w:val="Intense Quote"/>
    <w:basedOn w:val="Normal"/>
    <w:next w:val="Normal"/>
    <w:link w:val="IntenseQuoteChar"/>
    <w:uiPriority w:val="30"/>
    <w:qFormat/>
    <w:rsid w:val="00CC08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8AC"/>
    <w:rPr>
      <w:i/>
      <w:iCs/>
      <w:color w:val="0F4761" w:themeColor="accent1" w:themeShade="BF"/>
    </w:rPr>
  </w:style>
  <w:style w:type="character" w:styleId="IntenseReference">
    <w:name w:val="Intense Reference"/>
    <w:basedOn w:val="DefaultParagraphFont"/>
    <w:uiPriority w:val="32"/>
    <w:qFormat/>
    <w:rsid w:val="00CC08AC"/>
    <w:rPr>
      <w:b/>
      <w:bCs/>
      <w:smallCaps/>
      <w:color w:val="0F4761" w:themeColor="accent1" w:themeShade="BF"/>
      <w:spacing w:val="5"/>
    </w:rPr>
  </w:style>
  <w:style w:type="character" w:styleId="CommentReference">
    <w:name w:val="annotation reference"/>
    <w:basedOn w:val="DefaultParagraphFont"/>
    <w:uiPriority w:val="99"/>
    <w:semiHidden/>
    <w:unhideWhenUsed/>
    <w:rsid w:val="00FA2B35"/>
    <w:rPr>
      <w:sz w:val="16"/>
      <w:szCs w:val="16"/>
    </w:rPr>
  </w:style>
  <w:style w:type="paragraph" w:styleId="CommentText">
    <w:name w:val="annotation text"/>
    <w:basedOn w:val="Normal"/>
    <w:link w:val="CommentTextChar"/>
    <w:uiPriority w:val="99"/>
    <w:unhideWhenUsed/>
    <w:rsid w:val="00FA2B35"/>
    <w:pPr>
      <w:spacing w:line="240" w:lineRule="auto"/>
    </w:pPr>
    <w:rPr>
      <w:sz w:val="20"/>
      <w:szCs w:val="20"/>
    </w:rPr>
  </w:style>
  <w:style w:type="character" w:customStyle="1" w:styleId="CommentTextChar">
    <w:name w:val="Comment Text Char"/>
    <w:basedOn w:val="DefaultParagraphFont"/>
    <w:link w:val="CommentText"/>
    <w:uiPriority w:val="99"/>
    <w:rsid w:val="00FA2B35"/>
    <w:rPr>
      <w:sz w:val="20"/>
      <w:szCs w:val="20"/>
    </w:rPr>
  </w:style>
  <w:style w:type="paragraph" w:styleId="CommentSubject">
    <w:name w:val="annotation subject"/>
    <w:basedOn w:val="CommentText"/>
    <w:next w:val="CommentText"/>
    <w:link w:val="CommentSubjectChar"/>
    <w:uiPriority w:val="99"/>
    <w:semiHidden/>
    <w:unhideWhenUsed/>
    <w:rsid w:val="00FA2B35"/>
    <w:rPr>
      <w:b/>
      <w:bCs/>
    </w:rPr>
  </w:style>
  <w:style w:type="character" w:customStyle="1" w:styleId="CommentSubjectChar">
    <w:name w:val="Comment Subject Char"/>
    <w:basedOn w:val="CommentTextChar"/>
    <w:link w:val="CommentSubject"/>
    <w:uiPriority w:val="99"/>
    <w:semiHidden/>
    <w:rsid w:val="00FA2B35"/>
    <w:rPr>
      <w:b/>
      <w:bCs/>
      <w:sz w:val="20"/>
      <w:szCs w:val="20"/>
    </w:rPr>
  </w:style>
  <w:style w:type="paragraph" w:styleId="Header">
    <w:name w:val="header"/>
    <w:basedOn w:val="Normal"/>
    <w:link w:val="HeaderChar"/>
    <w:uiPriority w:val="99"/>
    <w:unhideWhenUsed/>
    <w:rsid w:val="00E243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4311"/>
  </w:style>
  <w:style w:type="paragraph" w:styleId="Footer">
    <w:name w:val="footer"/>
    <w:basedOn w:val="Normal"/>
    <w:link w:val="FooterChar"/>
    <w:uiPriority w:val="99"/>
    <w:unhideWhenUsed/>
    <w:rsid w:val="00E243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43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microsoft.com/office/2016/09/relationships/commentsIds" Target="commentsIds.xml"/><Relationship Id="rId5" Type="http://schemas.openxmlformats.org/officeDocument/2006/relationships/endnotes" Target="endnotes.xml"/><Relationship Id="rId15" Type="http://schemas.openxmlformats.org/officeDocument/2006/relationships/image" Target="media/image6.png"/><Relationship Id="rId10" Type="http://schemas.microsoft.com/office/2011/relationships/commentsExtended" Target="commentsExtended.xml"/><Relationship Id="rId4" Type="http://schemas.openxmlformats.org/officeDocument/2006/relationships/footnotes" Target="footnotes.xml"/><Relationship Id="rId9" Type="http://schemas.openxmlformats.org/officeDocument/2006/relationships/comments" Target="comment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7</Pages>
  <Words>259</Words>
  <Characters>1477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14</cp:revision>
  <dcterms:created xsi:type="dcterms:W3CDTF">2025-07-26T18:20:00Z</dcterms:created>
  <dcterms:modified xsi:type="dcterms:W3CDTF">2025-09-01T19:49:00Z</dcterms:modified>
</cp:coreProperties>
</file>