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4635" w14:textId="77777777" w:rsidR="00042ED8" w:rsidRDefault="00042ED8" w:rsidP="00CE7CBF">
      <w:pPr>
        <w:spacing w:line="360" w:lineRule="auto"/>
        <w:rPr>
          <w:rFonts w:ascii="Garamond" w:hAnsi="Garamond"/>
          <w:sz w:val="36"/>
          <w:szCs w:val="36"/>
        </w:rPr>
      </w:pPr>
    </w:p>
    <w:p w14:paraId="6E4DA7ED" w14:textId="45A6A037" w:rsidR="00907410" w:rsidRPr="002C2367" w:rsidRDefault="00045FA5" w:rsidP="001458A1">
      <w:pPr>
        <w:spacing w:line="360" w:lineRule="auto"/>
        <w:jc w:val="center"/>
        <w:rPr>
          <w:rFonts w:ascii="Garamond" w:hAnsi="Garamond"/>
          <w:b/>
          <w:bCs/>
          <w:sz w:val="32"/>
          <w:szCs w:val="32"/>
        </w:rPr>
      </w:pPr>
      <w:r w:rsidRPr="002C2367">
        <w:rPr>
          <w:rFonts w:ascii="Garamond" w:hAnsi="Garamond"/>
          <w:b/>
          <w:bCs/>
          <w:sz w:val="32"/>
          <w:szCs w:val="32"/>
        </w:rPr>
        <w:t>Shifting Habitat Mosaics in Alaska’s largest river basins</w:t>
      </w:r>
    </w:p>
    <w:p w14:paraId="0E46E2C9" w14:textId="2C8D2B71" w:rsidR="00045FA5" w:rsidRPr="001A5573" w:rsidRDefault="00045FA5" w:rsidP="001458A1">
      <w:pPr>
        <w:spacing w:line="360" w:lineRule="auto"/>
        <w:jc w:val="center"/>
        <w:rPr>
          <w:rFonts w:ascii="Garamond" w:hAnsi="Garamond"/>
        </w:rPr>
      </w:pPr>
      <w:r w:rsidRPr="001A5573">
        <w:rPr>
          <w:rFonts w:ascii="Garamond" w:hAnsi="Garamond"/>
        </w:rPr>
        <w:t>Ben Makhlouf, Daniel E. Schindler, Timothy J Cline</w:t>
      </w:r>
    </w:p>
    <w:p w14:paraId="4F360937" w14:textId="77777777" w:rsidR="00886C2E" w:rsidRPr="001A5573" w:rsidRDefault="00886C2E" w:rsidP="001458A1">
      <w:pPr>
        <w:spacing w:line="360" w:lineRule="auto"/>
        <w:rPr>
          <w:rFonts w:ascii="Garamond" w:hAnsi="Garamond"/>
          <w:b/>
          <w:bCs/>
        </w:rPr>
      </w:pPr>
    </w:p>
    <w:p w14:paraId="0EE8FD8A" w14:textId="341D366D" w:rsidR="00B73D94" w:rsidRPr="001A5573" w:rsidRDefault="00045FA5" w:rsidP="001458A1">
      <w:pPr>
        <w:spacing w:line="360" w:lineRule="auto"/>
        <w:rPr>
          <w:rFonts w:ascii="Garamond" w:hAnsi="Garamond"/>
          <w:b/>
          <w:bCs/>
          <w:u w:val="single"/>
        </w:rPr>
      </w:pPr>
      <w:r w:rsidRPr="001A5573">
        <w:rPr>
          <w:rFonts w:ascii="Garamond" w:hAnsi="Garamond"/>
          <w:b/>
          <w:bCs/>
          <w:u w:val="single"/>
        </w:rPr>
        <w:t xml:space="preserve">Introduction: </w:t>
      </w:r>
    </w:p>
    <w:p w14:paraId="31CC347A" w14:textId="77777777" w:rsidR="009E4F87" w:rsidRDefault="00210847" w:rsidP="00936073">
      <w:pPr>
        <w:pStyle w:val="font-claude-response-body"/>
        <w:spacing w:line="360" w:lineRule="auto"/>
        <w:ind w:firstLine="360"/>
        <w:rPr>
          <w:rFonts w:ascii="Garamond" w:hAnsi="Garamond"/>
        </w:rPr>
      </w:pPr>
      <w:r w:rsidRPr="001A5573">
        <w:rPr>
          <w:rFonts w:ascii="Garamond" w:hAnsi="Garamond"/>
        </w:rPr>
        <w:t>Effective restoration of aquatic ecosystems depends on a clear understanding of the ecological processes that sustain healthy, intact systems</w:t>
      </w:r>
      <w:r w:rsidR="008E4157">
        <w:rPr>
          <w:rFonts w:ascii="Garamond" w:hAnsi="Garamond"/>
        </w:rPr>
        <w:t xml:space="preserve"> </w:t>
      </w:r>
      <w:r w:rsidR="00166559">
        <w:rPr>
          <w:rFonts w:ascii="Garamond" w:hAnsi="Garamond"/>
        </w:rPr>
        <w:fldChar w:fldCharType="begin"/>
      </w:r>
      <w:r w:rsidR="00C92E33">
        <w:rPr>
          <w:rFonts w:ascii="Garamond" w:hAnsi="Garamond"/>
        </w:rPr>
        <w:instrText xml:space="preserve"> ADDIN ZOTERO_ITEM CSL_CITATION {"citationID":"qPxuaRiG","properties":{"formattedCitation":"(Jackson &amp; Hobbs, 2009; Menden-Deuer et al., 2023; Schoen et al., 2017; Wang et al., 2021)","plainCitation":"(Jackson &amp; Hobbs, 2009; Menden-Deuer et al., 2023; Schoen et al., 2017; Wang et al., 2021)","noteIndex":0},"citationItems":[{"id":6027,"uris":["http://zotero.org/users/8421274/items/QP3NBY2P"],"itemData":{"id":6027,"type":"article-journal","abstract":"Ecological history plays many roles in ecological restoration, most notably as a tool to identify and characterize appropriate targets for restoration efforts. However, ecological history also reveals deep human imprints on many ecological systems and indicates that secular climate change has kept many targets moving at centennial to millennial time scales. Past and ongoing environmental changes ensure that many historical restoration targets will be unsustainable in the coming decades. Ecological restoration efforts should aim to conserve and restore historical ecosystems where viable, while simultaneously preparing to design or steer emerging novel ecosystems to ensure maintenance of ecological goods and services.","container-title":"Science","DOI":"10.1126/science.1172977","issue":"5940","note":"publisher: American Association for the Advancement of Science","page":"567-569","source":"science.org (Atypon)","title":"Ecological Restoration in the Light of Ecological History","volume":"325","author":[{"family":"Jackson","given":"Stephen T."},{"family":"Hobbs","given":"Richard J."}],"issued":{"date-parts":[["2009",7,31]]}}},{"id":6032,"uris":["http://zotero.org/users/8421274/items/CCV5QFSN"],"itemData":{"id":6032,"type":"article-journal","abstract":"Climate-change is rapidly and intensively altering aquatic communities and habitats. While previous work has focused on direct effects of potential drivers, indirect and interactive effects on organisms and ecosystems have received less attention. Here, we give an overview of contributions to a special issue in Limnology and Oceanography that addresses this knowledge gap. Contributions covered diverse habitats, from polar to tropical regions, alpine streams to coral reefs. Several studies relied on time-series to identify indirect effects, thus emphasizing our need to maintain high-quality time-series data. Time-series are particularly crucial now that the pace of climate-change on aquatic-ecosystems is accelerating. Another common theme is the role of species-specific characteristics in physiology, behavior or genetics in aquatic ecosystem function. The addition of inter- and intra-specific variability to investigations of climate-change may be challenging particularly since ecosystem studies typically involve a large parameter space of environmental and biological variables across spatial and temporal scales. However, the results demonstrate that inclusion of species-specific dynamics, although challenging, can deliver mechanistic insights into aquatic ecosystem patterns and processes. Some contributions leverage habitat changes from disturbances or climate shifts to document capacity for resilience or recovery of pelagic and benthic communities. Jointly, the results in this special issue document fruitful approaches and provide urgent information needed for deciphering aquatic ecosystem responses to climate forcings. This information is foundational if we wish to tackle the combined effects of climate change and other human impacts with maximum efficacy and minimize unintended consequences for biodiversity and ecosystem functioning.","container-title":"Limnology and Oceanography","DOI":"10.1002/lno.12384","ISSN":"1939-5590","issue":"S1","language":"en","license":"© 2023 Association for the Sciences of Limnology and Oceanography.","note":"_eprint: https://aslopubs.onlinelibrary.wiley.com/doi/pdf/10.1002/lno.12384","page":"S1-S7","source":"Wiley Online Library","title":"Cascading, interactive, and indirect effects of climate change on aquatic communities, habitats, and ecosystems","volume":"68","author":[{"family":"Menden-Deuer","given":"Susanne"},{"family":"Mullarney","given":"Julia C."},{"family":"Boersma","given":"Maarten"},{"family":"Grossart","given":"Hans-Peter"},{"family":"Sponseller","given":"Ryan"},{"family":"Woodin","given":"Sarah Ann"}],"issued":{"date-parts":[["2023"]]}}},{"id":6051,"uris":["http://zotero.org/users/8421274/items/UPNXXHTQ"],"itemData":{"id":6051,"type":"article-journal","abstract":"Pacific salmon Oncorhynchus spp. face serious challenges from climate and landscape change, particularly in the southern portion of their native range. Conversely, climate warming appears to be allowing salmon to expand northwards into the Arctic. Between these geographic extremes, in the Gulf of Alaska region, salmon are at historically high abundances but face an uncertain future due to rapid environmental change. We examined changes in climate, hydrology, land cover, salmon populations, and fisheries over the past 30–70 years in this region. We focused on the Kenai River, which supports world-famous fisheries but where Chinook Salmon O. tshawytscha populations have declined, raising concerns about their future resilience. The region is warming and experiencing drier summers and wetter autumns. The landscape is also changing, with melting glaciers, wetland loss, wildfires, and human development. This environmental transformation will likely harm some salmon populations while benefiting others. Lowland salmon streams are especially vulnerable, but retreating glaciers may allow production gains in other streams. Some fishing communities harvest a diverse portfolio of fluctuating resources, whereas others have specialized over time, potentially limiting their resilience. Maintaining diverse habitats and salmon runs may allow ecosystems and fisheries to continue to thrive amidst these changes.","container-title":"Fisheries","DOI":"10.1080/03632415.2017.1374251","ISSN":"0363-2415","issue":"10","note":"publisher: Taylor &amp; Francis\n_eprint: https://doi.org/10.1080/03632415.2017.1374251","page":"538-553","source":"Taylor and Francis+NEJM","title":"Future of Pacific Salmon in the Face of Environmental Change: Lessons from One of the World's Remaining Productive Salmon Regions","title-short":"Future of Pacific Salmon in the Face of Environmental Change","volume":"42","author":[{"family":"Schoen","given":"Erik R."},{"family":"Wipfli","given":"Mark S."},{"family":"Trammell","given":"E. Jamie"},{"family":"Rinella","given":"Daniel J."},{"family":"Floyd","given":"Angelica L."},{"family":"Grunblatt","given":"Jess"},{"family":"McCarthy","given":"Molly D."},{"family":"Meyer","given":"Benjamin E."},{"family":"Morton","given":"John M."},{"family":"Powell","given":"James E."},{"family":"Prakash","given":"Anupma"},{"family":"Reimer","given":"Matthew N."},{"family":"Stuefer","given":"Svetlana L."},{"family":"Toniolo","given":"Horacio"},{"family":"Wells","given":"Brett M."},{"family":"Witmer","given":"Frank D. W."}],"issued":{"date-parts":[["2017",10,3]]}}},{"id":6029,"uris":["http://zotero.org/users/8421274/items/6FRQA8JV"],"itemData":{"id":6029,"type":"article-journal","abstract":"Inland aquatic ecosystems, such as streams, rivers, ponds and lakes, play an important role in maintaining global aquatic biodiversity and ecosystem services. They have been increasingly influenced by environmental change such as global warming, dam construction, habitat fragmentation, eutrophication and urbanization. However, our understanding of the impact of global change on aquatic biodiversity and ecosystem functions remains elusive. The aim of this special issue is to highlight the ecological indicators of aquatic biodiversity and ecosystem functions under global change. The special issue comprises 18 papers including both review and research articles. These papers cover a wide range of research topics, including testing ecological theory, environmental indicator development, biodiversity monitoring and bioassessment. By covering a broad taxonomic range from bacteria and phytoplankton to fish and spanning large spatial (much of Eurasia) and temporal scales (from one season to 25-years observations and 100-years paleo-reconstruction), these articles provide an overview of ecological phenomena from population and community perspectives. Several important implications emerged from these studies: (1) The studies of the long-term succession of biotic community provide important insights into the impacts of human activities and climatic changes on conservation and management of aquatic ecosystems; (2) Anthropogenic activities strongly affect aquatic biodiversity via modifying aquatic habitats and reducing habitat heterogeneity; (3) Biotic assemblages are valuable to for assessing the ecological status of freshwater ecosystems; (4) Aquatic ecosystems have unique characteristics different from other ecosystems, as the underlying drivers and assembly mechanisms of community structure in these ecosystems are highly distinct. Together, the selection of studies reinforces the importance of long-term monitoring, ecological indicator development, and applications of ecological theory in helping us to understand the response of aquatic biodiversity and ecosystem functioning to global change.","container-title":"Ecological Indicators","DOI":"10.1016/j.ecolind.2021.108250","ISSN":"1470-160X","journalAbbreviation":"Ecological Indicators","page":"108250","source":"ScienceDirect","title":"Ecological indicators for aquatic biodiversity, ecosystem functions, human activities and climate change","volume":"132","author":[{"family":"Wang","given":"Jianjun"},{"family":"Soininen","given":"Janne"},{"family":"Heino","given":"Jani"}],"issued":{"date-parts":[["2021",12,1]]}}}],"schema":"https://github.com/citation-style-language/schema/raw/master/csl-citation.json"} </w:instrText>
      </w:r>
      <w:r w:rsidR="00166559">
        <w:rPr>
          <w:rFonts w:ascii="Garamond" w:hAnsi="Garamond"/>
        </w:rPr>
        <w:fldChar w:fldCharType="separate"/>
      </w:r>
      <w:r w:rsidR="00C92E33">
        <w:rPr>
          <w:rFonts w:ascii="Garamond" w:hAnsi="Garamond"/>
          <w:noProof/>
        </w:rPr>
        <w:t>(Jackson &amp; Hobbs, 2009; Menden-Deuer et al., 2023; Schoen et al., 2017; Wang et al., 2021)</w:t>
      </w:r>
      <w:r w:rsidR="00166559">
        <w:rPr>
          <w:rFonts w:ascii="Garamond" w:hAnsi="Garamond"/>
        </w:rPr>
        <w:fldChar w:fldCharType="end"/>
      </w:r>
      <w:r w:rsidR="00166559">
        <w:rPr>
          <w:rFonts w:ascii="Garamond" w:hAnsi="Garamond"/>
        </w:rPr>
        <w:t>.</w:t>
      </w:r>
      <w:r w:rsidRPr="001A5573">
        <w:rPr>
          <w:rFonts w:ascii="Garamond" w:hAnsi="Garamond"/>
        </w:rPr>
        <w:t xml:space="preserve"> However, as the effects of human resource use and climate change intensify, healthy and fully functioning</w:t>
      </w:r>
      <w:r w:rsidR="00EE4536">
        <w:rPr>
          <w:rFonts w:ascii="Garamond" w:hAnsi="Garamond"/>
        </w:rPr>
        <w:t xml:space="preserve"> aquatic</w:t>
      </w:r>
      <w:r w:rsidRPr="001A5573">
        <w:rPr>
          <w:rFonts w:ascii="Garamond" w:hAnsi="Garamond"/>
        </w:rPr>
        <w:t xml:space="preserve"> ecosystems are becoming increasingly rare as their global extent continues to decline</w:t>
      </w:r>
      <w:r w:rsidR="00166559">
        <w:rPr>
          <w:rFonts w:ascii="Garamond" w:hAnsi="Garamond"/>
        </w:rPr>
        <w:t xml:space="preserve"> </w:t>
      </w:r>
      <w:r w:rsidR="00AD67D4" w:rsidRPr="004547E2">
        <w:rPr>
          <w:rFonts w:ascii="Garamond" w:hAnsi="Garamond"/>
        </w:rPr>
        <w:fldChar w:fldCharType="begin"/>
      </w:r>
      <w:r w:rsidR="00C92E33" w:rsidRPr="004547E2">
        <w:rPr>
          <w:rFonts w:ascii="Garamond" w:hAnsi="Garamond"/>
        </w:rPr>
        <w:instrText xml:space="preserve"> ADDIN ZOTERO_ITEM CSL_CITATION {"citationID":"5N2rvLcH","properties":{"formattedCitation":"(Castello &amp; Macedo, 2016; Finn et al., 2021)","plainCitation":"(Castello &amp; Macedo, 2016; Finn et al., 2021)","noteIndex":0},"citationItems":[{"id":6035,"uris":["http://zotero.org/users/8421274/items/868PSQ3D"],"itemData":{"id":6035,"type":"article-journal","abstract":"Hydrological connectivity regulates the structure and function of Amazonian freshwater ecosystems and the provisioning of services that sustain local populations. This connectivity is increasingly being disrupted by the construction of dams, mining, land-cover changes, and global climate change. This review analyzes these drivers of degradation, evaluates their impacts on hydrological connectivity, and identifies policy deficiencies that hinder freshwater ecosystem protection. There are 154 large hydroelectric dams in operation today, and 21 dams under construction. The current trajectory of dam construction will leave only three free-flowing tributaries in the next few decades if all 277 planned dams are completed. Land-cover changes driven by mining, dam and road construction, agriculture and cattle ranching have already affected similar to 20% of the Basin and up to similar to 50% of riparian forests in some regions. Global climate change will likely exacerbate these impacts by creating warmer and dryer conditions, with less predictable rainfall and more extreme events (e.g., droughts and floods). The resulting hydrological alterations are rapidly degrading freshwater ecosystems, both independently and via complex feedbacks and synergistic interactions. The ecosystem impacts include biodiversity loss, warmer stream temperatures, stronger and more frequent floodplain fires, and changes to biogeochemical cycles, transport of organic and inorganic materials, and freshwater community structure and function. The impacts also include reductions in water quality, fish yields, and availability of water for navigation, power generation, and human use. This degradation of Amazonian freshwater ecosystems cannot be curbed presently because existing policies are inconsistent across the Basin, ignore cumulative effects, and overlook the hydrological connectivity of freshwater ecosystems. Maintaining the integrity of these freshwater ecosystems requires a basinwide research and policy framework to understand and manage hydrological connectivity across multiple spatial scales and jurisdictional boundaries.","container-title":"Global Change Biology","DOI":"10.1111/gcb.13173","ISSN":"1354-1013, 1365-2486","issue":"3","journalAbbreviation":"Glob. Change Biol.","language":"English","note":"number-of-pages: 18\npublisher-place: Hoboken\npublisher: Wiley\nWeb of Science ID: WOS:000370491400005","page":"990-1007","source":"Clarivate Analytics Web of Science","title":"Large-scale degradation of Amazonian freshwater ecosystems","volume":"22","author":[{"family":"Castello","given":"Leandro"},{"family":"Macedo","given":"Marcia N."}],"issued":{"date-parts":[["2016",3]]}}},{"id":6048,"uris":["http://zotero.org/users/8421274/items/7GIZ8JXZ"],"itemData":{"id":6048,"type":"article-journal","abstract":"Loss of connectivity caused by anthropogenic barriers is a key threat for migratory freshwater species. The anadromous life history of salmonids means that barriers on streams can decrease the amount of habitat available for spawning and rearing. To set appropriate targets for restoration, it is important to know how different populations have been impacted in terms of the location and extent of historically available habitat that has been lost or has become inaccessible. Using mapped and predicted barriers to fish passage in streams and diking infrastructure, the amount of both floodplain and linear stream habitat that remains accessible today was estimated for 14 populations of salmon in the Lower Fraser River, British Columbia, Canada’s most productive salmon river. To place these estimates within a historical context, the floodplain area was estimated using vegetation records from the 1850s, and lost streams were estimated using a digital elevation model-derived stream network. To bolster areas where little mapping has been done, current barrier data were used to predict locations likely to have barriers. Accessibility to floodplain was poor across the entire region with only 15% of the historical floodplain remaining accessible. Linear stream habitat ranged in accessibility from 28% to 99% across populations based on mapped barriers. Inclusion of predicted barriers revealed an additional 33 km of potentially inaccessible stream habitat and the modeled stream network located approximately 1700 km of stream length that has been completely lost. Comparing habitat accessibility and barrier density against the assessed status of populations revealed insights useful for understanding the impact of barriers on spawning and rearing and guiding the allocation of restoration effort. Applying methods for addressing missing data, such as lost streams and unmapped barriers, was essential for estimating the accessibility of habitat within a historical context. While much emphasis has been placed on the role of marine conditions in wild Pacific salmon recovery, the magnitude of habitat loss in the Fraser cannot be ignored and suggests it is a major driver of observed salmon declines.","container-title":"Ecosphere","DOI":"10.1002/ecs2.3646","ISSN":"2150-8925","issue":"7","language":"en","license":"© 2021 The Authors.","note":"_eprint: https://esajournals.onlinelibrary.wiley.com/doi/pdf/10.1002/ecs2.3646","page":"e03646","source":"Wiley Online Library","title":"Quantifying lost and inaccessible habitat for Pacific salmon in Canada’s Lower Fraser River","volume":"12","author":[{"family":"Finn","given":"Riley J. R."},{"family":"Chalifour","given":"Lia"},{"family":"Gergel","given":"Sarah E."},{"family":"Hinch","given":"Scott G."},{"family":"Scott","given":"David C."},{"family":"Martin","given":"Tara G."}],"issued":{"date-parts":[["2021"]]}}}],"schema":"https://github.com/citation-style-language/schema/raw/master/csl-citation.json"} </w:instrText>
      </w:r>
      <w:r w:rsidR="00AD67D4" w:rsidRPr="004547E2">
        <w:rPr>
          <w:rFonts w:ascii="Garamond" w:hAnsi="Garamond"/>
        </w:rPr>
        <w:fldChar w:fldCharType="separate"/>
      </w:r>
      <w:r w:rsidR="00C92E33" w:rsidRPr="004547E2">
        <w:rPr>
          <w:rFonts w:ascii="Garamond" w:hAnsi="Garamond"/>
          <w:noProof/>
        </w:rPr>
        <w:t>(Castello &amp; Macedo, 2016; Finn et al., 2021)</w:t>
      </w:r>
      <w:r w:rsidR="00AD67D4" w:rsidRPr="004547E2">
        <w:rPr>
          <w:rFonts w:ascii="Garamond" w:hAnsi="Garamond"/>
        </w:rPr>
        <w:fldChar w:fldCharType="end"/>
      </w:r>
      <w:r w:rsidRPr="004547E2">
        <w:rPr>
          <w:rFonts w:ascii="Garamond" w:hAnsi="Garamond"/>
        </w:rPr>
        <w:t>.</w:t>
      </w:r>
      <w:r w:rsidRPr="001A5573">
        <w:rPr>
          <w:rFonts w:ascii="Garamond" w:hAnsi="Garamond"/>
        </w:rPr>
        <w:t xml:space="preserve"> North America freshwater ecosystems have been affected by widespread changes to habitat quality and hydrological connectivity in recent decades, leading to </w:t>
      </w:r>
      <w:r w:rsidR="00490C40" w:rsidRPr="001A5573">
        <w:rPr>
          <w:rFonts w:ascii="Garamond" w:hAnsi="Garamond"/>
        </w:rPr>
        <w:t xml:space="preserve">population </w:t>
      </w:r>
      <w:r w:rsidRPr="001A5573">
        <w:rPr>
          <w:rFonts w:ascii="Garamond" w:hAnsi="Garamond"/>
        </w:rPr>
        <w:t>declines in species that rely on healthy, free-flowing systems</w:t>
      </w:r>
      <w:r w:rsidR="009E2291" w:rsidRPr="001A5573">
        <w:rPr>
          <w:rFonts w:ascii="Garamond" w:hAnsi="Garamond"/>
        </w:rPr>
        <w:t xml:space="preserve"> </w:t>
      </w:r>
      <w:r w:rsidR="00AD67D4">
        <w:rPr>
          <w:rFonts w:ascii="Garamond" w:hAnsi="Garamond"/>
        </w:rPr>
        <w:fldChar w:fldCharType="begin"/>
      </w:r>
      <w:r w:rsidR="00AD67D4">
        <w:rPr>
          <w:rFonts w:ascii="Garamond" w:hAnsi="Garamond"/>
        </w:rPr>
        <w:instrText xml:space="preserve"> ADDIN ZOTERO_ITEM CSL_CITATION {"citationID":"owk5iFbj","properties":{"formattedCitation":"(Dudgeon et al., 2006; Reid et al., 2019)","plainCitation":"(Dudgeon et al., 2006; Reid et al., 2019)","noteIndex":0},"citationItems":[{"id":6036,"uris":["http://zotero.org/users/8421274/items/VTFP5ZZE"],"itemData":{"id":6036,"type":"article-journal","abstract":"Freshwater biodiversity is the over-riding conservation priority during the International Decade for Action – ‘Water for Life’ – 2005 to 2015. Fresh water makes up only 0.01% of the World's water and approximately 0.8% of the Earth's surface, yet this tiny fraction of global water supports at least 100000 species out of approximately 1.8 million – almost 6% of all described species. Inland waters and freshwater biodiversity constitute a valuable natural resource, in economic, cultural, aesthetic, scientific and educational terms. Their conservation and management are critical to the interests of all humans, nations and governments. Yet this precious heritage is in crisis. Fresh waters are experiencing declines in biodiversity far greater than those in the most affected terrestrial ecosystems, and if trends in human demands for water remain unaltered and species losses continue at current rates, the opportunity to conserve much of the remaining biodiversity in fresh water will vanish before the ‘Water for Life’ decade ends in 2015. Why is this so, and what is being done about it? This article explores the special features of freshwater habitats and the biodiversity they support that makes them especially vulnerable to human activities. We document threats to global freshwater biodiversity under five headings: overexploitation; water pollution; flow modification; destruction or degradation of habitat; and invasion by exotic species. Their combined and interacting influences have resulted in population declines and range reduction of freshwater biodiversity worldwide. Conservation of biodiversity is complicated by the landscape position of rivers and wetlands as ‘receivers’ of land-use effluents, and the problems posed by endemism and thus non-substitutability. In addition, in many parts of the world, fresh water is subject to severe competition among multiple human stakeholders. Protection of freshwater biodiversity is perhaps the ultimate conservation challenge because it is influenced by the upstream drainage network, the surrounding land, the riparian zone, and – in the case of migrating aquatic fauna – downstream reaches. Such prerequisites are hardly ever met. Immediate action is needed where opportunities exist to set aside intact lake and river ecosystems within large protected areas. For most of the global land surface, trade-offs between conservation of freshwater biodiversity and human use of ecosystem goods and services are necessary. We advocate continuing attempts to check species loss but, in many situations, urge adoption of a compromise position of management for biodiversity conservation, ecosystem functioning and resilience, and human livelihoods in order to provide a viable long-term basis for freshwater conservation. Recognition of this need will require adoption of a new paradigm for biodiversity protection and freshwater ecosystem management – one that has been appropriately termed ‘reconciliation ecology’.","container-title":"Biological Reviews","DOI":"10.1017/S1464793105006950","ISSN":"1469-185X, 1464-7931","issue":"2","language":"en","page":"163-182","source":"Cambridge University Press","title":"Freshwater biodiversity: importance, threats, status and conservation challenges","title-short":"Freshwater biodiversity","volume":"81","author":[{"family":"Dudgeon","given":"David"},{"family":"Arthington","given":"Angela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 J."},{"family":"Sullivan","given":"Caroline A."}],"issued":{"date-parts":[["2006",5]]}}},{"id":6037,"uris":["http://zotero.org/users/8421274/items/7AHZ6K4K"],"itemData":{"id":6037,"type":"article-journal","abstract":"In the 12 years since Dudgeon et al. (2006) reviewed major pressures on freshwater ecosystems, the biodiversity crisis in the world's lakes, reservoirs, rivers, streams and wetlands has deepened. While lakes, reservoirs and rivers cover only 2.3% of the Earth's surface, these ecosystems host at least 9.5% of the Earth's described animal species. Furthermore, using the World Wide Fund for Nature's Living Planet Index, freshwater population declines (83% between 1970 and 2014) continue to outpace contemporaneous declines in marine or terrestrial systems. The Anthropocene has brought multiple new and varied threats that disproportionately impact freshwater systems. We document 12 emerging threats to freshwater biodiversity that are either entirely new since 2006 or have since intensified: (i) changing climates; (ii) e-commerce and invasions; (iii) infectious diseases; (iv) harmful algal blooms; (v) expanding hydropower; (vi) emerging contaminants; (vii) engineered nanomaterials; (viii) microplastic pollution; (ix) light and noise; (x) freshwater salinisation; (xi) declining calcium; and (xii) cumulative stressors. Effects are evidenced for amphibians, fishes, invertebrates, microbes, plants, turtles and waterbirds, with potential for ecosystem-level changes through bottom-up and top-down processes. In our highly uncertain future, the net effects of these threats raise serious concerns for freshwater ecosystems. However, we also highlight opportunities for conservation gains as a result of novel management tools (e.g. environmental flows, environmental DNA) and specific conservation-oriented actions (e.g. dam removal, habitat protection policies, managed relocation of species) that have been met with varying levels of success. Moving forward, we advocate hybrid approaches that manage fresh waters as crucial ecosystems for human life support as well as essential hotspots of biodiversity and ecological function. Efforts to reverse global trends in freshwater degradation now depend on bridging an immense gap between the aspirations of conservation biologists and the accelerating rate of species endangerment.","container-title":"Biological Reviews","DOI":"10.1111/brv.12480","ISSN":"1464-7931, 1469-185X","issue":"3","journalAbbreviation":"Biol. Rev.","language":"English","note":"number-of-pages: 25\npublisher-place: Hoboken\npublisher: Wiley\nWeb of Science ID: WOS:000467422400006","page":"849-873","source":"Clarivate Analytics Web of Science","title":"Emerging threats and persistent conservation challenges for freshwater biodiversity","volume":"94","author":[{"family":"Reid","given":"Andrea J."},{"family":"Carlson","given":"Andrew K."},{"family":"Creed","given":"Irena F."},{"family":"Eliason","given":"Erika J."},{"family":"Gell","given":"Peter A."},{"family":"Johnson","given":"Pieter T. J."},{"family":"Kidd","given":"Karen A."},{"family":"MacCormack","given":"Tyson J."},{"family":"Olden","given":"Julian D."},{"family":"Ormerod","given":"Steve J."},{"family":"Smol","given":"John P."},{"family":"Taylor","given":"William W."},{"family":"Tockner","given":"Klement"},{"family":"Vermaire","given":"Jesse C."},{"family":"Dudgeon","given":"David"},{"family":"Cooke","given":"Steven J."}],"issued":{"date-parts":[["2019",6]]}}}],"schema":"https://github.com/citation-style-language/schema/raw/master/csl-citation.json"} </w:instrText>
      </w:r>
      <w:r w:rsidR="00AD67D4">
        <w:rPr>
          <w:rFonts w:ascii="Garamond" w:hAnsi="Garamond"/>
        </w:rPr>
        <w:fldChar w:fldCharType="separate"/>
      </w:r>
      <w:r w:rsidR="00AD67D4">
        <w:rPr>
          <w:rFonts w:ascii="Garamond" w:hAnsi="Garamond"/>
          <w:noProof/>
        </w:rPr>
        <w:t>(Dudgeon et al., 2006; Reid et al., 2019)</w:t>
      </w:r>
      <w:r w:rsidR="00AD67D4">
        <w:rPr>
          <w:rFonts w:ascii="Garamond" w:hAnsi="Garamond"/>
        </w:rPr>
        <w:fldChar w:fldCharType="end"/>
      </w:r>
      <w:r w:rsidR="009A78C2">
        <w:rPr>
          <w:rFonts w:ascii="Garamond" w:hAnsi="Garamond"/>
        </w:rPr>
        <w:t xml:space="preserve">. Migratory species such as </w:t>
      </w:r>
      <w:r w:rsidR="009E2291" w:rsidRPr="001A5573">
        <w:rPr>
          <w:rFonts w:ascii="Garamond" w:hAnsi="Garamond"/>
        </w:rPr>
        <w:t>Pacific salmon are particularly vulnerable to changes in habitat quality and connectivity because they depend on access to multiple, distinct habitat types within fully connected river networks to complete their life cycle</w:t>
      </w:r>
      <w:r w:rsidR="009A78C2">
        <w:rPr>
          <w:rFonts w:ascii="Garamond" w:hAnsi="Garamond"/>
        </w:rPr>
        <w:t xml:space="preserve"> </w:t>
      </w:r>
      <w:r w:rsidR="009A78C2">
        <w:rPr>
          <w:rFonts w:ascii="Garamond" w:hAnsi="Garamond"/>
        </w:rPr>
        <w:fldChar w:fldCharType="begin"/>
      </w:r>
      <w:r w:rsidR="002204C4">
        <w:rPr>
          <w:rFonts w:ascii="Garamond" w:hAnsi="Garamond"/>
        </w:rPr>
        <w:instrText xml:space="preserve"> ADDIN ZOTERO_ITEM CSL_CITATION {"citationID":"aBTCoXji","properties":{"formattedCitation":"(Quinn, 2018; Robinson et al., 2009; Waldman &amp; Quinn, 2022)","plainCitation":"(Quinn, 2018; Robinson et al., 2009; Waldman &amp; Quinn, 2022)","noteIndex":0},"citationItems":[{"id":5568,"uris":["http://zotero.org/users/8421274/items/TBWE7PX7"],"itemData":{"id":5568,"type":"book","publisher":"American Fisheries Society, University of Washington Press","title":"The Behavior and Ecology of Pacific Salmon and Trout","author":[{"family":"Quinn","given":"Thomas P"}],"issued":{"date-parts":[["2018",10]]}}},{"id":3518,"uris":["http://zotero.org/users/8421274/items/LJAKI7SR"],"itemData":{"id":3518,"type":"article-journal","abstract":"Long-distance migrations are among the wonders of the natural world, but this multitaxon review shows that the characteristics of species that undertake such movements appear to make them particularly vulnerable to detrimental impacts of climate change. Migrants are key components of biological systems in high latitude regions, where the speed and magnitude of climate change impacts are greatest. They also rely on highly productive seasonal habitats, including wetlands and ocean upwellings that, with climate change, may become less food-rich and predictable in space and time. While migrants are adapted to adjust their behaviour with annual changes in the weather, the decoupling of climatic variables between geographically separate breeding and nonbreeding grounds is beginning to result in mistimed migration. Furthermore, human land-use and activity patterns will constrain the ability of many species to modify their migratory routes and may increase the stress induced by climate change. Adapting conservation strategies for migrants in the light of climate change will require substantial shifts in site designation policies, flexibility of management strategies and the integration of forward planning for both people and wildlife. While adaptation to changes may be feasible for some terrestrial systems, wildlife in the marine ecosystem may be more dependent on the degree of climate change mitigation that is achievable.","container-title":"Endangered Species Research","DOI":"10.3354/esr00095","ISSN":"1863-5407, 1613-4796","journalAbbreviation":"Endang. Species. Res.","language":"en","page":"87-99","source":"DOI.org (Crossref)","title":"Travelling through a warming world: climate change and migratory species","title-short":"Travelling through a warming world","volume":"7","author":[{"family":"Robinson","given":"Ra"},{"family":"Crick","given":"Hqp"},{"family":"Learmonth","given":"Ja"},{"family":"Maclean","given":"Imd"},{"family":"Thomas","given":"Cd"},{"family":"Bairlein","given":"F"},{"family":"Forchhammer","given":"Mc"},{"family":"Francis","given":"Cm"},{"family":"Gill","given":"Ja"},{"family":"Godley","given":"Bj"},{"family":"Harwood","given":"J"},{"family":"Hays","given":"Gc"},{"family":"Huntley","given":"B"},{"family":"Hutson","given":"Am"},{"family":"Pierce","given":"Gj"},{"family":"Rehfisch","given":"Mm"},{"family":"Sims","given":"Dw"},{"family":"Santos","given":"Bm"},{"family":"Sparks","given":"Th"},{"family":"Stroud","given":"Da"},{"family":"Visser","given":"Me"}],"issued":{"date-parts":[["2009",6,17]]}}},{"id":6038,"uris":["http://zotero.org/users/8421274/items/XVWURZLC"],"itemData":{"id":6038,"type":"article-journal","abstract":"Diadromous fishes migrate between freshwater and marine habitats to complete their life cycle, a complexity that makes them vulnerable to the adverse effects of current and past human activities on land and in the oceans. Many North American species are critically endangered, and entire populations have been lost. Major factors driving declines include overfishing, pollution, water withdrawals, aquaculture, non-native species, habitat degradation, over-zealous application of hatcheries designed to mitigate effects of other factors, and effects of climate change. Perhaps, the most broadly tractable and effective factors affecting diadromous fishes are removals of the dams that prevent or hinder their migrations, alter their environment, and often favor non-native biotic communities. Future survival of many diadromous fish populations may depend on this.","container-title":"Science Advances","DOI":"10.1126/sciadv.abl5486","issue":"4","note":"publisher: American Association for the Advancement of Science","page":"eabl5486","source":"science.org (Atypon)","title":"North American diadromous fishes: Drivers of decline and potential for recovery in the Anthropocene","title-short":"North American diadromous fishes","volume":"8","author":[{"family":"Waldman","given":"John R."},{"family":"Quinn","given":"Thomas P."}],"issued":{"date-parts":[["2022",1,28]]}}}],"schema":"https://github.com/citation-style-language/schema/raw/master/csl-citation.json"} </w:instrText>
      </w:r>
      <w:r w:rsidR="009A78C2">
        <w:rPr>
          <w:rFonts w:ascii="Garamond" w:hAnsi="Garamond"/>
        </w:rPr>
        <w:fldChar w:fldCharType="separate"/>
      </w:r>
      <w:r w:rsidR="002204C4">
        <w:rPr>
          <w:rFonts w:ascii="Garamond" w:hAnsi="Garamond"/>
          <w:noProof/>
        </w:rPr>
        <w:t>(Quinn, 2018; Robinson et al., 2009; Waldman &amp; Quinn, 2022)</w:t>
      </w:r>
      <w:r w:rsidR="009A78C2">
        <w:rPr>
          <w:rFonts w:ascii="Garamond" w:hAnsi="Garamond"/>
        </w:rPr>
        <w:fldChar w:fldCharType="end"/>
      </w:r>
      <w:r w:rsidR="009E2291" w:rsidRPr="001A5573">
        <w:rPr>
          <w:rFonts w:ascii="Garamond" w:hAnsi="Garamond"/>
        </w:rPr>
        <w:t>.</w:t>
      </w:r>
      <w:r w:rsidR="00025F12">
        <w:rPr>
          <w:rFonts w:ascii="Garamond" w:hAnsi="Garamond"/>
        </w:rPr>
        <w:t xml:space="preserve"> </w:t>
      </w:r>
      <w:r w:rsidR="007A7E4C">
        <w:rPr>
          <w:rFonts w:ascii="Garamond" w:hAnsi="Garamond"/>
        </w:rPr>
        <w:t xml:space="preserve">As accelerating human development has accelerated, many salmon populations have experienced sustained declines over several decades across much of their range [ref]. Widespread </w:t>
      </w:r>
      <w:r w:rsidR="0073537D" w:rsidRPr="001A5573">
        <w:rPr>
          <w:rFonts w:ascii="Garamond" w:hAnsi="Garamond"/>
        </w:rPr>
        <w:t xml:space="preserve">efforts </w:t>
      </w:r>
      <w:r w:rsidR="00EE4536">
        <w:rPr>
          <w:rFonts w:ascii="Garamond" w:hAnsi="Garamond"/>
        </w:rPr>
        <w:t xml:space="preserve">have been undertaken </w:t>
      </w:r>
      <w:r w:rsidR="0073537D" w:rsidRPr="001A5573">
        <w:rPr>
          <w:rFonts w:ascii="Garamond" w:hAnsi="Garamond"/>
        </w:rPr>
        <w:t xml:space="preserve">to restore </w:t>
      </w:r>
      <w:r w:rsidR="00490C40" w:rsidRPr="001A5573">
        <w:rPr>
          <w:rFonts w:ascii="Garamond" w:hAnsi="Garamond"/>
        </w:rPr>
        <w:t xml:space="preserve">aquatic </w:t>
      </w:r>
      <w:r w:rsidR="00042ED8" w:rsidRPr="001A5573">
        <w:rPr>
          <w:rFonts w:ascii="Garamond" w:hAnsi="Garamond"/>
        </w:rPr>
        <w:t>habitat</w:t>
      </w:r>
      <w:r w:rsidR="00490C40" w:rsidRPr="001A5573">
        <w:rPr>
          <w:rFonts w:ascii="Garamond" w:hAnsi="Garamond"/>
        </w:rPr>
        <w:t>s</w:t>
      </w:r>
      <w:r w:rsidR="00042ED8" w:rsidRPr="001A5573">
        <w:rPr>
          <w:rFonts w:ascii="Garamond" w:hAnsi="Garamond"/>
        </w:rPr>
        <w:t xml:space="preserve"> </w:t>
      </w:r>
      <w:r w:rsidR="0073537D" w:rsidRPr="001A5573">
        <w:rPr>
          <w:rFonts w:ascii="Garamond" w:hAnsi="Garamond"/>
        </w:rPr>
        <w:t xml:space="preserve">and </w:t>
      </w:r>
      <w:r w:rsidR="005736BA" w:rsidRPr="001A5573">
        <w:rPr>
          <w:rFonts w:ascii="Garamond" w:hAnsi="Garamond"/>
        </w:rPr>
        <w:t xml:space="preserve">to </w:t>
      </w:r>
      <w:r w:rsidR="0073537D" w:rsidRPr="001A5573">
        <w:rPr>
          <w:rFonts w:ascii="Garamond" w:hAnsi="Garamond"/>
        </w:rPr>
        <w:t>recover healthy salmon populations</w:t>
      </w:r>
      <w:r w:rsidR="005736BA" w:rsidRPr="001A5573">
        <w:rPr>
          <w:rFonts w:ascii="Garamond" w:hAnsi="Garamond"/>
        </w:rPr>
        <w:t xml:space="preserve"> in degraded ecosystems</w:t>
      </w:r>
      <w:r w:rsidR="00025F12">
        <w:rPr>
          <w:rFonts w:ascii="Garamond" w:hAnsi="Garamond"/>
        </w:rPr>
        <w:t xml:space="preserve"> </w:t>
      </w:r>
      <w:r w:rsidR="00025F12">
        <w:rPr>
          <w:rFonts w:ascii="Garamond" w:hAnsi="Garamond"/>
        </w:rPr>
        <w:fldChar w:fldCharType="begin"/>
      </w:r>
      <w:r w:rsidR="00C92E33">
        <w:rPr>
          <w:rFonts w:ascii="Garamond" w:hAnsi="Garamond"/>
        </w:rPr>
        <w:instrText xml:space="preserve"> ADDIN ZOTERO_ITEM CSL_CITATION {"citationID":"CYzx2Nyz","properties":{"formattedCitation":"(Cordoleani et al., 2024; Rahr et al., 2025)","plainCitation":"(Cordoleani et al., 2024; Rahr et al., 2025)","noteIndex":0},"citationItems":[{"id":5990,"uris":["http://zotero.org/users/8421274/items/BGVZ7ZLQ"],"itemData":{"id":5990,"type":"article-journal","abstract":"Phenotypic diversity and abundance drive salmon resilience in the face of increasing environmental variability. But what happens when human activities fundamentally alter the habitat complexity that drives this diversity? And how can we restore habitats to recover both diversity and abundance to support salmon persistence in a warming climate? Here, we looked at the impact of a large watershed restoration effort on the abundance and climate resilience of the three remaining core natural spring-run Chinook Salmon populations in the California Central Valley (Butte, Mill, and Deer Creek). Butte Creek fish, which have floodplain access, had higher overall productivity and faster juvenile growth compared with Mill and Deer Creek populations, and the proportion of floodplain inundation was positively correlated with Butte Creek adult abundance two years later. While Butte Creek exhibited significant increases in abundance post-restoration (similar to 000%), it generally exhibited lower phenotypic diversity and only a marginal increase in population stability after restoration based on the coefficient of variation (CV). In particular, Butte Creek salmon tended to exhibit larger drops in escapement following dry years (e.g., return years 2010, 2017) compared with Mill and Deer Creek populations, presumably due to limited inundation of its downstream floodplain. The late-migrating juvenile strategy (i.e., yearling), which disproportionately supported Mill and Deer Creek populations during droughts, was uncommon among Butte Creek adults (averaging 60% of returns for Mill and Deer Creek vs. 0.3% for Butte Creek). Increased spring-run stock complex stability was found, post-restoration, when combining the three spring-run populations (i.e., lower aggregate CV). However, among-river pairwise correlations also suggested increased synchronization in population abundances post-restoration, potentially due to increasing frequency and severity of extreme climatic events (e.g., droughts and ocean warming). This study underscores the importance of restoring a connected mosaic of aquatic habitats across modified landscapes, such as cold water refugia and floodplains, to preserve multiple (across-population) life history pathways for increasing salmon stock complex stability and abundance. These landscape-scale process-based habitat restoration efforts are likely to be crucial for the successful long-term recovery of vulnerable species in a rapidly changing climate.","container-title":"Ecosphere","DOI":"10.1002/ecs2.4803","ISSN":"2150-8925","issue":"3","journalAbbreviation":"Ecosphere","language":"English","note":"number-of-pages: 18\npublisher-place: Hoboken\npublisher: Wiley\nWeb of Science ID: WOS:001182186400001","page":"e4803","source":"Clarivate Analytics Web of Science","title":"Restoring freshwater habitat mosaics to promote resilience of vulnerable salmon populations","volume":"15","author":[{"family":"Cordoleani","given":"Flora"},{"family":"Phillis","given":"Corey C."},{"family":"Sturrock","given":"Anna M."},{"family":"Willmes","given":"Malte"},{"family":"Whitman","given":"George"},{"family":"Holmes","given":"Eric"},{"family":"Weber","given":"Peter K."},{"family":"Jeffres","given":"Carson"},{"family":"Johnson","given":"Rachel C."}],"issued":{"date-parts":[["2024",3]]}}},{"id":6043,"uris":["http://zotero.org/users/8421274/items/C2HKLHLY"],"itemData":{"id":6043,"type":"article-journal","abstract":"Nested within the linked global crises of biodiversity loss and climate change are threats to cultural and ecological keystones such as Pacific salmon Oncorhynchus spp., a group of species with widespread ecological, cultural, and economic value. Wild salmon can rally public support for ecosystem protection and link place-based conservation efforts to global biodiversity and climate benefits. Realizing these benefits depends on leveraging broad support for salmon conservation to advance forward-looking approaches that safeguard food security, biodiversity, and climate resilience. Here we provide insights from the multidecadal implementation of a proactive wild salmon ecosystem conservation strategy at the scale of the North Pacific Rim. This approach is a necessary complement to policies focused on preventing species extinction after populations and habitats are degraded and it provides globally significant contributions to biodiversity and climate targets including recent 30 × 30 goals of the Convention on Biological Diversity.","container-title":"Fisheries","DOI":"10.1093/fshmag/vuaf011","ISSN":"0363-2415","issue":"9","page":"399-415","source":"Silverchair","title":"Strongholds for Pacific salmon: A proactive conservation strategy for ecosystem health, food security, biodiversity, and climate resilience","title-short":"Strongholds for Pacific salmon","volume":"50","author":[{"family":"Rahr","given":"Guido R","suffix":"III"},{"family":"Sloat","given":"Matthew R"},{"family":"Atlas","given":"William I"},{"family":"Hart","given":"Jonathan L"}],"issued":{"date-parts":[["2025",9,1]]}}}],"schema":"https://github.com/citation-style-language/schema/raw/master/csl-citation.json"} </w:instrText>
      </w:r>
      <w:r w:rsidR="00025F12">
        <w:rPr>
          <w:rFonts w:ascii="Garamond" w:hAnsi="Garamond"/>
        </w:rPr>
        <w:fldChar w:fldCharType="separate"/>
      </w:r>
      <w:r w:rsidR="00C92E33">
        <w:rPr>
          <w:rFonts w:ascii="Garamond" w:hAnsi="Garamond"/>
          <w:noProof/>
        </w:rPr>
        <w:t>(Cordoleani et al., 2024; Rahr et al., 2025)</w:t>
      </w:r>
      <w:r w:rsidR="00025F12">
        <w:rPr>
          <w:rFonts w:ascii="Garamond" w:hAnsi="Garamond"/>
        </w:rPr>
        <w:fldChar w:fldCharType="end"/>
      </w:r>
      <w:r w:rsidR="000A471B">
        <w:rPr>
          <w:rFonts w:ascii="Garamond" w:hAnsi="Garamond"/>
        </w:rPr>
        <w:t xml:space="preserve">. </w:t>
      </w:r>
      <w:r w:rsidR="00485790" w:rsidRPr="00936073">
        <w:rPr>
          <w:rFonts w:ascii="Garamond" w:hAnsi="Garamond"/>
        </w:rPr>
        <w:t xml:space="preserve">Because decades of development have imposed cumulative and confounding impacts to </w:t>
      </w:r>
      <w:r w:rsidR="00936073" w:rsidRPr="00936073">
        <w:rPr>
          <w:rFonts w:ascii="Garamond" w:hAnsi="Garamond"/>
        </w:rPr>
        <w:t xml:space="preserve">many </w:t>
      </w:r>
      <w:r w:rsidR="00485790" w:rsidRPr="00936073">
        <w:rPr>
          <w:rFonts w:ascii="Garamond" w:hAnsi="Garamond"/>
        </w:rPr>
        <w:t xml:space="preserve">salmon </w:t>
      </w:r>
      <w:r w:rsidR="00936073" w:rsidRPr="00936073">
        <w:rPr>
          <w:rFonts w:ascii="Garamond" w:hAnsi="Garamond"/>
        </w:rPr>
        <w:t xml:space="preserve">watersheds, </w:t>
      </w:r>
      <w:r w:rsidR="00485790" w:rsidRPr="00936073">
        <w:rPr>
          <w:rFonts w:ascii="Garamond" w:hAnsi="Garamond"/>
        </w:rPr>
        <w:t>it remains difficult to characterize their baseline function and to establish reference points for restoration efforts.</w:t>
      </w:r>
      <w:r w:rsidR="00936073">
        <w:rPr>
          <w:rFonts w:ascii="Garamond" w:hAnsi="Garamond"/>
        </w:rPr>
        <w:t xml:space="preserve"> </w:t>
      </w:r>
    </w:p>
    <w:p w14:paraId="5925FD31" w14:textId="47A576D2" w:rsidR="006E5085" w:rsidRDefault="00C42FB3" w:rsidP="00936073">
      <w:pPr>
        <w:pStyle w:val="font-claude-response-body"/>
        <w:spacing w:line="360" w:lineRule="auto"/>
        <w:ind w:firstLine="360"/>
        <w:rPr>
          <w:rFonts w:ascii="Garamond" w:hAnsi="Garamond"/>
        </w:rPr>
      </w:pPr>
      <w:r>
        <w:rPr>
          <w:rFonts w:ascii="Garamond" w:hAnsi="Garamond"/>
        </w:rPr>
        <w:t>Alaska watersheds,</w:t>
      </w:r>
      <w:r w:rsidR="00206BA8" w:rsidRPr="001A5573">
        <w:rPr>
          <w:rFonts w:ascii="Garamond" w:hAnsi="Garamond"/>
        </w:rPr>
        <w:t xml:space="preserve"> at the northernmost extent of the</w:t>
      </w:r>
      <w:r w:rsidR="00490C40" w:rsidRPr="001A5573">
        <w:rPr>
          <w:rFonts w:ascii="Garamond" w:hAnsi="Garamond"/>
        </w:rPr>
        <w:t xml:space="preserve"> natural range of pacific</w:t>
      </w:r>
      <w:r w:rsidR="00206BA8" w:rsidRPr="001A5573">
        <w:rPr>
          <w:rFonts w:ascii="Garamond" w:hAnsi="Garamond"/>
        </w:rPr>
        <w:t xml:space="preserve"> salmon</w:t>
      </w:r>
      <w:r>
        <w:rPr>
          <w:rFonts w:ascii="Garamond" w:hAnsi="Garamond"/>
        </w:rPr>
        <w:t>,</w:t>
      </w:r>
      <w:r w:rsidR="00206BA8" w:rsidRPr="001A5573">
        <w:rPr>
          <w:rFonts w:ascii="Garamond" w:hAnsi="Garamond"/>
        </w:rPr>
        <w:t xml:space="preserve"> have experienced substantially</w:t>
      </w:r>
      <w:r w:rsidR="002204C4">
        <w:rPr>
          <w:rFonts w:ascii="Garamond" w:hAnsi="Garamond"/>
        </w:rPr>
        <w:t xml:space="preserve"> </w:t>
      </w:r>
      <w:r w:rsidR="00EE4536">
        <w:rPr>
          <w:rFonts w:ascii="Garamond" w:hAnsi="Garamond"/>
        </w:rPr>
        <w:t xml:space="preserve">less anthropogenic </w:t>
      </w:r>
      <w:r w:rsidR="002204C4">
        <w:rPr>
          <w:rFonts w:ascii="Garamond" w:hAnsi="Garamond"/>
        </w:rPr>
        <w:t xml:space="preserve">impacts </w:t>
      </w:r>
      <w:r w:rsidR="000A471B">
        <w:rPr>
          <w:rFonts w:ascii="Garamond" w:hAnsi="Garamond"/>
        </w:rPr>
        <w:t xml:space="preserve">and habitat fragmentation </w:t>
      </w:r>
      <w:r w:rsidR="00490C40" w:rsidRPr="001A5573">
        <w:rPr>
          <w:rFonts w:ascii="Garamond" w:hAnsi="Garamond"/>
        </w:rPr>
        <w:t xml:space="preserve">than </w:t>
      </w:r>
      <w:r w:rsidR="002204C4">
        <w:rPr>
          <w:rFonts w:ascii="Garamond" w:hAnsi="Garamond"/>
        </w:rPr>
        <w:t xml:space="preserve">those </w:t>
      </w:r>
      <w:r>
        <w:rPr>
          <w:rFonts w:ascii="Garamond" w:hAnsi="Garamond"/>
        </w:rPr>
        <w:t>in the Pacific Northwest</w:t>
      </w:r>
      <w:r w:rsidR="00EE4536">
        <w:rPr>
          <w:rFonts w:ascii="Garamond" w:hAnsi="Garamond"/>
        </w:rPr>
        <w:t xml:space="preserve"> and California</w:t>
      </w:r>
      <w:r w:rsidR="004547E2">
        <w:rPr>
          <w:rFonts w:ascii="Garamond" w:hAnsi="Garamond"/>
        </w:rPr>
        <w:t xml:space="preserve"> </w:t>
      </w:r>
      <w:r w:rsidR="004547E2">
        <w:rPr>
          <w:rFonts w:ascii="Garamond" w:hAnsi="Garamond"/>
        </w:rPr>
        <w:fldChar w:fldCharType="begin"/>
      </w:r>
      <w:r w:rsidR="002204C4">
        <w:rPr>
          <w:rFonts w:ascii="Garamond" w:hAnsi="Garamond"/>
        </w:rPr>
        <w:instrText xml:space="preserve"> ADDIN ZOTERO_ITEM CSL_CITATION {"citationID":"xRsa1svq","properties":{"formattedCitation":"(Schoen et al., 2017; Williams, 2006; Yoshiyama et al., 1998)","plainCitation":"(Schoen et al., 2017; Williams, 2006; Yoshiyama et al., 1998)","noteIndex":0},"citationItems":[{"id":6051,"uris":["http://zotero.org/users/8421274/items/UPNXXHTQ"],"itemData":{"id":6051,"type":"article-journal","abstract":"Pacific salmon Oncorhynchus spp. face serious challenges from climate and landscape change, particularly in the southern portion of their native range. Conversely, climate warming appears to be allowing salmon to expand northwards into the Arctic. Between these geographic extremes, in the Gulf of Alaska region, salmon are at historically high abundances but face an uncertain future due to rapid environmental change. We examined changes in climate, hydrology, land cover, salmon populations, and fisheries over the past 30–70 years in this region. We focused on the Kenai River, which supports world-famous fisheries but where Chinook Salmon O. tshawytscha populations have declined, raising concerns about their future resilience. The region is warming and experiencing drier summers and wetter autumns. The landscape is also changing, with melting glaciers, wetland loss, wildfires, and human development. This environmental transformation will likely harm some salmon populations while benefiting others. Lowland salmon streams are especially vulnerable, but retreating glaciers may allow production gains in other streams. Some fishing communities harvest a diverse portfolio of fluctuating resources, whereas others have specialized over time, potentially limiting their resilience. Maintaining diverse habitats and salmon runs may allow ecosystems and fisheries to continue to thrive amidst these changes.","container-title":"Fisheries","DOI":"10.1080/03632415.2017.1374251","ISSN":"0363-2415","issue":"10","note":"publisher: Taylor &amp; Francis\n_eprint: https://doi.org/10.1080/03632415.2017.1374251","page":"538-553","source":"Taylor and Francis+NEJM","title":"Future of Pacific Salmon in the Face of Environmental Change: Lessons from One of the World's Remaining Productive Salmon Regions","title-short":"Future of Pacific Salmon in the Face of Environmental Change","volume":"42","author":[{"family":"Schoen","given":"Erik R."},{"family":"Wipfli","given":"Mark S."},{"family":"Trammell","given":"E. Jamie"},{"family":"Rinella","given":"Daniel J."},{"family":"Floyd","given":"Angelica L."},{"family":"Grunblatt","given":"Jess"},{"family":"McCarthy","given":"Molly D."},{"family":"Meyer","given":"Benjamin E."},{"family":"Morton","given":"John M."},{"family":"Powell","given":"James E."},{"family":"Prakash","given":"Anupma"},{"family":"Reimer","given":"Matthew N."},{"family":"Stuefer","given":"Svetlana L."},{"family":"Toniolo","given":"Horacio"},{"family":"Wells","given":"Brett M."},{"family":"Witmer","given":"Frank D. W."}],"issued":{"date-parts":[["2017",10,3]]}}},{"id":6057,"uris":["http://zotero.org/users/8421274/items/MWDVQVR3"],"itemData":{"id":6057,"type":"article-journal","abstract":"This monograph presents an extensive review of the biology and management of Chinook salmon and steelhead in the Central Valley of California. Relevant data and publications on these populations are summarized and discussed in the context of the wider professional literature, with emphasis on the importance of evolutionary considerations in the assessment of populations and in their management, the need to manage populations together with their environments, and the contradiction between maintaining a major hatchery program to support a mixed-stock ocean fishery and trying to maintain or restore populations adapted to natural or semi-natural habitats. Recommendations are presented for management and monitoring—for example for a thorough review of hatchery operations, for more emphasis on monitoring individual-based factors such the physiological condition and growth rates of juveniles, and for simulation of major restoration actions and monitoring programs. The 17 chapters cover major conceptsin salmon biology and conceptual foundations for management, and Central Valley Chinook and steelhead populations and their habitat, growth and migration, habitat use, harvest, hatcheries, modeling, monitoring, and management.","container-title":"San Francisco Estuary and Watershed Science","DOI":"10.15447/sfews.2006v4iss3art2","issue":"3","language":"en","source":"escholarship.org","title":"Central Valley Salmon: A Perspective on Chinook and Steelhead in the Central Valley of California","title-short":"Central Valley Salmon","URL":"https://escholarship.org/uc/item/21v9x1t7","volume":"4","author":[{"family":"Williams","given":"John G."}],"accessed":{"date-parts":[["2026",1,5]]},"issued":{"date-parts":[["2006"]]}}},{"id":5348,"uris":["http://zotero.org/users/8421274/items/VU4C5NC2"],"itemData":{"id":5348,"type":"article-journal","abstract":"The Central Valley drainage of California formerly produced immense numbers of chinook salmon Oncorhynchus tshawytscha. Four seasonal runs occur in this system—fall, late</w:instrText>
      </w:r>
      <w:r w:rsidR="002204C4">
        <w:rPr>
          <w:rFonts w:ascii="Cambria Math" w:hAnsi="Cambria Math" w:cs="Cambria Math"/>
        </w:rPr>
        <w:instrText>‐</w:instrText>
      </w:r>
      <w:r w:rsidR="002204C4">
        <w:rPr>
          <w:rFonts w:ascii="Garamond" w:hAnsi="Garamond"/>
        </w:rPr>
        <w:instrText>fall, winter, and spring runs. Differences in life history timing and spatial distribution enabled the four runs to use the drainage to the fullest possible extent and once made it one of the richest regions in the world for chinook salmon production. Native American fishers within the Central Valley drainage harvested chinook salmon at estimated levels that reached 8.5 million pounds or more annually. Native harvests, therefore, were roughly comparable to the peak commercial harvests taken later by Euro</w:instrText>
      </w:r>
      <w:r w:rsidR="002204C4">
        <w:rPr>
          <w:rFonts w:ascii="Cambria Math" w:hAnsi="Cambria Math" w:cs="Cambria Math"/>
        </w:rPr>
        <w:instrText>‐</w:instrText>
      </w:r>
      <w:r w:rsidR="002204C4">
        <w:rPr>
          <w:rFonts w:ascii="Garamond" w:hAnsi="Garamond"/>
        </w:rPr>
        <w:instrText>American fishers, but whether or not native fishing depressed the productive capacities of the salmon populations to any substantial degree is not known. The commercial chinook salmon fishery in California started about 1850 in the San Francisco Bay and Sacramento–San Joaquin Delta region, where it formed the nucleus of the first major fishery conducted by Euro</w:instrText>
      </w:r>
      <w:r w:rsidR="002204C4">
        <w:rPr>
          <w:rFonts w:ascii="Cambria Math" w:hAnsi="Cambria Math" w:cs="Cambria Math"/>
        </w:rPr>
        <w:instrText>‐</w:instrText>
      </w:r>
      <w:r w:rsidR="002204C4">
        <w:rPr>
          <w:rFonts w:ascii="Garamond" w:hAnsi="Garamond"/>
        </w:rPr>
        <w:instrText>American immigrants in the state. This fishery was one of the important early industries that supported the Euro</w:instrText>
      </w:r>
      <w:r w:rsidR="002204C4">
        <w:rPr>
          <w:rFonts w:ascii="Cambria Math" w:hAnsi="Cambria Math" w:cs="Cambria Math"/>
        </w:rPr>
        <w:instrText>‐</w:instrText>
      </w:r>
      <w:r w:rsidR="002204C4">
        <w:rPr>
          <w:rFonts w:ascii="Garamond" w:hAnsi="Garamond"/>
        </w:rPr>
        <w:instrText>American settlement of the Central Valley region. The salmon fishery remained centered there until the early 1900s, when ocean salmon fishing began to expand and eventually came to dominate the fishery. Annual catches by the early Sacramento–San Joaquin in</w:instrText>
      </w:r>
      <w:r w:rsidR="002204C4">
        <w:rPr>
          <w:rFonts w:ascii="Cambria Math" w:hAnsi="Cambria Math" w:cs="Cambria Math"/>
        </w:rPr>
        <w:instrText>‐</w:instrText>
      </w:r>
      <w:r w:rsidR="002204C4">
        <w:rPr>
          <w:rFonts w:ascii="Garamond" w:hAnsi="Garamond"/>
        </w:rPr>
        <w:instrText>river fishery commonly reached 4–10 million pounds and generally were higher than the total statewide catches made during the most recent several decades. The historical abundances of Central Valley chinook salmon before large</w:instrText>
      </w:r>
      <w:r w:rsidR="002204C4">
        <w:rPr>
          <w:rFonts w:ascii="Cambria Math" w:hAnsi="Cambria Math" w:cs="Cambria Math"/>
        </w:rPr>
        <w:instrText>‐</w:instrText>
      </w:r>
      <w:r w:rsidR="002204C4">
        <w:rPr>
          <w:rFonts w:ascii="Garamond" w:hAnsi="Garamond"/>
        </w:rPr>
        <w:instrText>scale commercial exploitation and depletion of the runs cannot be determined with certainty. However, on the basis of early commercial catch records, the maximal production levels of the Central Valley chinook salmon stocks in aggregate may be conservatively estimated to have reached approximately 1–2 million spawners annually. Although substantial investment has been made by the state of California in managing the chinook salmon resource since the early years of the commercial fishery, chinook salmon have declined over the decades to small fractions of their previous numbers. The decline of the Central Valley chinook salmon resource was caused by several factors: overfishing, blockage and degradation of streams by mining activities, and reduction of salmon habitat and streamflows by dams and water diversions. Differences between the four chinook salmon runs in life history timing and habitat requirements partly account for their different population histories; the winter run is now threatened with extinction, the spring run recently has approached a similarly imperiled state, and the late</w:instrText>
      </w:r>
      <w:r w:rsidR="002204C4">
        <w:rPr>
          <w:rFonts w:ascii="Cambria Math" w:hAnsi="Cambria Math" w:cs="Cambria Math"/>
        </w:rPr>
        <w:instrText>‐</w:instrText>
      </w:r>
      <w:r w:rsidR="002204C4">
        <w:rPr>
          <w:rFonts w:ascii="Garamond" w:hAnsi="Garamond"/>
        </w:rPr>
        <w:instrText>fall run has been at moderately low population levels for the past two decades. Only the fall run, in aggregate, can be regarded as secure, but it too has undergone substantial reductions in abundance. Fall</w:instrText>
      </w:r>
      <w:r w:rsidR="002204C4">
        <w:rPr>
          <w:rFonts w:ascii="Cambria Math" w:hAnsi="Cambria Math" w:cs="Cambria Math"/>
        </w:rPr>
        <w:instrText>‐</w:instrText>
      </w:r>
      <w:r w:rsidR="002204C4">
        <w:rPr>
          <w:rFonts w:ascii="Garamond" w:hAnsi="Garamond"/>
        </w:rPr>
        <w:instrText xml:space="preserve">run spawner numbers were especially low in the San Joaquin River basin in recent years, and in Sacramento River basin streams their numbers have been heavily influenced by production of hatchery fish.","container-title":"North American Journal of Fisheries Management","DOI":"10.1577/1548-8675(1998)018&lt;0487:HAADOC&gt;2.0.CO;2","ISSN":"0275-5947","issue":"3","journalAbbreviation":"North American Journal of Fisheries Management","page":"487-521","source":"Silverchair","title":"Historical Abundance and Decline of Chinook Salmon in the Central Valley Region of California","volume":"18","author":[{"family":"Yoshiyama","given":"Ronald M."},{"family":"Fisher","given":"Frank W."},{"family":"Moyle","given":"Peter B."}],"issued":{"date-parts":[["1998",8,1]]}}}],"schema":"https://github.com/citation-style-language/schema/raw/master/csl-citation.json"} </w:instrText>
      </w:r>
      <w:r w:rsidR="004547E2">
        <w:rPr>
          <w:rFonts w:ascii="Garamond" w:hAnsi="Garamond"/>
        </w:rPr>
        <w:fldChar w:fldCharType="separate"/>
      </w:r>
      <w:r w:rsidR="002204C4">
        <w:rPr>
          <w:rFonts w:ascii="Garamond" w:hAnsi="Garamond"/>
          <w:noProof/>
        </w:rPr>
        <w:t>(Schoen et al., 2017; Williams, 2006; Yoshiyama et al., 1998)</w:t>
      </w:r>
      <w:r w:rsidR="004547E2">
        <w:rPr>
          <w:rFonts w:ascii="Garamond" w:hAnsi="Garamond"/>
        </w:rPr>
        <w:fldChar w:fldCharType="end"/>
      </w:r>
      <w:r w:rsidR="00490C40" w:rsidRPr="001A5573">
        <w:rPr>
          <w:rFonts w:ascii="Garamond" w:hAnsi="Garamond"/>
        </w:rPr>
        <w:t xml:space="preserve">. </w:t>
      </w:r>
      <w:r w:rsidR="00206BA8" w:rsidRPr="001A5573">
        <w:rPr>
          <w:rFonts w:ascii="Garamond" w:hAnsi="Garamond"/>
        </w:rPr>
        <w:t xml:space="preserve">Large, relatively free-flowing watersheds in Alaska support the largest remaining </w:t>
      </w:r>
      <w:r w:rsidR="00490C40" w:rsidRPr="001A5573">
        <w:rPr>
          <w:rFonts w:ascii="Garamond" w:hAnsi="Garamond"/>
        </w:rPr>
        <w:t xml:space="preserve">pacific salmon populations </w:t>
      </w:r>
      <w:r w:rsidR="00206BA8" w:rsidRPr="001A5573">
        <w:rPr>
          <w:rFonts w:ascii="Garamond" w:hAnsi="Garamond"/>
        </w:rPr>
        <w:t>and contain some of the last remaining pristine habitats</w:t>
      </w:r>
      <w:r w:rsidR="000A471B">
        <w:rPr>
          <w:rFonts w:ascii="Garamond" w:hAnsi="Garamond"/>
        </w:rPr>
        <w:t xml:space="preserve"> </w:t>
      </w:r>
      <w:r w:rsidR="002204C4">
        <w:rPr>
          <w:rFonts w:ascii="Garamond" w:hAnsi="Garamond"/>
        </w:rPr>
        <w:t xml:space="preserve">which are </w:t>
      </w:r>
      <w:r w:rsidR="00042ED8" w:rsidRPr="001A5573">
        <w:rPr>
          <w:rFonts w:ascii="Garamond" w:hAnsi="Garamond"/>
        </w:rPr>
        <w:t xml:space="preserve">expected to </w:t>
      </w:r>
      <w:r w:rsidR="00E225FA" w:rsidRPr="001A5573">
        <w:rPr>
          <w:rFonts w:ascii="Garamond" w:hAnsi="Garamond"/>
        </w:rPr>
        <w:t xml:space="preserve">function in ways that </w:t>
      </w:r>
      <w:r w:rsidR="00490C40" w:rsidRPr="001A5573">
        <w:rPr>
          <w:rFonts w:ascii="Garamond" w:hAnsi="Garamond"/>
        </w:rPr>
        <w:t xml:space="preserve">closely </w:t>
      </w:r>
      <w:r w:rsidR="00E225FA" w:rsidRPr="001A5573">
        <w:rPr>
          <w:rFonts w:ascii="Garamond" w:hAnsi="Garamond"/>
        </w:rPr>
        <w:t xml:space="preserve">reflect the natural processes of healthy </w:t>
      </w:r>
      <w:r w:rsidR="00936073">
        <w:rPr>
          <w:rFonts w:ascii="Garamond" w:hAnsi="Garamond"/>
        </w:rPr>
        <w:t xml:space="preserve">ecosystems </w:t>
      </w:r>
      <w:r w:rsidR="00C92E33">
        <w:rPr>
          <w:rFonts w:ascii="Garamond" w:hAnsi="Garamond"/>
        </w:rPr>
        <w:fldChar w:fldCharType="begin"/>
      </w:r>
      <w:r w:rsidR="00C92E33">
        <w:rPr>
          <w:rFonts w:ascii="Garamond" w:hAnsi="Garamond"/>
        </w:rPr>
        <w:instrText xml:space="preserve"> ADDIN ZOTERO_ITEM CSL_CITATION {"citationID":"OBNj6FQs","properties":{"formattedCitation":"(Schoen et al., 2017)","plainCitation":"(Schoen et al., 2017)","noteIndex":0},"citationItems":[{"id":6051,"uris":["http://zotero.org/users/8421274/items/UPNXXHTQ"],"itemData":{"id":6051,"type":"article-journal","abstract":"Pacific salmon Oncorhynchus spp. face serious challenges from climate and landscape change, particularly in the southern portion of their native range. Conversely, climate warming appears to be allowing salmon to expand northwards into the Arctic. Between these geographic extremes, in the Gulf of Alaska region, salmon are at historically high abundances but face an uncertain future due to rapid environmental change. We examined changes in climate, hydrology, land cover, salmon populations, and fisheries over the past 30–70 years in this region. We focused on the Kenai River, which supports world-famous fisheries but where Chinook Salmon O. tshawytscha populations have declined, raising concerns about their future resilience. The region is warming and experiencing drier summers and wetter autumns. The landscape is also changing, with melting glaciers, wetland loss, wildfires, and human development. This environmental transformation will likely harm some salmon populations while benefiting others. Lowland salmon streams are especially vulnerable, but retreating glaciers may allow production gains in other streams. Some fishing communities harvest a diverse portfolio of fluctuating resources, whereas others have specialized over time, potentially limiting their resilience. Maintaining diverse habitats and salmon runs may allow ecosystems and fisheries to continue to thrive amidst these changes.","container-title":"Fisheries","DOI":"10.1080/03632415.2017.1374251","ISSN":"0363-2415","issue":"10","note":"publisher: Taylor &amp; Francis\n_eprint: https://doi.org/10.1080/03632415.2017.1374251","page":"538-553","source":"Taylor and Francis+NEJM","title":"Future of Pacific Salmon in the Face of Environmental Change: Lessons from One of the World's Remaining Productive Salmon Regions","title-short":"Future of Pacific Salmon in the Face of Environmental Change","volume":"42","author":[{"family":"Schoen","given":"Erik R."},{"family":"Wipfli","given":"Mark S."},{"family":"Trammell","given":"E. Jamie"},{"family":"Rinella","given":"Daniel J."},{"family":"Floyd","given":"Angelica L."},{"family":"Grunblatt","given":"Jess"},{"family":"McCarthy","given":"Molly D."},{"family":"Meyer","given":"Benjamin E."},{"family":"Morton","given":"John M."},{"family":"Powell","given":"James E."},{"family":"Prakash","given":"Anupma"},{"family":"Reimer","given":"Matthew N."},{"family":"Stuefer","given":"Svetlana L."},{"family":"Toniolo","given":"Horacio"},{"family":"Wells","given":"Brett M."},{"family":"Witmer","given":"Frank D. W."}],"issued":{"date-parts":[["2017",10,3]]}}}],"schema":"https://github.com/citation-style-language/schema/raw/master/csl-citation.json"} </w:instrText>
      </w:r>
      <w:r w:rsidR="00C92E33">
        <w:rPr>
          <w:rFonts w:ascii="Garamond" w:hAnsi="Garamond"/>
        </w:rPr>
        <w:fldChar w:fldCharType="separate"/>
      </w:r>
      <w:r w:rsidR="00C92E33">
        <w:rPr>
          <w:rFonts w:ascii="Garamond" w:hAnsi="Garamond"/>
          <w:noProof/>
        </w:rPr>
        <w:t>(Schoen et al., 2017)</w:t>
      </w:r>
      <w:r w:rsidR="00C92E33">
        <w:rPr>
          <w:rFonts w:ascii="Garamond" w:hAnsi="Garamond"/>
        </w:rPr>
        <w:fldChar w:fldCharType="end"/>
      </w:r>
      <w:r w:rsidR="00042ED8" w:rsidRPr="001A5573">
        <w:rPr>
          <w:rFonts w:ascii="Garamond" w:hAnsi="Garamond"/>
        </w:rPr>
        <w:t>.</w:t>
      </w:r>
      <w:r w:rsidR="000A471B">
        <w:rPr>
          <w:rFonts w:ascii="Garamond" w:hAnsi="Garamond"/>
        </w:rPr>
        <w:t xml:space="preserve"> </w:t>
      </w:r>
      <w:r w:rsidR="00936073">
        <w:rPr>
          <w:rFonts w:ascii="Garamond" w:hAnsi="Garamond"/>
        </w:rPr>
        <w:t xml:space="preserve">As a result, these </w:t>
      </w:r>
      <w:r w:rsidR="0078224C" w:rsidRPr="001A5573">
        <w:rPr>
          <w:rFonts w:ascii="Garamond" w:hAnsi="Garamond"/>
        </w:rPr>
        <w:lastRenderedPageBreak/>
        <w:t>systems offer a</w:t>
      </w:r>
      <w:r w:rsidR="00490C40" w:rsidRPr="001A5573">
        <w:rPr>
          <w:rFonts w:ascii="Garamond" w:hAnsi="Garamond"/>
        </w:rPr>
        <w:t xml:space="preserve">n </w:t>
      </w:r>
      <w:r w:rsidR="0078224C" w:rsidRPr="001A5573">
        <w:rPr>
          <w:rFonts w:ascii="Garamond" w:hAnsi="Garamond"/>
        </w:rPr>
        <w:t xml:space="preserve">opportunity to </w:t>
      </w:r>
      <w:r w:rsidR="00936073" w:rsidRPr="001A5573">
        <w:rPr>
          <w:rFonts w:ascii="Garamond" w:hAnsi="Garamond"/>
        </w:rPr>
        <w:t>investigate</w:t>
      </w:r>
      <w:r w:rsidR="00490C40" w:rsidRPr="001A5573">
        <w:rPr>
          <w:rFonts w:ascii="Garamond" w:hAnsi="Garamond"/>
        </w:rPr>
        <w:t xml:space="preserve"> the ecological processes which govern </w:t>
      </w:r>
      <w:r w:rsidR="00771117" w:rsidRPr="001A5573">
        <w:rPr>
          <w:rFonts w:ascii="Garamond" w:hAnsi="Garamond"/>
        </w:rPr>
        <w:t>wil</w:t>
      </w:r>
      <w:r w:rsidR="006E5085">
        <w:rPr>
          <w:rFonts w:ascii="Garamond" w:hAnsi="Garamond"/>
        </w:rPr>
        <w:t>d salmon populations</w:t>
      </w:r>
      <w:r w:rsidR="0078224C" w:rsidRPr="001A5573">
        <w:rPr>
          <w:rFonts w:ascii="Garamond" w:hAnsi="Garamond"/>
        </w:rPr>
        <w:t xml:space="preserve">, </w:t>
      </w:r>
      <w:r w:rsidR="00770C34" w:rsidRPr="001A5573">
        <w:rPr>
          <w:rFonts w:ascii="Garamond" w:hAnsi="Garamond"/>
        </w:rPr>
        <w:t>provid</w:t>
      </w:r>
      <w:r w:rsidR="00936073">
        <w:rPr>
          <w:rFonts w:ascii="Garamond" w:hAnsi="Garamond"/>
        </w:rPr>
        <w:t xml:space="preserve">ing </w:t>
      </w:r>
      <w:r w:rsidR="0078224C" w:rsidRPr="001A5573">
        <w:rPr>
          <w:rFonts w:ascii="Garamond" w:hAnsi="Garamond"/>
        </w:rPr>
        <w:t>a baseline for restoring impacted watersheds</w:t>
      </w:r>
      <w:r w:rsidR="00771117" w:rsidRPr="001A5573">
        <w:rPr>
          <w:rFonts w:ascii="Garamond" w:hAnsi="Garamond"/>
        </w:rPr>
        <w:t xml:space="preserve"> elsewhere. </w:t>
      </w:r>
    </w:p>
    <w:p w14:paraId="2BCA3ADC" w14:textId="2AA76330" w:rsidR="007E5044" w:rsidRPr="001A5573" w:rsidRDefault="000A471B" w:rsidP="00BE6A22">
      <w:pPr>
        <w:pStyle w:val="font-claude-response-body"/>
        <w:spacing w:line="360" w:lineRule="auto"/>
        <w:ind w:firstLine="360"/>
        <w:rPr>
          <w:rFonts w:ascii="Garamond" w:hAnsi="Garamond"/>
        </w:rPr>
      </w:pPr>
      <w:r w:rsidRPr="00AF4733">
        <w:rPr>
          <w:rFonts w:ascii="Garamond" w:hAnsi="Garamond"/>
        </w:rPr>
        <w:t xml:space="preserve">Insights over the past decade have </w:t>
      </w:r>
      <w:r w:rsidR="00936073" w:rsidRPr="00AF4733">
        <w:rPr>
          <w:rFonts w:ascii="Garamond" w:hAnsi="Garamond"/>
        </w:rPr>
        <w:t xml:space="preserve">emphasized </w:t>
      </w:r>
      <w:r w:rsidRPr="00AF4733">
        <w:rPr>
          <w:rFonts w:ascii="Garamond" w:hAnsi="Garamond"/>
        </w:rPr>
        <w:t>the</w:t>
      </w:r>
      <w:r w:rsidR="00936073" w:rsidRPr="00AF4733">
        <w:rPr>
          <w:rFonts w:ascii="Garamond" w:hAnsi="Garamond"/>
        </w:rPr>
        <w:t xml:space="preserve"> </w:t>
      </w:r>
      <w:r w:rsidRPr="00AF4733">
        <w:rPr>
          <w:rFonts w:ascii="Garamond" w:hAnsi="Garamond"/>
        </w:rPr>
        <w:t>importance of landscape heterogeneity</w:t>
      </w:r>
      <w:r w:rsidR="00936073" w:rsidRPr="00AF4733">
        <w:rPr>
          <w:rFonts w:ascii="Garamond" w:hAnsi="Garamond"/>
        </w:rPr>
        <w:t xml:space="preserve"> </w:t>
      </w:r>
      <w:r w:rsidRPr="00AF4733">
        <w:rPr>
          <w:rFonts w:ascii="Garamond" w:hAnsi="Garamond"/>
        </w:rPr>
        <w:t xml:space="preserve">to the long-term stability of </w:t>
      </w:r>
      <w:r w:rsidR="00936073" w:rsidRPr="00AF4733">
        <w:rPr>
          <w:rFonts w:ascii="Garamond" w:hAnsi="Garamond"/>
        </w:rPr>
        <w:t xml:space="preserve">ecosystems </w:t>
      </w:r>
      <w:r w:rsidRPr="00AF4733">
        <w:rPr>
          <w:rFonts w:ascii="Garamond" w:hAnsi="Garamond"/>
        </w:rPr>
        <w:t xml:space="preserve">(cite, cite, cite). </w:t>
      </w:r>
      <w:r w:rsidR="00E25CF8" w:rsidRPr="00AF4733">
        <w:rPr>
          <w:rFonts w:ascii="Garamond" w:hAnsi="Garamond"/>
        </w:rPr>
        <w:t xml:space="preserve">In well-functioning systems, variation in </w:t>
      </w:r>
      <w:r w:rsidR="00936073" w:rsidRPr="00AF4733">
        <w:rPr>
          <w:rFonts w:ascii="Garamond" w:hAnsi="Garamond"/>
        </w:rPr>
        <w:t xml:space="preserve">local </w:t>
      </w:r>
      <w:r w:rsidR="00E25CF8" w:rsidRPr="00AF4733">
        <w:rPr>
          <w:rFonts w:ascii="Garamond" w:hAnsi="Garamond"/>
        </w:rPr>
        <w:t>biophysical conditions (e.g., hydrology, temperature) filter broad environmental drivers (e.g., precipitation, air temperature)</w:t>
      </w:r>
      <w:r w:rsidR="00E26A4D">
        <w:rPr>
          <w:rFonts w:ascii="Garamond" w:hAnsi="Garamond"/>
        </w:rPr>
        <w:t xml:space="preserve"> to </w:t>
      </w:r>
      <w:r w:rsidR="00936073" w:rsidRPr="00AF4733">
        <w:rPr>
          <w:rFonts w:ascii="Garamond" w:hAnsi="Garamond"/>
        </w:rPr>
        <w:t>produc</w:t>
      </w:r>
      <w:r w:rsidR="00E26A4D">
        <w:rPr>
          <w:rFonts w:ascii="Garamond" w:hAnsi="Garamond"/>
        </w:rPr>
        <w:t>e</w:t>
      </w:r>
      <w:r w:rsidR="00936073" w:rsidRPr="00AF4733">
        <w:rPr>
          <w:rFonts w:ascii="Garamond" w:hAnsi="Garamond"/>
        </w:rPr>
        <w:t xml:space="preserve"> </w:t>
      </w:r>
      <w:r w:rsidR="00E26A4D">
        <w:rPr>
          <w:rFonts w:ascii="Garamond" w:hAnsi="Garamond"/>
        </w:rPr>
        <w:t xml:space="preserve">a continuum of </w:t>
      </w:r>
      <w:r w:rsidR="00936073" w:rsidRPr="00AF4733">
        <w:rPr>
          <w:rFonts w:ascii="Garamond" w:hAnsi="Garamond"/>
        </w:rPr>
        <w:t>habitat</w:t>
      </w:r>
      <w:r w:rsidR="00E26A4D">
        <w:rPr>
          <w:rFonts w:ascii="Garamond" w:hAnsi="Garamond"/>
        </w:rPr>
        <w:t xml:space="preserve"> types and</w:t>
      </w:r>
      <w:r w:rsidR="00936073" w:rsidRPr="00AF4733">
        <w:rPr>
          <w:rFonts w:ascii="Garamond" w:hAnsi="Garamond"/>
        </w:rPr>
        <w:t xml:space="preserve"> conditions </w:t>
      </w:r>
      <w:r w:rsidR="00E26A4D">
        <w:rPr>
          <w:rFonts w:ascii="Garamond" w:hAnsi="Garamond"/>
        </w:rPr>
        <w:t>across the landscape</w:t>
      </w:r>
      <w:r w:rsidR="00FB7D7A">
        <w:rPr>
          <w:rFonts w:ascii="Garamond" w:hAnsi="Garamond"/>
        </w:rPr>
        <w:t xml:space="preserve">. As these interactions shift across space and time, the configuration of these habitat conditions reconfigures. This, in turn, produces patterns of fishery production which vary in their spatial distribution, reflecting the response of locally adapted subpopulations to the shifting </w:t>
      </w:r>
      <w:r w:rsidR="00BB166C">
        <w:rPr>
          <w:rFonts w:ascii="Garamond" w:hAnsi="Garamond"/>
        </w:rPr>
        <w:t xml:space="preserve">distribution of optimal habitat. </w:t>
      </w:r>
      <w:r w:rsidR="00FB7D7A">
        <w:rPr>
          <w:rFonts w:ascii="Garamond" w:hAnsi="Garamond"/>
        </w:rPr>
        <w:t>A so called “shifting habitat mosaic” is therefore expected to stabilize ecosystem-scale performance by maximizing the potential habitat types which can arise from several prevailing environmental or climate conditions</w:t>
      </w:r>
      <w:r w:rsidR="00D71F61">
        <w:rPr>
          <w:rFonts w:ascii="Garamond" w:hAnsi="Garamond"/>
        </w:rPr>
        <w:t xml:space="preserve">, and, as a result, maximizing the likelihood that favorable conditions will exist somewhere in the basin across a variety of potential scenarios. This pattern has been reconstructed in </w:t>
      </w:r>
      <w:r w:rsidR="00832611" w:rsidRPr="001A5573">
        <w:rPr>
          <w:rFonts w:ascii="Garamond" w:hAnsi="Garamond"/>
        </w:rPr>
        <w:t>relatively small ecosystems</w:t>
      </w:r>
      <w:r w:rsidR="00D71F61">
        <w:rPr>
          <w:rFonts w:ascii="Garamond" w:hAnsi="Garamond"/>
        </w:rPr>
        <w:t xml:space="preserve"> [ref] and at the watershed scale in Alaska </w:t>
      </w:r>
      <w:r w:rsidR="0086569A">
        <w:rPr>
          <w:rFonts w:ascii="Garamond" w:hAnsi="Garamond"/>
        </w:rPr>
        <w:t xml:space="preserve">at relatively short timescales (&lt; 3 years). However, the spatial ecology of Alaska’s largest salmon baring watersheds, the Yukon and Kuskokwim river-basins, are poorly understood, and it has not been explored to what extend this pattern plays out at much larger spatial scales or over longer temporal scales. </w:t>
      </w:r>
      <w:r w:rsidR="00832611" w:rsidRPr="001A5573">
        <w:rPr>
          <w:rFonts w:ascii="Garamond" w:hAnsi="Garamond"/>
        </w:rPr>
        <w:t xml:space="preserve">Here, we reconstruct spatiotemporal patterns of </w:t>
      </w:r>
      <w:r w:rsidR="00DA21A1">
        <w:rPr>
          <w:rFonts w:ascii="Garamond" w:hAnsi="Garamond"/>
        </w:rPr>
        <w:t xml:space="preserve">natal origin habitat for Chinook salmon (sp.) in the Yukon and Kuskokwim river-basins using otolith microchemistry. In doing so, we explore the </w:t>
      </w:r>
      <w:r w:rsidR="00BE6A22">
        <w:rPr>
          <w:rFonts w:ascii="Garamond" w:hAnsi="Garamond"/>
        </w:rPr>
        <w:t xml:space="preserve">natural spatial ecology of Chinook salmon in a pristine, free flowing watershed and explore the potential of a shifting habitat mosaic to produce variability in the spatial distribution of life histories and to buffer watershed production across this variability across the basin. </w:t>
      </w:r>
    </w:p>
    <w:p w14:paraId="6A915326" w14:textId="77777777" w:rsidR="00D93412" w:rsidRPr="001A5573" w:rsidRDefault="00D93412" w:rsidP="001458A1">
      <w:pPr>
        <w:pStyle w:val="font-claude-response-body"/>
        <w:spacing w:line="360" w:lineRule="auto"/>
        <w:rPr>
          <w:rFonts w:ascii="Garamond" w:hAnsi="Garamond"/>
          <w:b/>
          <w:bCs/>
          <w:u w:val="single"/>
        </w:rPr>
      </w:pPr>
    </w:p>
    <w:p w14:paraId="7C1A9FD7" w14:textId="77777777" w:rsidR="00D93412" w:rsidRPr="001A5573" w:rsidRDefault="00D93412" w:rsidP="001458A1">
      <w:pPr>
        <w:pStyle w:val="font-claude-response-body"/>
        <w:spacing w:line="360" w:lineRule="auto"/>
        <w:rPr>
          <w:rFonts w:ascii="Garamond" w:hAnsi="Garamond"/>
          <w:b/>
          <w:bCs/>
          <w:u w:val="single"/>
        </w:rPr>
      </w:pPr>
    </w:p>
    <w:p w14:paraId="28488EA9" w14:textId="06C62F8B" w:rsidR="00D93412" w:rsidRPr="001A5573" w:rsidRDefault="001458A1" w:rsidP="001458A1">
      <w:pPr>
        <w:pStyle w:val="font-claude-response-body"/>
        <w:spacing w:line="360" w:lineRule="auto"/>
        <w:rPr>
          <w:rFonts w:ascii="Garamond" w:hAnsi="Garamond"/>
          <w:b/>
          <w:bCs/>
          <w:u w:val="single"/>
        </w:rPr>
      </w:pPr>
      <w:r w:rsidRPr="001A5573">
        <w:rPr>
          <w:rFonts w:ascii="Garamond" w:hAnsi="Garamond"/>
          <w:b/>
          <w:bCs/>
          <w:u w:val="single"/>
        </w:rPr>
        <w:t>Methods</w:t>
      </w:r>
      <w:r w:rsidR="007E5044" w:rsidRPr="001A5573">
        <w:rPr>
          <w:rFonts w:ascii="Garamond" w:hAnsi="Garamond"/>
          <w:b/>
          <w:bCs/>
          <w:u w:val="single"/>
        </w:rPr>
        <w:t xml:space="preserve">: </w:t>
      </w:r>
    </w:p>
    <w:p w14:paraId="25DACF6F" w14:textId="7950C1A6" w:rsidR="007E0C3E" w:rsidRPr="001A5573" w:rsidRDefault="007E0C3E" w:rsidP="007E0C3E">
      <w:pPr>
        <w:pStyle w:val="font-claude-response-body"/>
        <w:spacing w:line="360" w:lineRule="auto"/>
        <w:rPr>
          <w:rFonts w:ascii="Garamond" w:hAnsi="Garamond"/>
          <w:b/>
          <w:bCs/>
          <w:u w:val="single"/>
        </w:rPr>
      </w:pPr>
      <w:r w:rsidRPr="001A5573">
        <w:rPr>
          <w:rFonts w:ascii="Garamond" w:hAnsi="Garamond"/>
          <w:b/>
          <w:bCs/>
          <w:u w:val="single"/>
        </w:rPr>
        <w:t xml:space="preserve">Otolith and Genetic Data: </w:t>
      </w:r>
    </w:p>
    <w:p w14:paraId="1A40552A" w14:textId="4D8E0867" w:rsidR="005462A2" w:rsidRPr="001A5573" w:rsidRDefault="00D93412" w:rsidP="005462A2">
      <w:pPr>
        <w:pStyle w:val="font-claude-response-body"/>
        <w:spacing w:line="360" w:lineRule="auto"/>
        <w:ind w:firstLine="720"/>
        <w:rPr>
          <w:rFonts w:ascii="Garamond" w:hAnsi="Garamond"/>
        </w:rPr>
      </w:pPr>
      <w:r w:rsidRPr="001A5573">
        <w:rPr>
          <w:rFonts w:ascii="Garamond" w:hAnsi="Garamond"/>
        </w:rPr>
        <w:lastRenderedPageBreak/>
        <w:t xml:space="preserve">Chinook salmon otoliths were collected from the Yukon (2015, 2016, 2019–2021) and Kuskokwim (2017–2022) rivers over several years from the downstream terminus of both rivers. Yukon otoliths were collected from the Lower Yukon Test Fishery (LYTF) operated by the Alaska Department of Fish and Game near Emmonok, Ak and Kuskokwim otoliths were collected by collaborators at the Orutsararmiut Native Council at the Bethel Test Fishery (BTF) near Bethel, AK (Figure _). It is assumed that fish caught in each test fishery reared in their respective river and were therefore returning to their natal spawning grounds on capture. Both test fisheries are designed to </w:t>
      </w:r>
      <w:r w:rsidR="0017696D" w:rsidRPr="001A5573">
        <w:rPr>
          <w:rFonts w:ascii="Garamond" w:hAnsi="Garamond"/>
        </w:rPr>
        <w:t xml:space="preserve">sample throughout the run to gain insight on the timing of individual stocks throughout the basin. </w:t>
      </w:r>
      <w:r w:rsidRPr="001A5573">
        <w:rPr>
          <w:rFonts w:ascii="Garamond" w:hAnsi="Garamond"/>
        </w:rPr>
        <w:t>Roughly 500 otoliths were collected from each sample site and in each year, with the exception of</w:t>
      </w:r>
      <w:commentRangeStart w:id="0"/>
      <w:r w:rsidRPr="001A5573">
        <w:rPr>
          <w:rFonts w:ascii="Garamond" w:hAnsi="Garamond"/>
        </w:rPr>
        <w:t xml:space="preserve"> ________________. </w:t>
      </w:r>
      <w:commentRangeEnd w:id="0"/>
      <w:r w:rsidRPr="001A5573">
        <w:rPr>
          <w:rStyle w:val="CommentReference"/>
          <w:rFonts w:ascii="Garamond" w:hAnsi="Garamond"/>
          <w:sz w:val="24"/>
          <w:szCs w:val="24"/>
        </w:rPr>
        <w:commentReference w:id="0"/>
      </w:r>
      <w:r w:rsidRPr="001A5573">
        <w:rPr>
          <w:rFonts w:ascii="Garamond" w:hAnsi="Garamond"/>
        </w:rPr>
        <w:t xml:space="preserve">From these, ~250 otoliths per river and per year were selected for further analysis, ensuring relatively equal representation relative to CPUE across the full year. </w:t>
      </w:r>
      <w:r w:rsidR="0017696D" w:rsidRPr="001A5573">
        <w:rPr>
          <w:rFonts w:ascii="Garamond" w:hAnsi="Garamond"/>
        </w:rPr>
        <w:t>Selected otoliths wer</w:t>
      </w:r>
      <w:r w:rsidR="00B52516" w:rsidRPr="001A5573">
        <w:rPr>
          <w:rFonts w:ascii="Garamond" w:hAnsi="Garamond"/>
        </w:rPr>
        <w:t xml:space="preserve">e cut along the transverse plane using a low speed isomet saw to reveal the core and growth structure of the otolith, mounted on a microscope slide, and polished. </w:t>
      </w:r>
      <w:r w:rsidR="00B52516" w:rsidRPr="001A5573">
        <w:rPr>
          <w:rFonts w:ascii="Garamond" w:hAnsi="Garamond"/>
        </w:rPr>
        <w:fldChar w:fldCharType="begin"/>
      </w:r>
      <w:r w:rsidR="00B52516" w:rsidRPr="001A5573">
        <w:rPr>
          <w:rFonts w:ascii="Garamond" w:hAnsi="Garamond"/>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B52516" w:rsidRPr="001A5573">
        <w:rPr>
          <w:rFonts w:ascii="Garamond" w:hAnsi="Garamond"/>
        </w:rPr>
        <w:fldChar w:fldCharType="separate"/>
      </w:r>
      <w:r w:rsidR="00B52516" w:rsidRPr="001A5573">
        <w:rPr>
          <w:rFonts w:ascii="Garamond" w:hAnsi="Garamond"/>
          <w:noProof/>
        </w:rPr>
        <w:t>(Donohoe &amp; Zimmerman, 2010; Zimmerman &amp; Reeves, 2002)</w:t>
      </w:r>
      <w:r w:rsidR="00B52516" w:rsidRPr="001A5573">
        <w:rPr>
          <w:rFonts w:ascii="Garamond" w:hAnsi="Garamond"/>
        </w:rPr>
        <w:fldChar w:fldCharType="end"/>
      </w:r>
      <w:r w:rsidR="00B52516" w:rsidRPr="001A5573">
        <w:rPr>
          <w:rFonts w:ascii="Garamond" w:hAnsi="Garamond"/>
        </w:rPr>
        <w:t xml:space="preserve">. Samples were then analyzed for Sr8786 and Sr88 using Laser Ablation Inductively Coupled Plasma Mass Spectrometry (LA-ICP-MS) at the University of Utah Strontium Metals Lab. Laser ablation was performed from the otolith core to just after the onset of the marine signature along the dorsal lobe scanning at 2 microns/second. </w:t>
      </w:r>
      <w:r w:rsidR="00531B95" w:rsidRPr="001A5573">
        <w:rPr>
          <w:rFonts w:ascii="Garamond" w:hAnsi="Garamond"/>
        </w:rPr>
        <w:t xml:space="preserve">The Sr87/Sr86 value from the natal rearing location was identified manually by examining the first stable value following the rapid decrease from that of the core, which was identified both by examining the position of the ablation transect relative to the visible core region on the otolith as well as a general </w:t>
      </w:r>
      <w:r w:rsidR="005462A2" w:rsidRPr="001A5573">
        <w:rPr>
          <w:rFonts w:ascii="Garamond" w:hAnsi="Garamond"/>
        </w:rPr>
        <w:t>convergence</w:t>
      </w:r>
      <w:r w:rsidR="00531B95" w:rsidRPr="001A5573">
        <w:rPr>
          <w:rFonts w:ascii="Garamond" w:hAnsi="Garamond"/>
        </w:rPr>
        <w:t xml:space="preserve"> towards the global marine Sr8786 value (0.70819</w:t>
      </w:r>
      <w:r w:rsidR="005462A2" w:rsidRPr="001A5573">
        <w:rPr>
          <w:rFonts w:ascii="Garamond" w:hAnsi="Garamond"/>
        </w:rPr>
        <w:t xml:space="preserve">). Fin clip samples were taken from as many Yukon individuals as possible and genetic stock identification (GSI) assignments were estimated based on methods in Makhlouf et al., 2025 using X genetic baselines ( cites from there here). </w:t>
      </w:r>
    </w:p>
    <w:p w14:paraId="6CDF2D7D" w14:textId="77777777" w:rsidR="00617B10" w:rsidRPr="001A5573" w:rsidRDefault="00617B10" w:rsidP="001458A1">
      <w:pPr>
        <w:pStyle w:val="font-claude-response-body"/>
        <w:spacing w:line="360" w:lineRule="auto"/>
        <w:rPr>
          <w:rFonts w:ascii="Garamond" w:hAnsi="Garamond"/>
          <w:b/>
          <w:bCs/>
          <w:u w:val="single"/>
        </w:rPr>
      </w:pPr>
    </w:p>
    <w:p w14:paraId="77312142" w14:textId="77777777" w:rsidR="00617B10" w:rsidRPr="001A5573" w:rsidRDefault="00617B10" w:rsidP="001458A1">
      <w:pPr>
        <w:pStyle w:val="font-claude-response-body"/>
        <w:spacing w:line="360" w:lineRule="auto"/>
        <w:rPr>
          <w:rFonts w:ascii="Garamond" w:hAnsi="Garamond"/>
          <w:b/>
          <w:bCs/>
          <w:u w:val="single"/>
        </w:rPr>
      </w:pPr>
    </w:p>
    <w:p w14:paraId="365A8E8B" w14:textId="0AEE68A4" w:rsidR="00923E83" w:rsidRPr="001A5573" w:rsidRDefault="00923E83" w:rsidP="001458A1">
      <w:pPr>
        <w:pStyle w:val="font-claude-response-body"/>
        <w:spacing w:line="360" w:lineRule="auto"/>
        <w:rPr>
          <w:rFonts w:ascii="Garamond" w:hAnsi="Garamond"/>
          <w:b/>
          <w:bCs/>
          <w:u w:val="single"/>
        </w:rPr>
      </w:pPr>
      <w:r w:rsidRPr="001A5573">
        <w:rPr>
          <w:rFonts w:ascii="Garamond" w:hAnsi="Garamond"/>
          <w:b/>
          <w:bCs/>
          <w:u w:val="single"/>
        </w:rPr>
        <w:t>Provenance estimates</w:t>
      </w:r>
    </w:p>
    <w:p w14:paraId="4C690695" w14:textId="47A06FAA" w:rsidR="00617B10" w:rsidRPr="001A5573" w:rsidRDefault="00A6046C" w:rsidP="00A6046C">
      <w:pPr>
        <w:pStyle w:val="font-claude-response-body"/>
        <w:spacing w:line="360" w:lineRule="auto"/>
        <w:ind w:firstLine="720"/>
        <w:rPr>
          <w:rFonts w:ascii="Garamond" w:hAnsi="Garamond"/>
          <w:b/>
          <w:bCs/>
          <w:u w:val="single"/>
        </w:rPr>
      </w:pPr>
      <w:r w:rsidRPr="001A5573">
        <w:rPr>
          <w:rFonts w:ascii="Garamond" w:hAnsi="Garamond"/>
        </w:rPr>
        <w:t xml:space="preserve">Maps of the spatial distribution of ^87Sr/^86Sr (i.e., “isoscapes”) have been developed for both the Kuskokwim and Yukon river basins using spatial stream network modeling (SSNM). This </w:t>
      </w:r>
      <w:r w:rsidRPr="001A5573">
        <w:rPr>
          <w:rFonts w:ascii="Garamond" w:hAnsi="Garamond"/>
        </w:rPr>
        <w:lastRenderedPageBreak/>
        <w:t>approach accounts for both Euclidean and flow-connected spatial autocorrelation, as well as the influence of multiple reach-scale covariates on strontium isotope ratios (French et al., X; Makhlouf et al., 2025). Both isoscapes include reach-specific estimates of model uncertainty. Because the Yukon isoscape encompasses a substantially larger spatial extent and has lower sampling density per river kilometer, associated prediction error is considerably higher than in the Kuskokwim (add error range). In both systems, however, reaches with exceptionally low prediction error—typically those closest to sampling locations—are relatively rare and tend to receive a disproportionate number of assignments.</w:t>
      </w:r>
      <w:r w:rsidR="006D31BE" w:rsidRPr="001A5573">
        <w:rPr>
          <w:rFonts w:ascii="Garamond" w:hAnsi="Garamond"/>
        </w:rPr>
        <w:t xml:space="preserve"> To avoid this, minimum error values for each isoscape were adjusted to .003 and .00003 for the Yukon and Kuskokwim isoscape, respectively. All reaches with error values below this were assigned this value. </w:t>
      </w:r>
    </w:p>
    <w:p w14:paraId="7EDDF165" w14:textId="50983BFB" w:rsidR="00B7063C" w:rsidRDefault="00B7063C" w:rsidP="00B7063C">
      <w:pPr>
        <w:pStyle w:val="font-claude-response-body"/>
        <w:spacing w:line="360" w:lineRule="auto"/>
        <w:rPr>
          <w:rFonts w:ascii="Garamond" w:hAnsi="Garamond"/>
        </w:rPr>
      </w:pPr>
      <w:r w:rsidRPr="001A5573">
        <w:rPr>
          <w:rFonts w:ascii="Garamond" w:hAnsi="Garamond"/>
        </w:rPr>
        <w:tab/>
      </w:r>
      <w:r w:rsidR="000B246E" w:rsidRPr="001A5573">
        <w:rPr>
          <w:rFonts w:ascii="Garamond" w:hAnsi="Garamond"/>
        </w:rPr>
        <w:t xml:space="preserve">From the extracted natal-origin values, the likelihood of provenance was estimated for all reaches within each basin using a probabilistic Bayesian framework (Makhlouf et al., 2025). For Yukon samples, a genetic prior was incorporated based on posterior probabilities from genetic stock identification assignments (Makhlouf et al., 2025). In addition, three spatial priors were applied to reduce assignment to reaches with low likelihood of occupancy by spawning adult Chinook salmon. </w:t>
      </w:r>
      <w:r w:rsidR="009E2EDB" w:rsidRPr="001A5573">
        <w:rPr>
          <w:rFonts w:ascii="Garamond" w:hAnsi="Garamond"/>
        </w:rPr>
        <w:t>Specifically, assignments were constrained to streams of order X or greater, and a habitat prior assigned zero probability to reaches with average channel gradients &gt; X. Together, these constraints reflect the preference of Chinook salmon for spawning in larger tributaries and the observed unsuitability of both extremely low-gradient and steep reaches. Finally, a “presence prior” was derived from USGS intrinsic potential mapping, which identifies reaches where spawning Chinook salmon have been observed based on multiple data sources [ref]. This prior was applied to mainstem tributaries in both river basins, assigning zero probability to reaches with no documented evidence of spawning Chinook salmon. We restricted application of this prior to mainstem reaches to avoid unduly limiting assignments in more remote tributaries where the absence of observations likely reflects limited sampling effort rather than true absence, while still incorporating available presence information into the assignment framework.</w:t>
      </w:r>
      <w:r w:rsidR="00305904">
        <w:rPr>
          <w:rFonts w:ascii="Garamond" w:hAnsi="Garamond"/>
        </w:rPr>
        <w:t xml:space="preserve"> </w:t>
      </w:r>
      <w:r w:rsidR="00C72A0B">
        <w:rPr>
          <w:rFonts w:ascii="Garamond" w:hAnsi="Garamond"/>
        </w:rPr>
        <w:t xml:space="preserve">For each individual, the result is a posterior probability of provenance for all tributaries in the basin. These data were then normalized to sum to 1 across the basin and rescaled to range from 0-1, thereby indicating relative probability of provenance across the basin. </w:t>
      </w:r>
    </w:p>
    <w:p w14:paraId="4B94F9FB" w14:textId="77777777" w:rsidR="00C72A0B" w:rsidRDefault="00C72A0B" w:rsidP="00B7063C">
      <w:pPr>
        <w:pStyle w:val="font-claude-response-body"/>
        <w:spacing w:line="360" w:lineRule="auto"/>
        <w:rPr>
          <w:rFonts w:ascii="Garamond" w:hAnsi="Garamond"/>
        </w:rPr>
      </w:pPr>
    </w:p>
    <w:p w14:paraId="11ADC1DF" w14:textId="240A4E7F" w:rsidR="00C72A0B" w:rsidRPr="00453CA2" w:rsidRDefault="00C72A0B" w:rsidP="00B7063C">
      <w:pPr>
        <w:pStyle w:val="font-claude-response-body"/>
        <w:spacing w:line="360" w:lineRule="auto"/>
        <w:rPr>
          <w:rFonts w:ascii="Garamond" w:hAnsi="Garamond"/>
          <w:b/>
          <w:bCs/>
        </w:rPr>
      </w:pPr>
      <w:r w:rsidRPr="00453CA2">
        <w:rPr>
          <w:rFonts w:ascii="Garamond" w:hAnsi="Garamond"/>
          <w:b/>
          <w:bCs/>
        </w:rPr>
        <w:lastRenderedPageBreak/>
        <w:t xml:space="preserve">Population scale provenance Estimates </w:t>
      </w:r>
    </w:p>
    <w:p w14:paraId="25ED1735" w14:textId="07FD2467" w:rsidR="00B7063C" w:rsidRDefault="00E42C33" w:rsidP="00453CA2">
      <w:pPr>
        <w:pStyle w:val="font-claude-response-body"/>
        <w:spacing w:line="360" w:lineRule="auto"/>
        <w:ind w:firstLine="720"/>
        <w:rPr>
          <w:rFonts w:ascii="Garamond" w:hAnsi="Garamond"/>
        </w:rPr>
      </w:pPr>
      <w:r w:rsidRPr="00453CA2">
        <w:rPr>
          <w:rFonts w:ascii="Garamond" w:hAnsi="Garamond"/>
        </w:rPr>
        <w:t xml:space="preserve">To estimate the spatial distribution of natal origin locations across the full year, normalized individual probabilities were summed across all locations. Before summing, each individual’s normalized provenance assignment was weighted by the ratio of the catch-per-unit-effort (CPUE) proportion to the proportion of the total otolith dataset within five equally spaced seasonal strata. This weighting ensured that otolith-based assignments proportionally represented the number of fish entering the river throughout the season. Summed basin-scale estimates of natal origin were then rescaled to sum to 1 and normalized to range from 0 to 1, reflecting relative production across the basin. Finally, these rescaled basin-scale assignments were multiplied by </w:t>
      </w:r>
      <w:r w:rsidRPr="00453CA2">
        <w:rPr>
          <w:rStyle w:val="Emphasis"/>
          <w:rFonts w:ascii="Garamond" w:eastAsiaTheme="majorEastAsia" w:hAnsi="Garamond"/>
        </w:rPr>
        <w:t>Total escapement</w:t>
      </w:r>
      <w:r w:rsidRPr="00453CA2">
        <w:rPr>
          <w:rFonts w:ascii="Garamond" w:hAnsi="Garamond"/>
        </w:rPr>
        <w:t xml:space="preserve"> to convert relative production estimates into the estimated number of individuals originating from each reach.</w:t>
      </w:r>
    </w:p>
    <w:p w14:paraId="508906D8" w14:textId="77777777" w:rsidR="00453CA2" w:rsidRDefault="00453CA2" w:rsidP="00453CA2">
      <w:pPr>
        <w:pStyle w:val="font-claude-response-body"/>
        <w:spacing w:line="360" w:lineRule="auto"/>
        <w:rPr>
          <w:rFonts w:ascii="Garamond" w:hAnsi="Garamond"/>
        </w:rPr>
      </w:pPr>
    </w:p>
    <w:p w14:paraId="04EDEFAD" w14:textId="73981FA0" w:rsidR="00453CA2" w:rsidRPr="00453CA2" w:rsidRDefault="00453CA2" w:rsidP="00453CA2">
      <w:pPr>
        <w:pStyle w:val="font-claude-response-body"/>
        <w:spacing w:line="360" w:lineRule="auto"/>
        <w:rPr>
          <w:rFonts w:ascii="Garamond" w:hAnsi="Garamond"/>
        </w:rPr>
      </w:pPr>
      <w:r>
        <w:rPr>
          <w:rFonts w:ascii="Garamond" w:hAnsi="Garamond"/>
        </w:rPr>
        <w:t xml:space="preserve">Spatial distribution of Age class and top growth </w:t>
      </w:r>
    </w:p>
    <w:p w14:paraId="1B039373" w14:textId="77777777" w:rsidR="001A5573" w:rsidRDefault="001A5573" w:rsidP="00B7063C">
      <w:pPr>
        <w:pStyle w:val="font-claude-response-body"/>
        <w:spacing w:line="360" w:lineRule="auto"/>
        <w:rPr>
          <w:rFonts w:ascii="Garamond" w:hAnsi="Garamond"/>
        </w:rPr>
      </w:pPr>
    </w:p>
    <w:p w14:paraId="0DBD65D8" w14:textId="77777777" w:rsidR="001A5573" w:rsidRDefault="001A5573" w:rsidP="00B7063C">
      <w:pPr>
        <w:pStyle w:val="font-claude-response-body"/>
        <w:spacing w:line="360" w:lineRule="auto"/>
        <w:rPr>
          <w:rFonts w:ascii="Garamond" w:hAnsi="Garamond"/>
        </w:rPr>
      </w:pPr>
    </w:p>
    <w:p w14:paraId="5DCE5F84" w14:textId="77777777" w:rsidR="00C72A0B" w:rsidRDefault="00C72A0B" w:rsidP="00B7063C">
      <w:pPr>
        <w:pStyle w:val="font-claude-response-body"/>
        <w:spacing w:line="360" w:lineRule="auto"/>
        <w:rPr>
          <w:rFonts w:ascii="Garamond" w:hAnsi="Garamond"/>
        </w:rPr>
      </w:pPr>
    </w:p>
    <w:p w14:paraId="0F7F824C" w14:textId="77777777" w:rsidR="00C72A0B" w:rsidRDefault="00C72A0B" w:rsidP="00B7063C">
      <w:pPr>
        <w:pStyle w:val="font-claude-response-body"/>
        <w:spacing w:line="360" w:lineRule="auto"/>
        <w:rPr>
          <w:rFonts w:ascii="Garamond" w:hAnsi="Garamond"/>
        </w:rPr>
      </w:pPr>
    </w:p>
    <w:p w14:paraId="369AEB74" w14:textId="77777777" w:rsidR="00C72A0B" w:rsidRDefault="00C72A0B" w:rsidP="00B7063C">
      <w:pPr>
        <w:pStyle w:val="font-claude-response-body"/>
        <w:spacing w:line="360" w:lineRule="auto"/>
        <w:rPr>
          <w:rFonts w:ascii="Garamond" w:hAnsi="Garamond"/>
        </w:rPr>
      </w:pPr>
    </w:p>
    <w:p w14:paraId="79DA45B8" w14:textId="77777777" w:rsidR="00C72A0B" w:rsidRDefault="00C72A0B" w:rsidP="00B7063C">
      <w:pPr>
        <w:pStyle w:val="font-claude-response-body"/>
        <w:spacing w:line="360" w:lineRule="auto"/>
        <w:rPr>
          <w:rFonts w:ascii="Garamond" w:hAnsi="Garamond"/>
        </w:rPr>
      </w:pPr>
    </w:p>
    <w:p w14:paraId="0A548AA0" w14:textId="77777777" w:rsidR="00C72A0B" w:rsidRDefault="00C72A0B" w:rsidP="00B7063C">
      <w:pPr>
        <w:pStyle w:val="font-claude-response-body"/>
        <w:spacing w:line="360" w:lineRule="auto"/>
        <w:rPr>
          <w:rFonts w:ascii="Garamond" w:hAnsi="Garamond"/>
        </w:rPr>
      </w:pPr>
    </w:p>
    <w:p w14:paraId="6930380A" w14:textId="77777777" w:rsidR="00C72A0B" w:rsidRDefault="00C72A0B" w:rsidP="00B7063C">
      <w:pPr>
        <w:pStyle w:val="font-claude-response-body"/>
        <w:spacing w:line="360" w:lineRule="auto"/>
        <w:rPr>
          <w:rFonts w:ascii="Garamond" w:hAnsi="Garamond"/>
        </w:rPr>
      </w:pPr>
    </w:p>
    <w:p w14:paraId="45416F27" w14:textId="1DDCA63C" w:rsidR="008C7704" w:rsidRPr="008C7704" w:rsidRDefault="008C7704" w:rsidP="00453CA2">
      <w:pPr>
        <w:pStyle w:val="font-claude-response-body"/>
        <w:spacing w:line="360" w:lineRule="auto"/>
        <w:rPr>
          <w:rFonts w:ascii="Garamond" w:hAnsi="Garamond"/>
          <w:b/>
          <w:bCs/>
          <w:u w:val="single"/>
        </w:rPr>
      </w:pPr>
      <w:r>
        <w:rPr>
          <w:rFonts w:ascii="Garamond" w:hAnsi="Garamond"/>
        </w:rPr>
        <w:t xml:space="preserve">For years where we don’t have all the Yukon data, we did 50% of the total CPUE. </w:t>
      </w:r>
    </w:p>
    <w:p w14:paraId="64359F15" w14:textId="4044A1D4" w:rsidR="008C7704" w:rsidRDefault="008C7704" w:rsidP="008C7704">
      <w:pPr>
        <w:pStyle w:val="font-claude-response-body"/>
        <w:spacing w:line="360" w:lineRule="auto"/>
        <w:rPr>
          <w:rFonts w:ascii="Garamond" w:hAnsi="Garamond"/>
        </w:rPr>
      </w:pPr>
      <w:r>
        <w:rPr>
          <w:rFonts w:ascii="Garamond" w:hAnsi="Garamond"/>
        </w:rPr>
        <w:t xml:space="preserve">Age class and top growth analysis. </w:t>
      </w:r>
    </w:p>
    <w:p w14:paraId="133A91A5" w14:textId="66A1B1FA" w:rsidR="008C7704" w:rsidRDefault="008C7704" w:rsidP="008C7704">
      <w:pPr>
        <w:pStyle w:val="font-claude-response-body"/>
        <w:spacing w:line="360" w:lineRule="auto"/>
        <w:rPr>
          <w:rFonts w:ascii="Garamond" w:hAnsi="Garamond"/>
        </w:rPr>
      </w:pPr>
      <w:r>
        <w:rPr>
          <w:rFonts w:ascii="Garamond" w:hAnsi="Garamond"/>
        </w:rPr>
        <w:lastRenderedPageBreak/>
        <w:t xml:space="preserve">Spatial production pattern Analysis </w:t>
      </w:r>
    </w:p>
    <w:p w14:paraId="440D4F28" w14:textId="2D8843D2" w:rsidR="008C7704" w:rsidRDefault="008C7704" w:rsidP="008C7704">
      <w:pPr>
        <w:pStyle w:val="font-claude-response-body"/>
        <w:spacing w:line="360" w:lineRule="auto"/>
        <w:rPr>
          <w:rFonts w:ascii="Garamond" w:hAnsi="Garamond"/>
        </w:rPr>
      </w:pPr>
      <w:r>
        <w:rPr>
          <w:rFonts w:ascii="Garamond" w:hAnsi="Garamond"/>
        </w:rPr>
        <w:t xml:space="preserve">Variability at spatial scales </w:t>
      </w:r>
    </w:p>
    <w:p w14:paraId="525CCEC9" w14:textId="77777777" w:rsidR="00923E83" w:rsidRDefault="00923E83" w:rsidP="001458A1">
      <w:pPr>
        <w:pStyle w:val="font-claude-response-body"/>
        <w:spacing w:line="360" w:lineRule="auto"/>
        <w:rPr>
          <w:rFonts w:ascii="Garamond" w:hAnsi="Garamond"/>
          <w:b/>
          <w:bCs/>
          <w:sz w:val="32"/>
          <w:szCs w:val="32"/>
          <w:u w:val="single"/>
        </w:rPr>
      </w:pPr>
    </w:p>
    <w:p w14:paraId="7865BC79" w14:textId="77777777" w:rsidR="00DE117F" w:rsidRDefault="00DE117F" w:rsidP="001458A1">
      <w:pPr>
        <w:pStyle w:val="font-claude-response-body"/>
        <w:spacing w:line="360" w:lineRule="auto"/>
        <w:rPr>
          <w:rFonts w:ascii="Garamond" w:hAnsi="Garamond"/>
          <w:b/>
          <w:bCs/>
          <w:sz w:val="32"/>
          <w:szCs w:val="32"/>
          <w:u w:val="single"/>
        </w:rPr>
      </w:pPr>
    </w:p>
    <w:p w14:paraId="1B98B282" w14:textId="77777777" w:rsidR="00DE117F" w:rsidRDefault="00DE117F" w:rsidP="001458A1">
      <w:pPr>
        <w:pStyle w:val="font-claude-response-body"/>
        <w:spacing w:line="360" w:lineRule="auto"/>
        <w:rPr>
          <w:rFonts w:ascii="Garamond" w:hAnsi="Garamond"/>
          <w:b/>
          <w:bCs/>
          <w:sz w:val="32"/>
          <w:szCs w:val="32"/>
          <w:u w:val="single"/>
        </w:rPr>
      </w:pPr>
    </w:p>
    <w:p w14:paraId="5D241948" w14:textId="77777777" w:rsidR="00DE117F" w:rsidRDefault="00DE117F" w:rsidP="001458A1">
      <w:pPr>
        <w:pStyle w:val="font-claude-response-body"/>
        <w:spacing w:line="360" w:lineRule="auto"/>
        <w:rPr>
          <w:rFonts w:ascii="Garamond" w:hAnsi="Garamond"/>
          <w:b/>
          <w:bCs/>
          <w:sz w:val="32"/>
          <w:szCs w:val="32"/>
          <w:u w:val="single"/>
        </w:rPr>
      </w:pPr>
    </w:p>
    <w:p w14:paraId="4F307B53" w14:textId="77777777" w:rsidR="00DE117F" w:rsidRDefault="00DE117F" w:rsidP="001458A1">
      <w:pPr>
        <w:pStyle w:val="font-claude-response-body"/>
        <w:spacing w:line="360" w:lineRule="auto"/>
        <w:rPr>
          <w:rFonts w:ascii="Garamond" w:hAnsi="Garamond"/>
          <w:b/>
          <w:bCs/>
          <w:sz w:val="32"/>
          <w:szCs w:val="32"/>
          <w:u w:val="single"/>
        </w:rPr>
      </w:pPr>
    </w:p>
    <w:p w14:paraId="3DCE34D7" w14:textId="77777777" w:rsidR="00DE117F" w:rsidRDefault="00DE117F" w:rsidP="001458A1">
      <w:pPr>
        <w:pStyle w:val="font-claude-response-body"/>
        <w:spacing w:line="360" w:lineRule="auto"/>
        <w:rPr>
          <w:rFonts w:ascii="Garamond" w:hAnsi="Garamond"/>
          <w:b/>
          <w:bCs/>
          <w:sz w:val="32"/>
          <w:szCs w:val="32"/>
          <w:u w:val="single"/>
        </w:rPr>
      </w:pPr>
    </w:p>
    <w:p w14:paraId="4FA07BDB" w14:textId="77777777" w:rsidR="00DE117F" w:rsidRDefault="00DE117F" w:rsidP="001458A1">
      <w:pPr>
        <w:pStyle w:val="font-claude-response-body"/>
        <w:spacing w:line="360" w:lineRule="auto"/>
        <w:rPr>
          <w:rFonts w:ascii="Garamond" w:hAnsi="Garamond"/>
          <w:b/>
          <w:bCs/>
          <w:sz w:val="32"/>
          <w:szCs w:val="32"/>
          <w:u w:val="single"/>
        </w:rPr>
      </w:pPr>
    </w:p>
    <w:p w14:paraId="10E6E083" w14:textId="602A7D59" w:rsidR="001458A1" w:rsidRDefault="001458A1" w:rsidP="001458A1">
      <w:pPr>
        <w:pStyle w:val="font-claude-response-body"/>
        <w:spacing w:line="360" w:lineRule="auto"/>
        <w:rPr>
          <w:rFonts w:ascii="Garamond" w:hAnsi="Garamond"/>
          <w:b/>
          <w:bCs/>
          <w:sz w:val="32"/>
          <w:szCs w:val="32"/>
          <w:u w:val="single"/>
        </w:rPr>
      </w:pPr>
      <w:r>
        <w:rPr>
          <w:rFonts w:ascii="Garamond" w:hAnsi="Garamond"/>
          <w:b/>
          <w:bCs/>
          <w:sz w:val="32"/>
          <w:szCs w:val="32"/>
          <w:u w:val="single"/>
        </w:rPr>
        <w:t>Results</w:t>
      </w:r>
      <w:r w:rsidRPr="007E5044">
        <w:rPr>
          <w:rFonts w:ascii="Garamond" w:hAnsi="Garamond"/>
          <w:b/>
          <w:bCs/>
          <w:sz w:val="32"/>
          <w:szCs w:val="32"/>
          <w:u w:val="single"/>
        </w:rPr>
        <w:t xml:space="preserve">: </w:t>
      </w:r>
    </w:p>
    <w:p w14:paraId="4FD10584" w14:textId="114330E2" w:rsidR="008922E1" w:rsidRPr="001458A1" w:rsidRDefault="001458A1" w:rsidP="001458A1">
      <w:pPr>
        <w:pStyle w:val="font-claude-response-body"/>
        <w:spacing w:line="360" w:lineRule="auto"/>
        <w:rPr>
          <w:rFonts w:ascii="Garamond" w:hAnsi="Garamond"/>
          <w:b/>
          <w:bCs/>
          <w:sz w:val="32"/>
          <w:szCs w:val="32"/>
          <w:u w:val="single"/>
        </w:rPr>
      </w:pPr>
      <w:r>
        <w:rPr>
          <w:rFonts w:ascii="Garamond" w:hAnsi="Garamond"/>
          <w:b/>
          <w:bCs/>
          <w:sz w:val="32"/>
          <w:szCs w:val="32"/>
          <w:u w:val="single"/>
        </w:rPr>
        <w:t>Discussion</w:t>
      </w:r>
      <w:r w:rsidRPr="007E5044">
        <w:rPr>
          <w:rFonts w:ascii="Garamond" w:hAnsi="Garamond"/>
          <w:b/>
          <w:bCs/>
          <w:sz w:val="32"/>
          <w:szCs w:val="32"/>
          <w:u w:val="single"/>
        </w:rPr>
        <w:t xml:space="preserve">: </w:t>
      </w:r>
    </w:p>
    <w:sectPr w:rsidR="008922E1" w:rsidRPr="001458A1" w:rsidSect="00886C2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mak29" w:date="2025-12-24T12:30:00Z" w:initials="b">
    <w:p w14:paraId="137C340C" w14:textId="77777777" w:rsidR="00D93412" w:rsidRDefault="00D93412" w:rsidP="00D93412">
      <w:r>
        <w:rPr>
          <w:rStyle w:val="CommentReference"/>
        </w:rPr>
        <w:annotationRef/>
      </w:r>
      <w:r>
        <w:rPr>
          <w:sz w:val="20"/>
          <w:szCs w:val="20"/>
        </w:rPr>
        <w:t>Note to self to quantify the sample size and add it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C34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977636" w16cex:dateUtc="2025-12-24T18: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C340C" w16cid:durableId="779776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BB6"/>
    <w:multiLevelType w:val="hybridMultilevel"/>
    <w:tmpl w:val="37E0E258"/>
    <w:lvl w:ilvl="0" w:tplc="0A48A61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B168A"/>
    <w:multiLevelType w:val="hybridMultilevel"/>
    <w:tmpl w:val="76425974"/>
    <w:lvl w:ilvl="0" w:tplc="73783AFE">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529C1"/>
    <w:multiLevelType w:val="hybridMultilevel"/>
    <w:tmpl w:val="BEB237CA"/>
    <w:lvl w:ilvl="0" w:tplc="67AA49CE">
      <w:numFmt w:val="bullet"/>
      <w:lvlText w:val="-"/>
      <w:lvlJc w:val="left"/>
      <w:pPr>
        <w:ind w:left="1080" w:hanging="360"/>
      </w:pPr>
      <w:rPr>
        <w:rFonts w:ascii="Garamond" w:eastAsia="Times New Roman"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BF7E25"/>
    <w:multiLevelType w:val="hybridMultilevel"/>
    <w:tmpl w:val="F3E8A09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675736">
    <w:abstractNumId w:val="0"/>
  </w:num>
  <w:num w:numId="2" w16cid:durableId="1274706172">
    <w:abstractNumId w:val="2"/>
  </w:num>
  <w:num w:numId="3" w16cid:durableId="1027416018">
    <w:abstractNumId w:val="3"/>
  </w:num>
  <w:num w:numId="4" w16cid:durableId="67352908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mak29">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71"/>
    <w:rsid w:val="0001544B"/>
    <w:rsid w:val="00025F12"/>
    <w:rsid w:val="00042ED8"/>
    <w:rsid w:val="00045FA5"/>
    <w:rsid w:val="00085352"/>
    <w:rsid w:val="000941AF"/>
    <w:rsid w:val="000A471B"/>
    <w:rsid w:val="000B246E"/>
    <w:rsid w:val="000C3379"/>
    <w:rsid w:val="001458A1"/>
    <w:rsid w:val="00166559"/>
    <w:rsid w:val="0017696D"/>
    <w:rsid w:val="001844EB"/>
    <w:rsid w:val="001A5573"/>
    <w:rsid w:val="00206BA8"/>
    <w:rsid w:val="00210847"/>
    <w:rsid w:val="002204C4"/>
    <w:rsid w:val="002904B9"/>
    <w:rsid w:val="002A2A23"/>
    <w:rsid w:val="002C2367"/>
    <w:rsid w:val="002C3375"/>
    <w:rsid w:val="002F12C3"/>
    <w:rsid w:val="00302363"/>
    <w:rsid w:val="00305904"/>
    <w:rsid w:val="00331E1C"/>
    <w:rsid w:val="003642FE"/>
    <w:rsid w:val="00397D74"/>
    <w:rsid w:val="003B0A46"/>
    <w:rsid w:val="00402911"/>
    <w:rsid w:val="00437104"/>
    <w:rsid w:val="00453CA2"/>
    <w:rsid w:val="004547E2"/>
    <w:rsid w:val="004564FF"/>
    <w:rsid w:val="00464971"/>
    <w:rsid w:val="00482966"/>
    <w:rsid w:val="00485790"/>
    <w:rsid w:val="00490C40"/>
    <w:rsid w:val="004C2FBE"/>
    <w:rsid w:val="004D176C"/>
    <w:rsid w:val="00531B95"/>
    <w:rsid w:val="005462A2"/>
    <w:rsid w:val="0057102B"/>
    <w:rsid w:val="005736BA"/>
    <w:rsid w:val="00585EE0"/>
    <w:rsid w:val="005E5343"/>
    <w:rsid w:val="00617B10"/>
    <w:rsid w:val="00634AE0"/>
    <w:rsid w:val="006D31BE"/>
    <w:rsid w:val="006E5085"/>
    <w:rsid w:val="006E7802"/>
    <w:rsid w:val="0073537D"/>
    <w:rsid w:val="00744D0E"/>
    <w:rsid w:val="00770C34"/>
    <w:rsid w:val="00771117"/>
    <w:rsid w:val="00777D93"/>
    <w:rsid w:val="00780305"/>
    <w:rsid w:val="0078224C"/>
    <w:rsid w:val="007A75FB"/>
    <w:rsid w:val="007A7E4C"/>
    <w:rsid w:val="007E0C3E"/>
    <w:rsid w:val="007E5044"/>
    <w:rsid w:val="00832611"/>
    <w:rsid w:val="00854826"/>
    <w:rsid w:val="0086569A"/>
    <w:rsid w:val="00886C2E"/>
    <w:rsid w:val="008922E1"/>
    <w:rsid w:val="008C65D7"/>
    <w:rsid w:val="008C6661"/>
    <w:rsid w:val="008C7704"/>
    <w:rsid w:val="008E0BE8"/>
    <w:rsid w:val="008E4157"/>
    <w:rsid w:val="008F6F8C"/>
    <w:rsid w:val="00900F01"/>
    <w:rsid w:val="00907410"/>
    <w:rsid w:val="00923E83"/>
    <w:rsid w:val="00936073"/>
    <w:rsid w:val="009574E3"/>
    <w:rsid w:val="00957E30"/>
    <w:rsid w:val="00967C6D"/>
    <w:rsid w:val="00973DDA"/>
    <w:rsid w:val="009A78C2"/>
    <w:rsid w:val="009E2291"/>
    <w:rsid w:val="009E2EDB"/>
    <w:rsid w:val="009E4F87"/>
    <w:rsid w:val="009F4401"/>
    <w:rsid w:val="00A11CE1"/>
    <w:rsid w:val="00A4712A"/>
    <w:rsid w:val="00A6046C"/>
    <w:rsid w:val="00A626E0"/>
    <w:rsid w:val="00A65358"/>
    <w:rsid w:val="00A80DFC"/>
    <w:rsid w:val="00AD67D4"/>
    <w:rsid w:val="00AE5034"/>
    <w:rsid w:val="00AF4733"/>
    <w:rsid w:val="00B001D1"/>
    <w:rsid w:val="00B00998"/>
    <w:rsid w:val="00B4526D"/>
    <w:rsid w:val="00B52516"/>
    <w:rsid w:val="00B65D13"/>
    <w:rsid w:val="00B7063C"/>
    <w:rsid w:val="00B73D94"/>
    <w:rsid w:val="00B928DF"/>
    <w:rsid w:val="00BA3B78"/>
    <w:rsid w:val="00BA7F0B"/>
    <w:rsid w:val="00BB04D8"/>
    <w:rsid w:val="00BB166C"/>
    <w:rsid w:val="00BC4F60"/>
    <w:rsid w:val="00BD2B41"/>
    <w:rsid w:val="00BE6A22"/>
    <w:rsid w:val="00C11B9A"/>
    <w:rsid w:val="00C34DD2"/>
    <w:rsid w:val="00C42FB3"/>
    <w:rsid w:val="00C72A0B"/>
    <w:rsid w:val="00C87061"/>
    <w:rsid w:val="00C92E33"/>
    <w:rsid w:val="00C9741A"/>
    <w:rsid w:val="00CC7F33"/>
    <w:rsid w:val="00CE7CBF"/>
    <w:rsid w:val="00CF241E"/>
    <w:rsid w:val="00D12358"/>
    <w:rsid w:val="00D71F61"/>
    <w:rsid w:val="00D7385F"/>
    <w:rsid w:val="00D93412"/>
    <w:rsid w:val="00DA21A1"/>
    <w:rsid w:val="00DE117F"/>
    <w:rsid w:val="00E225FA"/>
    <w:rsid w:val="00E243DA"/>
    <w:rsid w:val="00E25CF8"/>
    <w:rsid w:val="00E26A4D"/>
    <w:rsid w:val="00E42C33"/>
    <w:rsid w:val="00E454BB"/>
    <w:rsid w:val="00E71322"/>
    <w:rsid w:val="00E847A0"/>
    <w:rsid w:val="00E92BEA"/>
    <w:rsid w:val="00EA6C20"/>
    <w:rsid w:val="00EE4536"/>
    <w:rsid w:val="00F06875"/>
    <w:rsid w:val="00F16708"/>
    <w:rsid w:val="00F55228"/>
    <w:rsid w:val="00F6438A"/>
    <w:rsid w:val="00F76583"/>
    <w:rsid w:val="00FB4D46"/>
    <w:rsid w:val="00FB7D7A"/>
    <w:rsid w:val="00FC2793"/>
    <w:rsid w:val="00FD6E18"/>
    <w:rsid w:val="00FE5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4BC4"/>
  <w15:chartTrackingRefBased/>
  <w15:docId w15:val="{C06423D2-DAD2-374D-A308-8867E1FF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71"/>
    <w:rPr>
      <w:rFonts w:eastAsiaTheme="majorEastAsia" w:cstheme="majorBidi"/>
      <w:color w:val="272727" w:themeColor="text1" w:themeTint="D8"/>
    </w:rPr>
  </w:style>
  <w:style w:type="paragraph" w:styleId="Title">
    <w:name w:val="Title"/>
    <w:basedOn w:val="Normal"/>
    <w:next w:val="Normal"/>
    <w:link w:val="TitleChar"/>
    <w:uiPriority w:val="10"/>
    <w:qFormat/>
    <w:rsid w:val="00FE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71"/>
    <w:pPr>
      <w:spacing w:before="160"/>
      <w:jc w:val="center"/>
    </w:pPr>
    <w:rPr>
      <w:i/>
      <w:iCs/>
      <w:color w:val="404040" w:themeColor="text1" w:themeTint="BF"/>
    </w:rPr>
  </w:style>
  <w:style w:type="character" w:customStyle="1" w:styleId="QuoteChar">
    <w:name w:val="Quote Char"/>
    <w:basedOn w:val="DefaultParagraphFont"/>
    <w:link w:val="Quote"/>
    <w:uiPriority w:val="29"/>
    <w:rsid w:val="00FE5371"/>
    <w:rPr>
      <w:i/>
      <w:iCs/>
      <w:color w:val="404040" w:themeColor="text1" w:themeTint="BF"/>
    </w:rPr>
  </w:style>
  <w:style w:type="paragraph" w:styleId="ListParagraph">
    <w:name w:val="List Paragraph"/>
    <w:basedOn w:val="Normal"/>
    <w:uiPriority w:val="34"/>
    <w:qFormat/>
    <w:rsid w:val="00FE5371"/>
    <w:pPr>
      <w:ind w:left="720"/>
      <w:contextualSpacing/>
    </w:pPr>
  </w:style>
  <w:style w:type="character" w:styleId="IntenseEmphasis">
    <w:name w:val="Intense Emphasis"/>
    <w:basedOn w:val="DefaultParagraphFont"/>
    <w:uiPriority w:val="21"/>
    <w:qFormat/>
    <w:rsid w:val="00FE5371"/>
    <w:rPr>
      <w:i/>
      <w:iCs/>
      <w:color w:val="0F4761" w:themeColor="accent1" w:themeShade="BF"/>
    </w:rPr>
  </w:style>
  <w:style w:type="paragraph" w:styleId="IntenseQuote">
    <w:name w:val="Intense Quote"/>
    <w:basedOn w:val="Normal"/>
    <w:next w:val="Normal"/>
    <w:link w:val="IntenseQuoteChar"/>
    <w:uiPriority w:val="30"/>
    <w:qFormat/>
    <w:rsid w:val="00FE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71"/>
    <w:rPr>
      <w:i/>
      <w:iCs/>
      <w:color w:val="0F4761" w:themeColor="accent1" w:themeShade="BF"/>
    </w:rPr>
  </w:style>
  <w:style w:type="character" w:styleId="IntenseReference">
    <w:name w:val="Intense Reference"/>
    <w:basedOn w:val="DefaultParagraphFont"/>
    <w:uiPriority w:val="32"/>
    <w:qFormat/>
    <w:rsid w:val="00FE5371"/>
    <w:rPr>
      <w:b/>
      <w:bCs/>
      <w:smallCaps/>
      <w:color w:val="0F4761" w:themeColor="accent1" w:themeShade="BF"/>
      <w:spacing w:val="5"/>
    </w:rPr>
  </w:style>
  <w:style w:type="character" w:styleId="LineNumber">
    <w:name w:val="line number"/>
    <w:basedOn w:val="DefaultParagraphFont"/>
    <w:uiPriority w:val="99"/>
    <w:semiHidden/>
    <w:unhideWhenUsed/>
    <w:rsid w:val="00886C2E"/>
  </w:style>
  <w:style w:type="paragraph" w:customStyle="1" w:styleId="font-claude-response-body">
    <w:name w:val="font-claude-response-body"/>
    <w:basedOn w:val="Normal"/>
    <w:rsid w:val="00B73D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11CE1"/>
    <w:rPr>
      <w:i/>
      <w:iCs/>
    </w:rPr>
  </w:style>
  <w:style w:type="character" w:styleId="CommentReference">
    <w:name w:val="annotation reference"/>
    <w:basedOn w:val="DefaultParagraphFont"/>
    <w:uiPriority w:val="99"/>
    <w:semiHidden/>
    <w:unhideWhenUsed/>
    <w:rsid w:val="00E225FA"/>
    <w:rPr>
      <w:sz w:val="16"/>
      <w:szCs w:val="16"/>
    </w:rPr>
  </w:style>
  <w:style w:type="paragraph" w:styleId="CommentText">
    <w:name w:val="annotation text"/>
    <w:basedOn w:val="Normal"/>
    <w:link w:val="CommentTextChar"/>
    <w:uiPriority w:val="99"/>
    <w:semiHidden/>
    <w:unhideWhenUsed/>
    <w:rsid w:val="00E225FA"/>
    <w:pPr>
      <w:spacing w:line="240" w:lineRule="auto"/>
    </w:pPr>
    <w:rPr>
      <w:sz w:val="20"/>
      <w:szCs w:val="20"/>
    </w:rPr>
  </w:style>
  <w:style w:type="character" w:customStyle="1" w:styleId="CommentTextChar">
    <w:name w:val="Comment Text Char"/>
    <w:basedOn w:val="DefaultParagraphFont"/>
    <w:link w:val="CommentText"/>
    <w:uiPriority w:val="99"/>
    <w:semiHidden/>
    <w:rsid w:val="00E225FA"/>
    <w:rPr>
      <w:sz w:val="20"/>
      <w:szCs w:val="20"/>
    </w:rPr>
  </w:style>
  <w:style w:type="paragraph" w:styleId="CommentSubject">
    <w:name w:val="annotation subject"/>
    <w:basedOn w:val="CommentText"/>
    <w:next w:val="CommentText"/>
    <w:link w:val="CommentSubjectChar"/>
    <w:uiPriority w:val="99"/>
    <w:semiHidden/>
    <w:unhideWhenUsed/>
    <w:rsid w:val="00E225FA"/>
    <w:rPr>
      <w:b/>
      <w:bCs/>
    </w:rPr>
  </w:style>
  <w:style w:type="character" w:customStyle="1" w:styleId="CommentSubjectChar">
    <w:name w:val="Comment Subject Char"/>
    <w:basedOn w:val="CommentTextChar"/>
    <w:link w:val="CommentSubject"/>
    <w:uiPriority w:val="99"/>
    <w:semiHidden/>
    <w:rsid w:val="00E225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6</Pages>
  <Words>8888</Words>
  <Characters>52173</Characters>
  <Application>Microsoft Office Word</Application>
  <DocSecurity>0</DocSecurity>
  <Lines>855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2</cp:revision>
  <dcterms:created xsi:type="dcterms:W3CDTF">2025-12-09T15:39:00Z</dcterms:created>
  <dcterms:modified xsi:type="dcterms:W3CDTF">2026-01-20T18:26:00Z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id="8OUvbJAf"/&gt;&lt;style id="http://www.zotero.org/styles/journal-of-applied-ecology" hasBibliography="1" bibliographyStyleHasBeenSet="0"/&gt;&lt;prefs&gt;&lt;pref name="fieldType" value="Field"/&gt;&lt;/prefs&gt;&lt;/data&gt;</vt:lpwstr>
  </property>
</Properties>
</file>