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sz w:val="22"/>
          <w:szCs w:val="22"/>
        </w:rPr>
        <w:t xml:space="preserve">March 16, 2026</w:t>
      </w:r>
    </w:p>
    <w:p>
      <w:pPr>
        <w:spacing w:after="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Dr. Mark Burgman</w:t>
      </w:r>
    </w:p>
    <w:p>
      <w:pPr>
        <w:spacing w:after="160" w:before="0"/>
      </w:pPr>
      <w:r>
        <w:rPr>
          <w:rFonts w:ascii="Arial" w:cs="Arial" w:eastAsia="Arial" w:hAnsi="Arial"/>
          <w:sz w:val="22"/>
          <w:szCs w:val="22"/>
        </w:rPr>
        <w:t xml:space="preserve">Editor-in-Chief, Conservation Biology</w:t>
      </w:r>
    </w:p>
    <w:p>
      <w:pPr>
        <w:spacing w:after="160" w:before="0"/>
      </w:pPr>
      <w:r>
        <w:rPr>
          <w:rFonts w:ascii="Arial" w:cs="Arial" w:eastAsia="Arial" w:hAnsi="Arial"/>
          <w:sz w:val="22"/>
          <w:szCs w:val="22"/>
        </w:rPr>
        <w:t xml:space="preserve">Society for Conservation Biology</w:t>
      </w:r>
    </w:p>
    <w:p>
      <w:pPr>
        <w:spacing w:after="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Dear Dr. Burgman,</w:t>
      </w:r>
    </w:p>
    <w:p>
      <w:pPr>
        <w:spacing w:after="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Please find enclosed our manuscript, </w:t>
      </w:r>
      <w:r>
        <w:rPr>
          <w:rFonts w:ascii="Arial" w:cs="Arial" w:eastAsia="Arial" w:hAnsi="Arial"/>
          <w:i/>
          <w:iCs/>
          <w:sz w:val="22"/>
          <w:szCs w:val="22"/>
        </w:rPr>
        <w:t xml:space="preserve">“Strategic fisheries closure balances harvest opportunity and stock diversity in a large Alaska river basin,”</w:t>
      </w:r>
      <w:r>
        <w:rPr>
          <w:rFonts w:ascii="Arial" w:cs="Arial" w:eastAsia="Arial" w:hAnsi="Arial"/>
          <w:sz w:val="22"/>
          <w:szCs w:val="22"/>
        </w:rPr>
        <w:t xml:space="preserve"> submitted for consideration as a Contributed Paper in </w:t>
      </w:r>
      <w:r>
        <w:rPr>
          <w:rFonts w:ascii="Arial" w:cs="Arial" w:eastAsia="Arial" w:hAnsi="Arial"/>
          <w:i/>
          <w:iCs/>
          <w:sz w:val="22"/>
          <w:szCs w:val="22"/>
        </w:rPr>
        <w:t xml:space="preserve">Conservation Biology</w:t>
      </w:r>
      <w:r>
        <w:rPr>
          <w:rFonts w:ascii="Arial" w:cs="Arial" w:eastAsia="Arial" w:hAnsi="Arial"/>
          <w:sz w:val="22"/>
          <w:szCs w:val="22"/>
        </w:rPr>
        <w:t xml:space="preserve">.</w:t>
      </w:r>
    </w:p>
    <w:p>
      <w:pPr>
        <w:spacing w:after="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A fundamental challenge in conservation biology is managing exploited species in ways that preserve the intraspecific diversity underpinning long-term population resilience. For Pacific salmon, this challenge is particularly acute: metapopulation diversity buffers against environmental variation, but the spatiotemporal dynamics of distinct sub-stocks are rarely resolved at the scale needed to evaluate how management actions differentially affect them. The result is persistent uncertainty about the stock-specific consequences of harvest decisions — and, by extension, about the true biodiversity outcomes of conservation interventions.</w:t>
      </w:r>
    </w:p>
    <w:p>
      <w:pPr>
        <w:spacing w:after="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We address this gap using otolith strontium isotope microchemistry to reconstruct the spatiotemporal run dynamics of Chinook salmon sub-stocks entering the Kuskokwim River, one of the largest and most culturally significant salmon systems in western Alaska. We demonstrate a consistent and generalizable relationship: fish destined for upper watershed tributaries migrate disproportionately early in the run season, a pattern that is stable across years despite variation in total run size and timing. We then use this structure to evaluate how a front-end fishery closure — developed in partnership with Yupʼik communities and informed by traditional ecological knowledge — creates tradeoffs between the protection of upper-watershed sub-stock diversity and foregone harvest opportunity.</w:t>
      </w:r>
    </w:p>
    <w:p>
      <w:pPr>
        <w:spacing w:after="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We emphasize the transferability of this work beyond the Kuskokwim system, consistent with the aims of Conservation Biology. First, the methodological framework — linking otolith microchemistry to spatial population structure for stock-specific policy evaluation — is broadly applicable to migratory fishes in large river basins where genetic or mark-recapture approaches are unavailable. Second, our finding that temporal run structure encodes spatial origin information has implications for any fishery management context where harvest timing intersects with metapopulation conservation goals. Third, the tradeoff framework we develop — quantifying biodiversity protection outcomes against harvest costs across a range of management scenarios — provides a transferable tool for decision-making wherever conservation and resource-use objectives must be balanced explicitly.</w:t>
      </w:r>
    </w:p>
    <w:p>
      <w:pPr>
        <w:spacing w:after="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This work also engages the social and policy dimensions of conservation. Declining Chinook abundance in western Alaska has severely restricted subsistence fisheries of profound cultural and nutritional importance to Indigenous communities. Our analysis provides scientific grounding for evaluating the efficacy and limitations of an existing closure, and directly informs adaptive management decisions with consequences for both biodiversity and community food security. We argue that frameworks integrating fine-scale biodiversity monitoring with explicit tradeoff analysis are broadly necessary for managing migratory species in systems where ecological and social pressures intersect.</w:t>
      </w:r>
    </w:p>
    <w:p>
      <w:pPr>
        <w:spacing w:after="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This manuscript represents original work that has not been published or submitted elsewhere. We have no conflicts of interest to declare. We affirm that the manuscript meets the scope requirements of Conservation Biology, with methods and inferences that we believe are novel and transferable well beyond the focal system.</w:t>
      </w:r>
    </w:p>
    <w:p>
      <w:pPr>
        <w:spacing w:after="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We suggest the following potential reviewers (none have close professional or personal relationships with the authors):</w:t>
      </w:r>
    </w:p>
    <w:p>
      <w:pPr>
        <w:spacing w:after="0" w:before="0"/>
      </w:pPr>
      <w:r>
        <w:rPr>
          <w:rFonts w:ascii="Arial" w:cs="Arial" w:eastAsia="Arial" w:hAnsi="Arial"/>
          <w:sz w:val="22"/>
          <w:szCs w:val="22"/>
        </w:rPr>
        <w:t xml:space="preserve"/>
      </w:r>
    </w:p>
    <w:p>
      <w:pPr>
        <w:spacing w:after="80" w:before="0"/>
        <w:ind w:left="360" w:hanging="360"/>
      </w:pPr>
      <w:r>
        <w:rPr>
          <w:rFonts w:ascii="Arial" w:cs="Arial" w:eastAsia="Arial" w:hAnsi="Arial"/>
          <w:color w:val="555555"/>
          <w:sz w:val="22"/>
          <w:szCs w:val="22"/>
        </w:rPr>
        <w:t xml:space="preserve">1.  [Reviewer Name] — [Institution] — [email]</w:t>
      </w:r>
    </w:p>
    <w:p>
      <w:pPr>
        <w:spacing w:after="80" w:before="0"/>
        <w:ind w:left="360" w:hanging="360"/>
      </w:pPr>
      <w:r>
        <w:rPr>
          <w:rFonts w:ascii="Arial" w:cs="Arial" w:eastAsia="Arial" w:hAnsi="Arial"/>
          <w:color w:val="555555"/>
          <w:sz w:val="22"/>
          <w:szCs w:val="22"/>
        </w:rPr>
        <w:t xml:space="preserve">2.  [Reviewer Name] — [Institution] — [email]</w:t>
      </w:r>
    </w:p>
    <w:p>
      <w:pPr>
        <w:spacing w:after="80" w:before="0"/>
        <w:ind w:left="360" w:hanging="360"/>
      </w:pPr>
      <w:r>
        <w:rPr>
          <w:rFonts w:ascii="Arial" w:cs="Arial" w:eastAsia="Arial" w:hAnsi="Arial"/>
          <w:color w:val="555555"/>
          <w:sz w:val="22"/>
          <w:szCs w:val="22"/>
        </w:rPr>
        <w:t xml:space="preserve">3.  [Reviewer Name] — [Institution] — [email]</w:t>
      </w:r>
    </w:p>
    <w:p>
      <w:pPr>
        <w:spacing w:after="80" w:before="0"/>
        <w:ind w:left="360" w:hanging="360"/>
      </w:pPr>
      <w:r>
        <w:rPr>
          <w:rFonts w:ascii="Arial" w:cs="Arial" w:eastAsia="Arial" w:hAnsi="Arial"/>
          <w:color w:val="555555"/>
          <w:sz w:val="22"/>
          <w:szCs w:val="22"/>
        </w:rPr>
        <w:t xml:space="preserve">4.  [Reviewer Name] — [Institution] — [email]</w:t>
      </w:r>
    </w:p>
    <w:p>
      <w:pPr>
        <w:spacing w:after="80" w:before="0"/>
        <w:ind w:left="360" w:hanging="360"/>
      </w:pPr>
      <w:r>
        <w:rPr>
          <w:rFonts w:ascii="Arial" w:cs="Arial" w:eastAsia="Arial" w:hAnsi="Arial"/>
          <w:color w:val="555555"/>
          <w:sz w:val="22"/>
          <w:szCs w:val="22"/>
        </w:rPr>
        <w:t xml:space="preserve">5.  [Reviewer Name] — [Institution] — [email]</w:t>
      </w:r>
    </w:p>
    <w:p>
      <w:pPr>
        <w:spacing w:after="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Thank you for considering our submission. We look forward to the opportunity for review.</w:t>
      </w:r>
    </w:p>
    <w:p>
      <w:pPr>
        <w:spacing w:after="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Sincerely,</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Ben Makhlouf</w:t>
      </w:r>
    </w:p>
    <w:p>
      <w:pPr>
        <w:spacing w:after="160" w:before="0"/>
      </w:pPr>
      <w:r>
        <w:rPr>
          <w:rFonts w:ascii="Arial" w:cs="Arial" w:eastAsia="Arial" w:hAnsi="Arial"/>
          <w:sz w:val="22"/>
          <w:szCs w:val="22"/>
        </w:rPr>
        <w:t xml:space="preserve">Corresponding Author</w:t>
      </w:r>
    </w:p>
    <w:p>
      <w:pPr>
        <w:spacing w:after="160" w:before="0"/>
      </w:pPr>
      <w:r>
        <w:rPr>
          <w:rFonts w:ascii="Arial" w:cs="Arial" w:eastAsia="Arial" w:hAnsi="Arial"/>
          <w:sz w:val="22"/>
          <w:szCs w:val="22"/>
        </w:rPr>
        <w:t xml:space="preserve">[Institution]</w:t>
      </w:r>
    </w:p>
    <w:p>
      <w:pPr>
        <w:spacing w:after="160" w:before="0"/>
      </w:pPr>
      <w:r>
        <w:rPr>
          <w:rFonts w:ascii="Arial" w:cs="Arial" w:eastAsia="Arial" w:hAnsi="Arial"/>
          <w:sz w:val="22"/>
          <w:szCs w:val="22"/>
        </w:rPr>
        <w:t xml:space="preserve">[Email] | [Phone]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2026-03-16T16:04:36.820Z</dcterms:created>
  <dcterms:modified xsi:type="dcterms:W3CDTF">2026-03-16T16:04:36.822Z</dcterms:modified>
</cp:coreProperties>
</file>

<file path=docProps/custom.xml><?xml version="1.0" encoding="utf-8"?>
<Properties xmlns="http://schemas.openxmlformats.org/officeDocument/2006/custom-properties" xmlns:vt="http://schemas.openxmlformats.org/officeDocument/2006/docPropsVTypes"/>
</file>