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03E87CCE"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sidR="003B674A">
        <w:rPr>
          <w:rFonts w:ascii="Garamond" w:hAnsi="Garamond" w:cs="Times New Roman"/>
          <w:sz w:val="28"/>
          <w:szCs w:val="28"/>
          <w:vertAlign w:val="superscript"/>
        </w:rPr>
        <w:t>,5</w:t>
      </w:r>
      <w:r>
        <w:rPr>
          <w:rFonts w:ascii="Garamond" w:hAnsi="Garamond" w:cs="Times New Roman"/>
          <w:sz w:val="28"/>
          <w:szCs w:val="28"/>
        </w:rPr>
        <w:t xml:space="preserve">Janessa </w:t>
      </w:r>
      <w:proofErr w:type="spellStart"/>
      <w:r>
        <w:rPr>
          <w:rFonts w:ascii="Garamond" w:hAnsi="Garamond" w:cs="Times New Roman"/>
          <w:sz w:val="28"/>
          <w:szCs w:val="28"/>
        </w:rPr>
        <w:t>Esquible</w:t>
      </w:r>
      <w:proofErr w:type="spellEnd"/>
      <w:r>
        <w:rPr>
          <w:rFonts w:ascii="Garamond" w:hAnsi="Garamond" w:cs="Times New Roman"/>
          <w:sz w:val="28"/>
          <w:szCs w:val="28"/>
        </w:rPr>
        <w:t xml:space="preserv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4255EEB3" w:rsidR="006B75B5" w:rsidRDefault="00571049" w:rsidP="00571049">
      <w:pPr>
        <w:spacing w:line="480" w:lineRule="auto"/>
        <w:rPr>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r w:rsidR="00171E1A">
        <w:rPr>
          <w:rFonts w:ascii="Garamond" w:hAnsi="Garamond"/>
          <w:sz w:val="22"/>
          <w:szCs w:val="22"/>
        </w:rPr>
        <w:t xml:space="preserve"> in many large salmon producing watersheds</w:t>
      </w:r>
      <w:r w:rsidRPr="00571049">
        <w:rPr>
          <w:rFonts w:ascii="Garamond" w:hAnsi="Garamond"/>
          <w:sz w:val="22"/>
          <w:szCs w:val="22"/>
        </w:rPr>
        <w:t xml:space="preserve">, creating uncertainty about management impacts. Declining abundance in western Alaska watersheds has led to restrictions </w:t>
      </w:r>
      <w:proofErr w:type="gramStart"/>
      <w:r w:rsidRPr="00571049">
        <w:rPr>
          <w:rFonts w:ascii="Garamond" w:hAnsi="Garamond"/>
          <w:sz w:val="22"/>
          <w:szCs w:val="22"/>
        </w:rPr>
        <w:t>in</w:t>
      </w:r>
      <w:proofErr w:type="gramEnd"/>
      <w:r w:rsidRPr="00571049">
        <w:rPr>
          <w:rFonts w:ascii="Garamond" w:hAnsi="Garamond"/>
          <w:sz w:val="22"/>
          <w:szCs w:val="22"/>
        </w:rPr>
        <w:t xml:space="preserve"> subsistence </w:t>
      </w:r>
      <w:proofErr w:type="gramStart"/>
      <w:r w:rsidRPr="00571049">
        <w:rPr>
          <w:rFonts w:ascii="Garamond" w:hAnsi="Garamond"/>
          <w:sz w:val="22"/>
          <w:szCs w:val="22"/>
        </w:rPr>
        <w:t>harvest</w:t>
      </w:r>
      <w:proofErr w:type="gramEnd"/>
      <w:r w:rsidRPr="00571049">
        <w:rPr>
          <w:rFonts w:ascii="Garamond" w:hAnsi="Garamond"/>
          <w:sz w:val="22"/>
          <w:szCs w:val="22"/>
        </w:rPr>
        <w:t xml:space="preserve"> and challenges for upstream communities.</w:t>
      </w:r>
      <w:r w:rsidR="0035364D">
        <w:rPr>
          <w:rFonts w:ascii="Garamond" w:hAnsi="Garamond"/>
          <w:sz w:val="22"/>
          <w:szCs w:val="22"/>
        </w:rPr>
        <w:t xml:space="preserve"> In the Kuskokwim River, a large salmon producing river in western Alaska</w:t>
      </w:r>
      <w:r w:rsidRPr="00571049">
        <w:rPr>
          <w:rFonts w:ascii="Garamond" w:hAnsi="Garamond"/>
          <w:sz w:val="22"/>
          <w:szCs w:val="22"/>
        </w:rPr>
        <w:t xml:space="preserve">, a front-end closure limits fishing early in the run to reduce exploitation of fish migrating to the upper watershed. To quantify stock-specific </w:t>
      </w:r>
      <w:r w:rsidR="00611D91">
        <w:rPr>
          <w:rFonts w:ascii="Garamond" w:hAnsi="Garamond"/>
          <w:sz w:val="22"/>
          <w:szCs w:val="22"/>
        </w:rPr>
        <w:t>effects</w:t>
      </w:r>
      <w:r w:rsidR="00611D91" w:rsidRPr="00571049">
        <w:rPr>
          <w:rFonts w:ascii="Garamond" w:hAnsi="Garamond"/>
          <w:sz w:val="22"/>
          <w:szCs w:val="22"/>
        </w:rPr>
        <w:t xml:space="preserve"> </w:t>
      </w:r>
      <w:r w:rsidRPr="00571049">
        <w:rPr>
          <w:rFonts w:ascii="Garamond" w:hAnsi="Garamond"/>
          <w:sz w:val="22"/>
          <w:szCs w:val="22"/>
        </w:rPr>
        <w:t xml:space="preserve">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r w:rsidR="006B75B5">
        <w:rPr>
          <w:rFonts w:ascii="Garamond" w:hAnsi="Garamond"/>
          <w:sz w:val="22"/>
          <w:szCs w:val="22"/>
        </w:rPr>
        <w:t xml:space="preserve">A longer simulated closure </w:t>
      </w:r>
      <w:r w:rsidR="00BC21CC">
        <w:rPr>
          <w:rFonts w:ascii="Garamond" w:hAnsi="Garamond"/>
          <w:sz w:val="22"/>
          <w:szCs w:val="22"/>
        </w:rPr>
        <w:t xml:space="preserve">duration </w:t>
      </w:r>
      <w:r w:rsidR="006B75B5" w:rsidRPr="00571049">
        <w:rPr>
          <w:rFonts w:ascii="Garamond" w:hAnsi="Garamond"/>
          <w:sz w:val="22"/>
          <w:szCs w:val="22"/>
        </w:rPr>
        <w:t>provided greater protection for upper watershed stock</w:t>
      </w:r>
      <w:r w:rsidR="006B75B5">
        <w:rPr>
          <w:rFonts w:ascii="Garamond" w:hAnsi="Garamond"/>
          <w:sz w:val="22"/>
          <w:szCs w:val="22"/>
        </w:rPr>
        <w:t xml:space="preserve">s but with an associated tradeoff of lost harvest opportunity. The protection afforded to upper watershed stocks varied substantially among years </w:t>
      </w:r>
      <w:r w:rsidR="0035364D">
        <w:rPr>
          <w:rFonts w:ascii="Garamond" w:hAnsi="Garamond"/>
          <w:sz w:val="22"/>
          <w:szCs w:val="22"/>
        </w:rPr>
        <w:t xml:space="preserve">due to </w:t>
      </w:r>
      <w:proofErr w:type="gramStart"/>
      <w:r w:rsidR="0035364D">
        <w:rPr>
          <w:rFonts w:ascii="Garamond" w:hAnsi="Garamond"/>
          <w:sz w:val="22"/>
          <w:szCs w:val="22"/>
        </w:rPr>
        <w:t>variable  migration</w:t>
      </w:r>
      <w:proofErr w:type="gramEnd"/>
      <w:r w:rsidR="0035364D">
        <w:rPr>
          <w:rFonts w:ascii="Garamond" w:hAnsi="Garamond"/>
          <w:sz w:val="22"/>
          <w:szCs w:val="22"/>
        </w:rPr>
        <w:t xml:space="preserve"> timing, highlighting the interaction between a fixed closure strategy and dynamic ecological processes that impact </w:t>
      </w:r>
      <w:proofErr w:type="gramStart"/>
      <w:r w:rsidR="0035364D">
        <w:rPr>
          <w:rFonts w:ascii="Garamond" w:hAnsi="Garamond"/>
          <w:sz w:val="22"/>
          <w:szCs w:val="22"/>
        </w:rPr>
        <w:t>it’s</w:t>
      </w:r>
      <w:proofErr w:type="gramEnd"/>
      <w:r w:rsidR="0035364D">
        <w:rPr>
          <w:rFonts w:ascii="Garamond" w:hAnsi="Garamond"/>
          <w:sz w:val="22"/>
          <w:szCs w:val="22"/>
        </w:rPr>
        <w:t xml:space="preserve"> overall efficacy. </w:t>
      </w:r>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lastRenderedPageBreak/>
        <w:t xml:space="preserve">Introduction: </w:t>
      </w:r>
      <w:r>
        <w:rPr>
          <w:rFonts w:ascii="Garamond" w:hAnsi="Garamond" w:cs="Times New Roman"/>
          <w:sz w:val="28"/>
          <w:szCs w:val="28"/>
        </w:rPr>
        <w:t xml:space="preserve"> </w:t>
      </w:r>
    </w:p>
    <w:p w14:paraId="6DA4DC8E" w14:textId="1997341A"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w:t>
      </w:r>
      <w:proofErr w:type="gramStart"/>
      <w:r>
        <w:rPr>
          <w:rFonts w:ascii="Garamond" w:hAnsi="Garamond" w:cs="Times New Roman"/>
        </w:rPr>
        <w:t>requires  understanding</w:t>
      </w:r>
      <w:proofErr w:type="gramEnd"/>
      <w:r>
        <w:rPr>
          <w:rFonts w:ascii="Garamond" w:hAnsi="Garamond" w:cs="Times New Roman"/>
        </w:rPr>
        <w:t xml:space="preserve">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663CE22B" w:rsidR="007F1A07" w:rsidRDefault="00FA76AC" w:rsidP="00931F9A">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w:t>
      </w:r>
      <w:r w:rsidR="00611D91">
        <w:rPr>
          <w:rFonts w:ascii="Garamond" w:hAnsi="Garamond" w:cs="Times New Roman"/>
        </w:rPr>
        <w:t xml:space="preserve">typically </w:t>
      </w:r>
      <w:r>
        <w:rPr>
          <w:rFonts w:ascii="Garamond" w:hAnsi="Garamond" w:cs="Times New Roman"/>
        </w:rPr>
        <w:t>comprised of multiple distinct sub-stocks (or populations) which vary in their relative abundance</w:t>
      </w:r>
      <w:r w:rsidR="00611D91">
        <w:rPr>
          <w:rFonts w:ascii="Garamond" w:hAnsi="Garamond" w:cs="Times New Roman"/>
        </w:rPr>
        <w:t>, productivity,</w:t>
      </w:r>
      <w:r>
        <w:rPr>
          <w:rFonts w:ascii="Garamond" w:hAnsi="Garamond" w:cs="Times New Roman"/>
        </w:rPr>
        <w:t xml:space="preserve"> and life-history, but which co-migrate within overlapping temporal windows. Downstream fisheries that harvest migrating 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w:t>
      </w:r>
      <w:r w:rsidR="000F27F0">
        <w:rPr>
          <w:rFonts w:ascii="Garamond" w:hAnsi="Garamond" w:cs="Times New Roman"/>
        </w:rPr>
        <w:t xml:space="preserve"> given the extended </w:t>
      </w:r>
      <w:r w:rsidR="003E5F1E">
        <w:rPr>
          <w:rFonts w:ascii="Garamond" w:hAnsi="Garamond" w:cs="Times New Roman"/>
        </w:rPr>
        <w:t>fishing pressure and environmental stressors throughout their return migration</w:t>
      </w:r>
      <w:r w:rsidR="00931F9A">
        <w:rPr>
          <w:rFonts w:ascii="Garamond" w:hAnsi="Garamond" w:cs="Times New Roman"/>
        </w:rPr>
        <w:t xml:space="preserve">. As such, salmon </w:t>
      </w:r>
      <w:r w:rsidR="00931F9A">
        <w:rPr>
          <w:rFonts w:ascii="Garamond" w:hAnsi="Garamond" w:cs="Times New Roman"/>
        </w:rPr>
        <w:lastRenderedPageBreak/>
        <w:t>populations with extended migration durations have been associated with heightened conservation risk in several large river systems</w:t>
      </w:r>
      <w:r w:rsidR="003E5F1E">
        <w:rPr>
          <w:rFonts w:ascii="Garamond" w:hAnsi="Garamond" w:cs="Times New Roman"/>
        </w:rPr>
        <w:t xml:space="preserve"> </w:t>
      </w:r>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r w:rsidR="000F27F0">
        <w:rPr>
          <w:rFonts w:ascii="Garamond" w:hAnsi="Garamond" w:cs="Times New Roman"/>
        </w:rPr>
        <w:t>.</w:t>
      </w:r>
      <w:r>
        <w:rPr>
          <w:rFonts w:ascii="Garamond" w:hAnsi="Garamond" w:cs="Times New Roman"/>
        </w:rPr>
        <w:t xml:space="preserve"> </w:t>
      </w:r>
    </w:p>
    <w:p w14:paraId="655019F9" w14:textId="6E3FD470" w:rsidR="00FA76AC" w:rsidRPr="008605CB" w:rsidRDefault="007F1A07" w:rsidP="007F1A07">
      <w:pPr>
        <w:spacing w:line="480" w:lineRule="auto"/>
        <w:ind w:firstLine="720"/>
        <w:rPr>
          <w:rFonts w:ascii="Garamond" w:hAnsi="Garamond" w:cs="Times New Roman"/>
        </w:rPr>
      </w:pPr>
      <w:r>
        <w:rPr>
          <w:rFonts w:ascii="Garamond" w:hAnsi="Garamond" w:cs="Times New Roman"/>
        </w:rPr>
        <w:t xml:space="preserve">The </w:t>
      </w:r>
      <w:r w:rsidR="00171E1A" w:rsidRPr="00171E1A">
        <w:rPr>
          <w:rFonts w:ascii="Garamond" w:hAnsi="Garamond" w:cs="Times New Roman"/>
        </w:rPr>
        <w:t>timing, yield, and duration of downstream fisheries are shaped by the combined dynamics of upstream</w:t>
      </w:r>
      <w:r>
        <w:rPr>
          <w:rFonts w:ascii="Garamond" w:hAnsi="Garamond" w:cs="Times New Roman"/>
        </w:rPr>
        <w:t xml:space="preserve"> components</w:t>
      </w:r>
      <w:r w:rsidR="00171E1A">
        <w:rPr>
          <w:rFonts w:ascii="Garamond" w:hAnsi="Garamond" w:cs="Times New Roman"/>
        </w:rPr>
        <w:t xml:space="preserve">. </w:t>
      </w:r>
      <w:r w:rsidRPr="007F1A07">
        <w:t xml:space="preserve"> </w:t>
      </w:r>
      <w:r w:rsidRPr="00B90CE4">
        <w:rPr>
          <w:rFonts w:ascii="Garamond" w:hAnsi="Garamond"/>
        </w:rPr>
        <w:t xml:space="preserve">For example, diversity in return timing among upstream populations may extend the duration of downstream fishing opportunities by spreading harvest opportunities across a longer period </w:t>
      </w:r>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r>
        <w:rPr>
          <w:rFonts w:ascii="Garamond" w:hAnsi="Garamond" w:cs="Times New Roman"/>
        </w:rPr>
        <w:t xml:space="preserve"> L</w:t>
      </w:r>
      <w:r w:rsidR="00171E1A" w:rsidRPr="00171E1A">
        <w:rPr>
          <w:rFonts w:ascii="Garamond" w:hAnsi="Garamond" w:cs="Times New Roman"/>
        </w:rPr>
        <w:t>ife-history diversity across the full stock complex enhances ecosystem resilience by spreading risk across space and time</w:t>
      </w:r>
      <w:r w:rsidR="00931F9A">
        <w:rPr>
          <w:rFonts w:ascii="Garamond" w:hAnsi="Garamond" w:cs="Times New Roman"/>
        </w:rPr>
        <w:t xml:space="preserve">, </w:t>
      </w:r>
      <w:r w:rsidR="00171E1A" w:rsidRPr="00171E1A">
        <w:rPr>
          <w:rFonts w:ascii="Garamond" w:hAnsi="Garamond" w:cs="Times New Roman"/>
        </w:rPr>
        <w:t>result</w:t>
      </w:r>
      <w:r w:rsidR="00931F9A">
        <w:rPr>
          <w:rFonts w:ascii="Garamond" w:hAnsi="Garamond" w:cs="Times New Roman"/>
        </w:rPr>
        <w:t>ing</w:t>
      </w:r>
      <w:r w:rsidR="00171E1A" w:rsidRPr="00171E1A">
        <w:rPr>
          <w:rFonts w:ascii="Garamond" w:hAnsi="Garamond" w:cs="Times New Roman"/>
        </w:rPr>
        <w:t xml:space="preserve"> in more reliable delivery of ecosystem services</w:t>
      </w:r>
      <w:r w:rsidR="000F27F0">
        <w:rPr>
          <w:rFonts w:ascii="Garamond" w:hAnsi="Garamond" w:cs="Times New Roman"/>
        </w:rPr>
        <w:t xml:space="preserve"> </w:t>
      </w:r>
      <w:r>
        <w:rPr>
          <w:rFonts w:ascii="Garamond" w:hAnsi="Garamond" w:cs="Times New Roman"/>
        </w:rPr>
        <w:t xml:space="preserve">(i.e. abundance of returning fish) </w:t>
      </w:r>
      <w:r w:rsidR="00171E1A" w:rsidRPr="00171E1A">
        <w:rPr>
          <w:rFonts w:ascii="Garamond" w:hAnsi="Garamond" w:cs="Times New Roman"/>
        </w:rPr>
        <w:t>at the watershed scale</w:t>
      </w:r>
      <w:r w:rsidR="00171E1A">
        <w:rPr>
          <w:rFonts w:ascii="Garamond" w:hAnsi="Garamond" w:cs="Times New Roman"/>
        </w:rPr>
        <w:t xml:space="preserve"> </w:t>
      </w:r>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r w:rsidR="00425BAB">
        <w:rPr>
          <w:rFonts w:ascii="Garamond" w:hAnsi="Garamond" w:cs="Times New Roman"/>
        </w:rPr>
        <w:t xml:space="preserve"> both within and among years</w:t>
      </w:r>
      <w:r w:rsidR="00FA76AC">
        <w:rPr>
          <w:rFonts w:ascii="Garamond" w:hAnsi="Garamond" w:cs="Times New Roman"/>
        </w:rPr>
        <w:t xml:space="preserve">. </w:t>
      </w:r>
    </w:p>
    <w:p w14:paraId="53256603" w14:textId="6C5C5785" w:rsidR="00507803" w:rsidRPr="008605CB" w:rsidRDefault="00720B50" w:rsidP="00FA76AC">
      <w:pPr>
        <w:spacing w:line="480" w:lineRule="auto"/>
        <w:ind w:firstLine="720"/>
        <w:rPr>
          <w:rFonts w:ascii="Garamond" w:hAnsi="Garamond" w:cs="Times New Roman"/>
        </w:rPr>
      </w:pPr>
      <w:r>
        <w:rPr>
          <w:rFonts w:ascii="Garamond" w:hAnsi="Garamond" w:cs="Times New Roman"/>
        </w:rPr>
        <w:t>W</w:t>
      </w:r>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r w:rsidR="00507803">
        <w:rPr>
          <w:rFonts w:ascii="Garamond" w:hAnsi="Garamond"/>
        </w:rPr>
        <w:t>, making western Alaska one of the most important remaining strongholds for the species globally</w:t>
      </w:r>
      <w:r w:rsidR="007F1A07">
        <w:rPr>
          <w:rFonts w:ascii="Garamond" w:hAnsi="Garamond"/>
        </w:rPr>
        <w:t>.</w:t>
      </w:r>
      <w:r w:rsidR="00507803">
        <w:rPr>
          <w:rFonts w:ascii="Garamond" w:hAnsi="Garamond"/>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w:t>
      </w:r>
      <w:r w:rsidR="00507803">
        <w:rPr>
          <w:rFonts w:ascii="Garamond" w:hAnsi="Garamond" w:cs="Times New Roman"/>
        </w:rPr>
        <w:lastRenderedPageBreak/>
        <w:t xml:space="preserve">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22B7B875" w:rsidR="00066384" w:rsidRDefault="00507803" w:rsidP="00066384">
      <w:pPr>
        <w:spacing w:line="480" w:lineRule="auto"/>
        <w:ind w:firstLine="720"/>
        <w:rPr>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This strategy is designed to protect early migrating fish which are assumed to spawn in the furthest upstream regions of the Kuskokwim River</w:t>
      </w:r>
      <w:r w:rsidR="00636BF3">
        <w:rPr>
          <w:rFonts w:ascii="Garamond" w:hAnsi="Garamond" w:cs="Times New Roman"/>
        </w:rPr>
        <w:t xml:space="preserve"> </w:t>
      </w:r>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r w:rsidR="00636BF3" w:rsidRPr="00D6070D">
        <w:rPr>
          <w:rFonts w:ascii="Garamond" w:hAnsi="Garamond" w:cs="Times New Roman"/>
        </w:rPr>
        <w:t xml:space="preserve"> </w:t>
      </w:r>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r w:rsidR="00417AEA">
        <w:rPr>
          <w:rFonts w:ascii="Garamond" w:hAnsi="Garamond" w:cs="Times New Roman"/>
        </w:rPr>
        <w:t>.</w:t>
      </w:r>
      <w:r w:rsidR="001B609C">
        <w:rPr>
          <w:rFonts w:ascii="Garamond" w:hAnsi="Garamond" w:cs="Times New Roman"/>
        </w:rPr>
        <w:t xml:space="preserve"> </w:t>
      </w:r>
      <w:r w:rsidR="00636BF3" w:rsidRPr="00636BF3">
        <w:rPr>
          <w:rFonts w:ascii="Garamond" w:hAnsi="Garamond" w:cs="Times New Roman"/>
        </w:rPr>
        <w:t>Telemetry studies conducted over several years have provided variable estimates of the relative contribution of upper watershed Chinook salmon</w:t>
      </w:r>
      <w:r w:rsidR="009C7F14">
        <w:rPr>
          <w:rFonts w:ascii="Garamond" w:hAnsi="Garamond" w:cs="Times New Roman"/>
        </w:rPr>
        <w:t>, most commonly identified as those at or above McGrath, Alaska,</w:t>
      </w:r>
      <w:r w:rsidR="00636BF3" w:rsidRPr="00636BF3">
        <w:rPr>
          <w:rFonts w:ascii="Garamond" w:hAnsi="Garamond" w:cs="Times New Roman"/>
        </w:rPr>
        <w:t xml:space="preserve"> ranging from &lt;10% to </w:t>
      </w:r>
      <w:r w:rsidR="00611D91">
        <w:rPr>
          <w:rFonts w:ascii="Garamond" w:hAnsi="Garamond" w:cs="Times New Roman"/>
        </w:rPr>
        <w:t>nearly</w:t>
      </w:r>
      <w:r w:rsidR="00636BF3" w:rsidRPr="00636BF3">
        <w:rPr>
          <w:rFonts w:ascii="Garamond" w:hAnsi="Garamond" w:cs="Times New Roman"/>
        </w:rPr>
        <w:t xml:space="preserve"> 25% </w:t>
      </w:r>
      <w:r w:rsidR="00D6070D">
        <w:rPr>
          <w:rFonts w:ascii="Garamond" w:hAnsi="Garamond" w:cs="Times New Roman"/>
        </w:rPr>
        <w:t xml:space="preserve">of the total run </w:t>
      </w:r>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r w:rsidR="00D60256">
        <w:rPr>
          <w:rFonts w:ascii="Garamond" w:hAnsi="Garamond" w:cs="Times New Roman"/>
        </w:rPr>
        <w:t>.</w:t>
      </w:r>
      <w:r w:rsidR="00636BF3" w:rsidRPr="00636BF3">
        <w:rPr>
          <w:rFonts w:ascii="Garamond" w:hAnsi="Garamond" w:cs="Times New Roman"/>
        </w:rPr>
        <w:t xml:space="preserve"> </w:t>
      </w:r>
      <w:r w:rsidR="000B24D0">
        <w:rPr>
          <w:rFonts w:ascii="Garamond" w:hAnsi="Garamond" w:cs="Times New Roman"/>
        </w:rPr>
        <w:t>A</w:t>
      </w:r>
      <w:r w:rsidR="00D6070D">
        <w:rPr>
          <w:rFonts w:ascii="Garamond" w:hAnsi="Garamond" w:cs="Times New Roman"/>
        </w:rPr>
        <w:t xml:space="preserve"> relatively small proportion of the total residents in the Kuskokwim (&lt;10%) live in the upper reaches of the watershed, </w:t>
      </w:r>
      <w:r w:rsidR="000B24D0">
        <w:rPr>
          <w:rFonts w:ascii="Garamond" w:hAnsi="Garamond" w:cs="Times New Roman"/>
        </w:rPr>
        <w:t xml:space="preserve">however, </w:t>
      </w:r>
      <w:r w:rsidR="00066384">
        <w:rPr>
          <w:rFonts w:ascii="Garamond" w:hAnsi="Garamond" w:cs="Times New Roman"/>
        </w:rPr>
        <w:t>Chinook salmon returning to these tributaries are a critical subsistence resource</w:t>
      </w:r>
      <w:r w:rsidR="000B24D0">
        <w:rPr>
          <w:rFonts w:ascii="Garamond" w:hAnsi="Garamond" w:cs="Times New Roman"/>
        </w:rPr>
        <w:t xml:space="preserve"> and </w:t>
      </w:r>
      <w:r w:rsidR="00D6070D">
        <w:rPr>
          <w:rFonts w:ascii="Garamond" w:hAnsi="Garamond" w:cs="Times New Roman"/>
        </w:rPr>
        <w:t xml:space="preserve">the vast majority </w:t>
      </w:r>
      <w:r w:rsidR="00636BF3">
        <w:rPr>
          <w:rFonts w:ascii="Garamond" w:hAnsi="Garamond" w:cs="Times New Roman"/>
        </w:rPr>
        <w:t>(&gt;85%) of the total harvest occurs in the lower portions of the</w:t>
      </w:r>
      <w:r w:rsidR="00354DC3">
        <w:rPr>
          <w:rFonts w:ascii="Garamond" w:hAnsi="Garamond" w:cs="Times New Roman"/>
        </w:rPr>
        <w:t xml:space="preserve"> river</w:t>
      </w:r>
      <w:r w:rsidR="00636BF3">
        <w:rPr>
          <w:rFonts w:ascii="Garamond" w:hAnsi="Garamond" w:cs="Times New Roman"/>
        </w:rPr>
        <w:t xml:space="preserve"> </w:t>
      </w:r>
      <w:r w:rsidR="00066384">
        <w:rPr>
          <w:rFonts w:ascii="Garamond" w:hAnsi="Garamond" w:cs="Times New Roman"/>
        </w:rPr>
        <w:t>and disproportionately early in the season</w:t>
      </w:r>
      <w:r w:rsidR="00636BF3">
        <w:rPr>
          <w:rFonts w:ascii="Garamond" w:hAnsi="Garamond" w:cs="Times New Roman"/>
        </w:rPr>
        <w:t xml:space="preserve"> </w:t>
      </w:r>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r w:rsidR="00D60256">
        <w:rPr>
          <w:rFonts w:ascii="Garamond" w:hAnsi="Garamond" w:cs="Times New Roman"/>
        </w:rPr>
        <w:t>. As</w:t>
      </w:r>
      <w:r w:rsidR="00636BF3">
        <w:rPr>
          <w:rFonts w:ascii="Garamond" w:hAnsi="Garamond" w:cs="Times New Roman"/>
        </w:rPr>
        <w:t xml:space="preserve"> such, there is concern that upper watershed stocks may be overexploited by downstream fisheries</w:t>
      </w:r>
      <w:r w:rsidR="00D6070D">
        <w:rPr>
          <w:rFonts w:ascii="Garamond" w:hAnsi="Garamond" w:cs="Times New Roman"/>
        </w:rPr>
        <w:t xml:space="preserve">, putting them at </w:t>
      </w:r>
      <w:r w:rsidR="000B24D0">
        <w:rPr>
          <w:rFonts w:ascii="Garamond" w:hAnsi="Garamond" w:cs="Times New Roman"/>
        </w:rPr>
        <w:t xml:space="preserve">a heightened </w:t>
      </w:r>
      <w:r w:rsidR="00D6070D">
        <w:rPr>
          <w:rFonts w:ascii="Garamond" w:hAnsi="Garamond" w:cs="Times New Roman"/>
        </w:rPr>
        <w:t xml:space="preserve">risk of extirpation and limiting subsistence access for upstream communities. </w:t>
      </w:r>
      <w:r w:rsidR="00636BF3">
        <w:rPr>
          <w:rFonts w:ascii="Garamond" w:hAnsi="Garamond" w:cs="Times New Roman"/>
        </w:rPr>
        <w:t>By implementing a front-end fishery closure, managers aim to</w:t>
      </w:r>
      <w:r w:rsidR="00066384">
        <w:rPr>
          <w:rFonts w:ascii="Garamond" w:hAnsi="Garamond" w:cs="Times New Roman"/>
        </w:rPr>
        <w:t xml:space="preserve"> both</w:t>
      </w:r>
      <w:r w:rsidR="00636BF3">
        <w:rPr>
          <w:rFonts w:ascii="Garamond" w:hAnsi="Garamond" w:cs="Times New Roman"/>
        </w:rPr>
        <w:t xml:space="preserve"> </w:t>
      </w:r>
      <w:r w:rsidR="00425BAB">
        <w:rPr>
          <w:rFonts w:ascii="Garamond" w:hAnsi="Garamond" w:cs="Times New Roman"/>
        </w:rPr>
        <w:t>support basin-wide escapement goals</w:t>
      </w:r>
      <w:r w:rsidR="004E7082">
        <w:rPr>
          <w:rFonts w:ascii="Garamond" w:hAnsi="Garamond" w:cs="Times New Roman"/>
        </w:rPr>
        <w:t xml:space="preserve"> and</w:t>
      </w:r>
      <w:r w:rsidR="00E52637">
        <w:rPr>
          <w:rFonts w:ascii="Garamond" w:hAnsi="Garamond" w:cs="Times New Roman"/>
        </w:rPr>
        <w:t xml:space="preserve"> </w:t>
      </w:r>
      <w:r w:rsidR="00425BAB">
        <w:rPr>
          <w:rFonts w:ascii="Garamond" w:hAnsi="Garamond" w:cs="Times New Roman"/>
        </w:rPr>
        <w:t>provide more equitable harvest opportunities to</w:t>
      </w:r>
      <w:r w:rsidR="000F27F0">
        <w:rPr>
          <w:rFonts w:ascii="Garamond" w:hAnsi="Garamond" w:cs="Times New Roman"/>
        </w:rPr>
        <w:t xml:space="preserve"> these</w:t>
      </w:r>
      <w:r w:rsidR="00425BAB">
        <w:rPr>
          <w:rFonts w:ascii="Garamond" w:hAnsi="Garamond" w:cs="Times New Roman"/>
        </w:rPr>
        <w:t xml:space="preserve"> upstream communities</w:t>
      </w:r>
      <w:r w:rsidR="00066384">
        <w:rPr>
          <w:rFonts w:ascii="Garamond" w:hAnsi="Garamond" w:cs="Times New Roman"/>
        </w:rPr>
        <w:t xml:space="preserve">. </w:t>
      </w:r>
      <w:r w:rsidR="000B24D0">
        <w:rPr>
          <w:rFonts w:ascii="Garamond" w:hAnsi="Garamond" w:cs="Times New Roman"/>
        </w:rPr>
        <w:t xml:space="preserve">At the same </w:t>
      </w:r>
      <w:r w:rsidR="000B24D0">
        <w:rPr>
          <w:rFonts w:ascii="Garamond" w:hAnsi="Garamond" w:cs="Times New Roman"/>
        </w:rPr>
        <w:lastRenderedPageBreak/>
        <w:t>time, p</w:t>
      </w:r>
      <w:r w:rsidR="00066384">
        <w:rPr>
          <w:rFonts w:ascii="Garamond" w:hAnsi="Garamond" w:cs="Times New Roman"/>
        </w:rPr>
        <w:t xml:space="preserve">rotecting upriver stocks from extirpation may also serve to protect the biodiversity that supports basin-wide population </w:t>
      </w:r>
      <w:r w:rsidR="0038542B">
        <w:rPr>
          <w:rFonts w:ascii="Garamond" w:hAnsi="Garamond" w:cs="Times New Roman"/>
        </w:rPr>
        <w:t>resilience</w:t>
      </w:r>
      <w:r w:rsidR="00066384">
        <w:rPr>
          <w:rFonts w:ascii="Garamond" w:hAnsi="Garamond" w:cs="Times New Roman"/>
        </w:rPr>
        <w:t xml:space="preserve"> a</w:t>
      </w:r>
      <w:r w:rsidR="000F27F0">
        <w:rPr>
          <w:rFonts w:ascii="Garamond" w:hAnsi="Garamond" w:cs="Times New Roman"/>
        </w:rPr>
        <w:t>s well as the</w:t>
      </w:r>
      <w:r w:rsidR="00066384">
        <w:rPr>
          <w:rFonts w:ascii="Garamond" w:hAnsi="Garamond" w:cs="Times New Roman"/>
        </w:rPr>
        <w:t xml:space="preserve"> reliability of downstream fisheries. </w:t>
      </w:r>
    </w:p>
    <w:p w14:paraId="4A951439" w14:textId="7A969223" w:rsidR="009D5982" w:rsidRPr="00066384" w:rsidRDefault="000B24D0" w:rsidP="00B90CE4">
      <w:pPr>
        <w:spacing w:line="480" w:lineRule="auto"/>
        <w:rPr>
          <w:rFonts w:ascii="Garamond" w:hAnsi="Garamond" w:cs="Times New Roman"/>
        </w:rPr>
      </w:pPr>
      <w:r>
        <w:rPr>
          <w:rFonts w:ascii="Garamond" w:hAnsi="Garamond" w:cs="Times New Roman"/>
        </w:rPr>
        <w:tab/>
      </w:r>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r w:rsidR="00280FDF">
        <w:rPr>
          <w:rFonts w:ascii="Garamond" w:hAnsi="Garamond" w:cs="Times New Roman"/>
        </w:rPr>
        <w:t>the</w:t>
      </w:r>
      <w:r w:rsidR="00280FDF" w:rsidRPr="00280FDF">
        <w:rPr>
          <w:rFonts w:ascii="Garamond" w:hAnsi="Garamond" w:cs="Times New Roman"/>
        </w:rPr>
        <w:t xml:space="preserve"> ability to assess whether the front-end fishery closure effectively protects upstream stocks as intended.</w:t>
      </w:r>
      <w:r w:rsidR="00280FDF">
        <w:rPr>
          <w:rFonts w:ascii="Garamond" w:hAnsi="Garamond" w:cs="Times New Roman"/>
        </w:rPr>
        <w:t xml:space="preserve"> </w:t>
      </w:r>
      <w:r w:rsidR="00280FDF" w:rsidRPr="00280FDF">
        <w:rPr>
          <w:rFonts w:ascii="Garamond" w:hAnsi="Garamond" w:cs="Times New Roman"/>
        </w:rPr>
        <w:t>Although genetics-based approaches such as Genetic Stock Identification (GSI) ha</w:t>
      </w:r>
      <w:r w:rsidR="000F27F0">
        <w:rPr>
          <w:rFonts w:ascii="Garamond" w:hAnsi="Garamond" w:cs="Times New Roman"/>
        </w:rPr>
        <w:t>ve</w:t>
      </w:r>
      <w:r w:rsidR="00EA24E9">
        <w:rPr>
          <w:rFonts w:ascii="Garamond" w:hAnsi="Garamond" w:cs="Times New Roman"/>
        </w:rPr>
        <w:t xml:space="preserve"> </w:t>
      </w:r>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w:t>
      </w:r>
      <w:r w:rsidR="00354DC3">
        <w:rPr>
          <w:rFonts w:ascii="Garamond" w:hAnsi="Garamond" w:cs="Times New Roman"/>
        </w:rPr>
        <w:t>the utility of genetic-based approaches for</w:t>
      </w:r>
      <w:r w:rsidR="00280FDF" w:rsidRPr="00280FDF">
        <w:rPr>
          <w:rFonts w:ascii="Garamond" w:hAnsi="Garamond" w:cs="Times New Roman"/>
        </w:rPr>
        <w:t xml:space="preserve"> distinguish</w:t>
      </w:r>
      <w:r w:rsidR="00354DC3">
        <w:rPr>
          <w:rFonts w:ascii="Garamond" w:hAnsi="Garamond" w:cs="Times New Roman"/>
        </w:rPr>
        <w:t>ing</w:t>
      </w:r>
      <w:r w:rsidR="00280FDF" w:rsidRPr="00280FDF">
        <w:rPr>
          <w:rFonts w:ascii="Garamond" w:hAnsi="Garamond" w:cs="Times New Roman"/>
        </w:rPr>
        <w:t xml:space="preserve"> among </w:t>
      </w:r>
      <w:r w:rsidR="00280FDF">
        <w:rPr>
          <w:rFonts w:ascii="Garamond" w:hAnsi="Garamond" w:cs="Times New Roman"/>
        </w:rPr>
        <w:t xml:space="preserve">subpopulations in the basin </w:t>
      </w:r>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r>
        <w:rPr>
          <w:rFonts w:ascii="Garamond" w:hAnsi="Garamond" w:cs="Times New Roman"/>
        </w:rPr>
        <w:t>.</w:t>
      </w:r>
      <w:r w:rsidR="003B674A">
        <w:rPr>
          <w:rFonts w:ascii="Garamond" w:hAnsi="Garamond" w:cs="Times New Roman"/>
        </w:rPr>
        <w:t xml:space="preserve"> </w:t>
      </w:r>
      <w:r w:rsidR="00280FDF" w:rsidRPr="00280FDF">
        <w:rPr>
          <w:rFonts w:ascii="Garamond" w:hAnsi="Garamond" w:cs="Times New Roman"/>
        </w:rPr>
        <w:t xml:space="preserve">Telemetry-based approaches have provided </w:t>
      </w:r>
      <w:r w:rsidR="00354DC3">
        <w:rPr>
          <w:rFonts w:ascii="Garamond" w:hAnsi="Garamond" w:cs="Times New Roman"/>
        </w:rPr>
        <w:t>some</w:t>
      </w:r>
      <w:r w:rsidR="00280FDF" w:rsidRPr="00280FDF">
        <w:rPr>
          <w:rFonts w:ascii="Garamond" w:hAnsi="Garamond" w:cs="Times New Roman"/>
        </w:rPr>
        <w:t xml:space="preserve"> insights into movement patterns within the basin; however, the spatial coverage </w:t>
      </w:r>
      <w:r w:rsidR="00066384">
        <w:rPr>
          <w:rFonts w:ascii="Garamond" w:hAnsi="Garamond" w:cs="Times New Roman"/>
        </w:rPr>
        <w:t xml:space="preserve">available from this type of tool </w:t>
      </w:r>
      <w:r w:rsidR="00280FDF" w:rsidRPr="00280FDF">
        <w:rPr>
          <w:rFonts w:ascii="Garamond" w:hAnsi="Garamond" w:cs="Times New Roman"/>
        </w:rPr>
        <w:t>is limited</w:t>
      </w:r>
      <w:r w:rsidR="00EA24E9">
        <w:rPr>
          <w:rFonts w:ascii="Garamond" w:hAnsi="Garamond" w:cs="Times New Roman"/>
        </w:rPr>
        <w:t xml:space="preserve"> across the full watershed </w:t>
      </w:r>
      <w:r>
        <w:rPr>
          <w:rFonts w:ascii="Garamond" w:hAnsi="Garamond" w:cs="Times New Roman"/>
        </w:rPr>
        <w:t xml:space="preserve">and has not been conducted in several years </w:t>
      </w:r>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r w:rsidR="00EA24E9">
        <w:rPr>
          <w:rFonts w:ascii="Garamond" w:hAnsi="Garamond" w:cs="Times New Roman"/>
        </w:rPr>
        <w:t xml:space="preserve">. </w:t>
      </w:r>
      <w:r w:rsidR="00BC565F" w:rsidRPr="00BC565F">
        <w:rPr>
          <w:rFonts w:ascii="Garamond" w:hAnsi="Garamond" w:cs="Times New Roman"/>
        </w:rPr>
        <w:t xml:space="preserve">Otolith microchemical approaches have emerged as an alternative tool for estimating sub-watershed provenance without </w:t>
      </w:r>
      <w:r w:rsidR="00066384">
        <w:rPr>
          <w:rFonts w:ascii="Garamond" w:hAnsi="Garamond" w:cs="Times New Roman"/>
        </w:rPr>
        <w:t xml:space="preserve">the need </w:t>
      </w:r>
      <w:r w:rsidR="00BC565F" w:rsidRPr="00BC565F">
        <w:rPr>
          <w:rFonts w:ascii="Garamond" w:hAnsi="Garamond" w:cs="Times New Roman"/>
        </w:rPr>
        <w:t xml:space="preserve">extensive field-based monitoring </w:t>
      </w:r>
      <w:r w:rsidR="00EA24E9">
        <w:rPr>
          <w:rFonts w:ascii="Garamond" w:hAnsi="Garamond" w:cs="Times New Roman"/>
        </w:rPr>
        <w:fldChar w:fldCharType="begin"/>
      </w:r>
      <w:r w:rsidR="00FA25AE">
        <w:rPr>
          <w:rFonts w:ascii="Garamond" w:hAnsi="Garamond" w:cs="Times New Roman"/>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FA25AE" w:rsidRPr="000F27F0">
        <w:rPr>
          <w:rFonts w:ascii="Garamond" w:hAnsi="Garamond" w:cs="Times New Roman"/>
          <w:lang w:val="fr-FR"/>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FA25AE">
        <w:rPr>
          <w:rFonts w:ascii="Garamond" w:hAnsi="Garamond" w:cs="Times New Roman"/>
          <w:noProof/>
          <w:lang w:val="fr-FR"/>
        </w:rPr>
        <w:t>(Brennan et al., 2019; Brennan, Zimmerman, et al., 2015; Kennedy et al., 2000)</w:t>
      </w:r>
      <w:r w:rsidR="00EA24E9">
        <w:rPr>
          <w:rFonts w:ascii="Garamond" w:hAnsi="Garamond" w:cs="Times New Roman"/>
        </w:rPr>
        <w:fldChar w:fldCharType="end"/>
      </w:r>
      <w:r w:rsidR="00EA24E9" w:rsidRPr="00B90CE4">
        <w:rPr>
          <w:rFonts w:ascii="Garamond" w:hAnsi="Garamond" w:cs="Times New Roman"/>
          <w:lang w:val="fr-FR"/>
        </w:rPr>
        <w:t>.</w:t>
      </w:r>
      <w:r w:rsidR="00BC565F" w:rsidRPr="00B90CE4">
        <w:rPr>
          <w:rFonts w:ascii="Garamond" w:hAnsi="Garamond" w:cs="Times New Roman"/>
          <w:lang w:val="fr-FR"/>
        </w:rPr>
        <w:t xml:space="preserve"> </w:t>
      </w:r>
      <w:r w:rsidR="00BC565F" w:rsidRPr="00BC565F">
        <w:rPr>
          <w:rFonts w:ascii="Garamond" w:hAnsi="Garamond" w:cs="Times New Roman"/>
        </w:rPr>
        <w:t xml:space="preserve">By leveraging predictable relationships between chemical signatures recorded in the otolith and those measured or modeled across the landscape, these approaches enable </w:t>
      </w:r>
      <w:r w:rsidR="00066384">
        <w:rPr>
          <w:rFonts w:ascii="Garamond" w:hAnsi="Garamond" w:cs="Times New Roman"/>
        </w:rPr>
        <w:t xml:space="preserve">the </w:t>
      </w:r>
      <w:r w:rsidR="00BC565F" w:rsidRPr="00BC565F">
        <w:rPr>
          <w:rFonts w:ascii="Garamond" w:hAnsi="Garamond" w:cs="Times New Roman"/>
        </w:rPr>
        <w:t>reconstruction of individual life histor</w:t>
      </w:r>
      <w:r w:rsidR="00066384">
        <w:rPr>
          <w:rFonts w:ascii="Garamond" w:hAnsi="Garamond" w:cs="Times New Roman"/>
        </w:rPr>
        <w:t xml:space="preserve">y characteristics at the watershed scale with refined spatial resolution compared to genetics-based methods in many cases </w:t>
      </w:r>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r w:rsidR="00832E18">
        <w:rPr>
          <w:rFonts w:ascii="Garamond" w:hAnsi="Garamond" w:cs="Times New Roman"/>
        </w:rPr>
        <w:t xml:space="preserve">. These methods therefore offer a means to estimate provenance of adult salmon across the entire watershed at a </w:t>
      </w:r>
      <w:proofErr w:type="gramStart"/>
      <w:r w:rsidR="00832E18">
        <w:rPr>
          <w:rFonts w:ascii="Garamond" w:hAnsi="Garamond" w:cs="Times New Roman"/>
        </w:rPr>
        <w:t>refined spatial scale</w:t>
      </w:r>
      <w:r w:rsidR="000F27F0">
        <w:rPr>
          <w:rFonts w:ascii="Garamond" w:hAnsi="Garamond" w:cs="Times New Roman"/>
        </w:rPr>
        <w:t>s</w:t>
      </w:r>
      <w:proofErr w:type="gramEnd"/>
      <w:r w:rsidR="00832E18">
        <w:rPr>
          <w:rFonts w:ascii="Garamond" w:hAnsi="Garamond" w:cs="Times New Roman"/>
        </w:rPr>
        <w:t xml:space="preserve"> without the need for extensive basin-wide sampling efforts. </w:t>
      </w:r>
    </w:p>
    <w:p w14:paraId="4B48F71D" w14:textId="03A3721F" w:rsidR="00A72EBD" w:rsidRPr="008605CB" w:rsidRDefault="00A72EBD" w:rsidP="00B90CE4">
      <w:pPr>
        <w:spacing w:line="480" w:lineRule="auto"/>
        <w:ind w:firstLine="36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w:t>
      </w:r>
      <w:r w:rsidR="00354DC3">
        <w:rPr>
          <w:rFonts w:ascii="Garamond" w:hAnsi="Garamond" w:cs="Times New Roman"/>
        </w:rPr>
        <w:lastRenderedPageBreak/>
        <w:t xml:space="preserve">the natal origins of </w:t>
      </w:r>
      <w:r>
        <w:rPr>
          <w:rFonts w:ascii="Garamond" w:hAnsi="Garamond" w:cs="Times New Roman"/>
        </w:rPr>
        <w:t xml:space="preserve">Chinook salmon returns. </w:t>
      </w:r>
      <w:r w:rsidR="00BC565F">
        <w:rPr>
          <w:rFonts w:ascii="Garamond" w:hAnsi="Garamond" w:cs="Times New Roman"/>
        </w:rPr>
        <w:t>In doing so, we use o</w:t>
      </w:r>
      <w:r>
        <w:rPr>
          <w:rFonts w:ascii="Garamond" w:hAnsi="Garamond" w:cs="Times New Roman"/>
        </w:rPr>
        <w:t xml:space="preserve">tolith-based methods for estimating provenance </w:t>
      </w:r>
      <w:r w:rsidR="00E43153">
        <w:rPr>
          <w:rFonts w:ascii="Garamond" w:hAnsi="Garamond" w:cs="Times New Roman"/>
        </w:rPr>
        <w:t xml:space="preserve">as a </w:t>
      </w:r>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6F6810E7"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w:t>
      </w:r>
      <w:proofErr w:type="spellStart"/>
      <w:r>
        <w:rPr>
          <w:rFonts w:ascii="Garamond" w:eastAsia="Times New Roman" w:hAnsi="Garamond" w:cs="Times New Roman"/>
          <w:kern w:val="0"/>
          <w14:ligatures w14:val="none"/>
        </w:rPr>
        <w:t>Orutsararmiut</w:t>
      </w:r>
      <w:proofErr w:type="spellEnd"/>
      <w:r>
        <w:rPr>
          <w:rFonts w:ascii="Garamond" w:eastAsia="Times New Roman" w:hAnsi="Garamond" w:cs="Times New Roman"/>
          <w:kern w:val="0"/>
          <w14:ligatures w14:val="none"/>
        </w:rPr>
        <w:t xml:space="preserve">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r w:rsidR="004A41B6">
        <w:rPr>
          <w:rFonts w:ascii="Garamond" w:hAnsi="Garamond" w:cs="Times New Roman"/>
        </w:rPr>
        <w:t>were</w:t>
      </w:r>
      <w:r w:rsidR="00AA4630">
        <w:rPr>
          <w:rFonts w:ascii="Garamond" w:hAnsi="Garamond" w:cs="Times New Roman"/>
        </w:rPr>
        <w:t xml:space="preserve"> sampled</w:t>
      </w:r>
      <w:r w:rsidR="00473B48">
        <w:rPr>
          <w:rFonts w:ascii="Garamond" w:hAnsi="Garamond" w:cs="Times New Roman"/>
        </w:rPr>
        <w:t xml:space="preserve"> using gillnets</w:t>
      </w:r>
      <w:r w:rsidR="00AA4630">
        <w:rPr>
          <w:rFonts w:ascii="Garamond" w:hAnsi="Garamond" w:cs="Times New Roman"/>
        </w:rPr>
        <w:t xml:space="preserve"> throughout the full return migration window, and are assumed to </w:t>
      </w:r>
      <w:r>
        <w:rPr>
          <w:rFonts w:ascii="Garamond" w:hAnsi="Garamond" w:cs="Times New Roman"/>
        </w:rPr>
        <w:t>represent</w:t>
      </w:r>
      <w:r w:rsidR="0030774A">
        <w:rPr>
          <w:rFonts w:ascii="Garamond" w:hAnsi="Garamond" w:cs="Times New Roman"/>
        </w:rPr>
        <w:t xml:space="preserve"> the</w:t>
      </w:r>
      <w:r w:rsidR="00473B48">
        <w:rPr>
          <w:rFonts w:ascii="Garamond" w:hAnsi="Garamond" w:cs="Times New Roman"/>
        </w:rPr>
        <w:t xml:space="preserve"> shifting</w:t>
      </w:r>
      <w:r w:rsidR="0030774A">
        <w:rPr>
          <w:rFonts w:ascii="Garamond" w:hAnsi="Garamond" w:cs="Times New Roman"/>
        </w:rPr>
        <w:t xml:space="preserve"> distribution of </w:t>
      </w:r>
      <w:r>
        <w:rPr>
          <w:rFonts w:ascii="Garamond" w:hAnsi="Garamond" w:cs="Times New Roman"/>
        </w:rPr>
        <w:t xml:space="preserve"> </w:t>
      </w:r>
      <w:r w:rsidR="00473B48">
        <w:rPr>
          <w:rFonts w:ascii="Garamond" w:hAnsi="Garamond" w:cs="Times New Roman"/>
        </w:rPr>
        <w:t xml:space="preserve">returning </w:t>
      </w:r>
      <w:r>
        <w:rPr>
          <w:rFonts w:ascii="Garamond" w:hAnsi="Garamond" w:cs="Times New Roman"/>
        </w:rPr>
        <w:t xml:space="preserve">stocks </w:t>
      </w:r>
      <w:r w:rsidR="00473B48">
        <w:rPr>
          <w:rFonts w:ascii="Garamond" w:hAnsi="Garamond" w:cs="Times New Roman"/>
        </w:rPr>
        <w:t xml:space="preserve">that </w:t>
      </w:r>
      <w:r w:rsidR="0030774A">
        <w:rPr>
          <w:rFonts w:ascii="Garamond" w:hAnsi="Garamond" w:cs="Times New Roman"/>
        </w:rPr>
        <w:t>comprise the run at any given time</w:t>
      </w:r>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r w:rsidR="00857F51">
        <w:rPr>
          <w:rFonts w:ascii="Garamond" w:eastAsia="Times New Roman" w:hAnsi="Garamond" w:cs="Times New Roman"/>
          <w:kern w:val="0"/>
          <w14:ligatures w14:val="none"/>
        </w:rPr>
        <w:t xml:space="preserve"> per year</w:t>
      </w:r>
      <w:r>
        <w:rPr>
          <w:rFonts w:ascii="Garamond" w:eastAsia="Times New Roman" w:hAnsi="Garamond" w:cs="Times New Roman"/>
          <w:kern w:val="0"/>
          <w14:ligatures w14:val="none"/>
        </w:rPr>
        <w:t xml:space="preserve"> were selected for chemical analysis in proportion to the relative CPUE throughout the season</w:t>
      </w:r>
      <w:r w:rsidR="00301B81">
        <w:rPr>
          <w:rFonts w:ascii="Garamond" w:eastAsia="Times New Roman" w:hAnsi="Garamond" w:cs="Times New Roman"/>
          <w:kern w:val="0"/>
          <w14:ligatures w14:val="none"/>
        </w:rPr>
        <w:t xml:space="preserve"> (Supp. Fig. 1)</w:t>
      </w:r>
    </w:p>
    <w:p w14:paraId="08A34DF9" w14:textId="4B8CCD01" w:rsidR="009D5982" w:rsidRDefault="00313CB8" w:rsidP="00175DEB">
      <w:pPr>
        <w:spacing w:line="480" w:lineRule="auto"/>
        <w:rPr>
          <w:rFonts w:ascii="Garamond" w:eastAsia="Times New Roman" w:hAnsi="Garamond" w:cs="Times New Roman"/>
          <w:b/>
          <w:bCs/>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w:t>
      </w:r>
      <w:proofErr w:type="spellStart"/>
      <w:r>
        <w:rPr>
          <w:rFonts w:ascii="Garamond" w:eastAsia="Times New Roman" w:hAnsi="Garamond" w:cs="Times New Roman"/>
          <w:kern w:val="0"/>
          <w14:ligatures w14:val="none"/>
        </w:rPr>
        <w:t>Isomet</w:t>
      </w:r>
      <w:proofErr w:type="spellEnd"/>
      <w:r>
        <w:rPr>
          <w:rFonts w:ascii="Garamond" w:eastAsia="Times New Roman" w:hAnsi="Garamond" w:cs="Times New Roman"/>
          <w:kern w:val="0"/>
          <w14:ligatures w14:val="none"/>
        </w:rPr>
        <w:t xml:space="preserve">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 xml:space="preserve">(Donohoe &amp; </w:t>
      </w:r>
      <w:r>
        <w:rPr>
          <w:rFonts w:ascii="Garamond" w:eastAsia="Times New Roman" w:hAnsi="Garamond" w:cs="Times New Roman"/>
          <w:noProof/>
          <w:kern w:val="0"/>
          <w14:ligatures w14:val="none"/>
        </w:rPr>
        <w:lastRenderedPageBreak/>
        <w:t>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sidR="009D5982">
        <w:rPr>
          <w:rFonts w:ascii="Garamond" w:eastAsia="Times New Roman" w:hAnsi="Garamond" w:cs="Times New Roman"/>
          <w:kern w:val="0"/>
          <w14:ligatures w14:val="none"/>
        </w:rPr>
        <w:t xml:space="preserve"> </w:t>
      </w:r>
      <w:r w:rsidR="009D5982" w:rsidRPr="00B90CE4">
        <w:rPr>
          <w:rFonts w:ascii="Garamond" w:eastAsia="Times New Roman" w:hAnsi="Garamond" w:cs="Times New Roman"/>
          <w:kern w:val="0"/>
          <w14:ligatures w14:val="none"/>
        </w:rPr>
        <w:t>(Supp</w:t>
      </w:r>
      <w:r w:rsidR="00301B81" w:rsidRPr="000F27F0">
        <w:rPr>
          <w:rFonts w:ascii="Garamond" w:eastAsia="Times New Roman" w:hAnsi="Garamond" w:cs="Times New Roman"/>
          <w:kern w:val="0"/>
          <w14:ligatures w14:val="none"/>
        </w:rPr>
        <w:t>. 1</w:t>
      </w:r>
      <w:r w:rsidR="009D5982" w:rsidRPr="00B90CE4">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The resulting data represent a continuously integrated measurement of </w:t>
      </w:r>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r w:rsidR="0033663A">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Sr value associated with the natal freshwater rearing period was extracted by examining patterns of change in </w:t>
      </w:r>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r>
        <w:rPr>
          <w:rFonts w:ascii="Garamond" w:eastAsia="Times New Roman" w:hAnsi="Garamond" w:cs="Times New Roman"/>
          <w:kern w:val="0"/>
          <w14:ligatures w14:val="none"/>
        </w:rPr>
        <w:t xml:space="preserve">and </w:t>
      </w:r>
      <w:r w:rsidR="00581DBC">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Sr between the core and freshwater region, morphological features of the otolith visible along the ablation path, and </w:t>
      </w:r>
      <w:r w:rsidR="004A41B6">
        <w:rPr>
          <w:rFonts w:ascii="Garamond" w:eastAsia="Times New Roman" w:hAnsi="Garamond" w:cs="Times New Roman"/>
          <w:kern w:val="0"/>
          <w14:ligatures w14:val="none"/>
        </w:rPr>
        <w:t>guided by established</w:t>
      </w:r>
      <w:r>
        <w:rPr>
          <w:rFonts w:ascii="Garamond" w:eastAsia="Times New Roman" w:hAnsi="Garamond" w:cs="Times New Roman"/>
          <w:kern w:val="0"/>
          <w14:ligatures w14:val="none"/>
        </w:rPr>
        <w:t xml:space="preserve"> distances </w:t>
      </w:r>
      <w:r w:rsidR="00581DBC" w:rsidRPr="00B90CE4">
        <w:rPr>
          <w:rFonts w:ascii="Garamond" w:eastAsia="Times New Roman" w:hAnsi="Garamond" w:cs="Times New Roman"/>
          <w:kern w:val="0"/>
          <w14:ligatures w14:val="none"/>
        </w:rPr>
        <w:t>(~120-150 µm)</w:t>
      </w:r>
      <w:r w:rsidR="00581DBC">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t xml:space="preserve">from the </w:t>
      </w:r>
      <w:r w:rsidR="00581DBC">
        <w:rPr>
          <w:rFonts w:ascii="Garamond" w:eastAsia="Times New Roman" w:hAnsi="Garamond" w:cs="Times New Roman"/>
          <w:kern w:val="0"/>
          <w14:ligatures w14:val="none"/>
        </w:rPr>
        <w:t>core to</w:t>
      </w:r>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sidR="007D796E">
        <w:rPr>
          <w:rFonts w:ascii="Garamond" w:eastAsia="Times New Roman" w:hAnsi="Garamond" w:cs="Times New Roman"/>
          <w:kern w:val="0"/>
          <w14:ligatures w14:val="none"/>
        </w:rPr>
        <w:t xml:space="preserve"> We used </w:t>
      </w:r>
      <w:r w:rsidR="0033663A">
        <w:rPr>
          <w:rFonts w:ascii="Garamond" w:eastAsia="Times New Roman" w:hAnsi="Garamond" w:cs="Times New Roman"/>
          <w:kern w:val="0"/>
          <w:vertAlign w:val="superscript"/>
          <w14:ligatures w14:val="none"/>
        </w:rPr>
        <w:t>88</w:t>
      </w:r>
      <w:r w:rsidR="00221CA6">
        <w:rPr>
          <w:rFonts w:ascii="Garamond" w:eastAsia="Times New Roman" w:hAnsi="Garamond" w:cs="Times New Roman"/>
          <w:kern w:val="0"/>
          <w14:ligatures w14:val="none"/>
        </w:rPr>
        <w:t xml:space="preserve">Sr as a proxy for </w:t>
      </w:r>
      <w:r w:rsidR="007D796E">
        <w:rPr>
          <w:rFonts w:ascii="Garamond" w:eastAsia="Times New Roman" w:hAnsi="Garamond" w:cs="Times New Roman"/>
          <w:kern w:val="0"/>
          <w14:ligatures w14:val="none"/>
        </w:rPr>
        <w:t>total strontium</w:t>
      </w:r>
      <w:r w:rsidR="00221CA6">
        <w:rPr>
          <w:rFonts w:ascii="Garamond" w:eastAsia="Times New Roman" w:hAnsi="Garamond" w:cs="Times New Roman"/>
          <w:kern w:val="0"/>
          <w14:ligatures w14:val="none"/>
        </w:rPr>
        <w:t xml:space="preserve"> concentration, which is expected to be much higher in </w:t>
      </w:r>
      <w:r w:rsidR="007D796E">
        <w:rPr>
          <w:rFonts w:ascii="Garamond" w:eastAsia="Times New Roman" w:hAnsi="Garamond" w:cs="Times New Roman"/>
          <w:kern w:val="0"/>
          <w14:ligatures w14:val="none"/>
        </w:rPr>
        <w:t>both the</w:t>
      </w:r>
      <w:r w:rsidR="00221CA6">
        <w:rPr>
          <w:rFonts w:ascii="Garamond" w:eastAsia="Times New Roman" w:hAnsi="Garamond" w:cs="Times New Roman"/>
          <w:kern w:val="0"/>
          <w14:ligatures w14:val="none"/>
        </w:rPr>
        <w:t xml:space="preserve"> marine environment </w:t>
      </w:r>
      <w:r w:rsidR="007D796E">
        <w:rPr>
          <w:rFonts w:ascii="Garamond" w:eastAsia="Times New Roman" w:hAnsi="Garamond" w:cs="Times New Roman"/>
          <w:kern w:val="0"/>
          <w14:ligatures w14:val="none"/>
        </w:rPr>
        <w:t xml:space="preserve">and the </w:t>
      </w:r>
      <w:r w:rsidR="00221CA6">
        <w:rPr>
          <w:rFonts w:ascii="Garamond" w:eastAsia="Times New Roman" w:hAnsi="Garamond" w:cs="Times New Roman"/>
          <w:kern w:val="0"/>
          <w14:ligatures w14:val="none"/>
        </w:rPr>
        <w:t>maternally influenced core</w:t>
      </w:r>
      <w:r w:rsidR="007D796E">
        <w:rPr>
          <w:rFonts w:ascii="Garamond" w:eastAsia="Times New Roman" w:hAnsi="Garamond" w:cs="Times New Roman"/>
          <w:kern w:val="0"/>
          <w14:ligatures w14:val="none"/>
        </w:rPr>
        <w:t xml:space="preserve"> region of the otolith</w:t>
      </w:r>
      <w:r w:rsidR="00221CA6">
        <w:rPr>
          <w:rFonts w:ascii="Garamond" w:eastAsia="Times New Roman" w:hAnsi="Garamond" w:cs="Times New Roman"/>
          <w:kern w:val="0"/>
          <w14:ligatures w14:val="none"/>
        </w:rPr>
        <w:t>.</w:t>
      </w:r>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r w:rsidR="004A41B6">
        <w:rPr>
          <w:rFonts w:ascii="Garamond" w:eastAsia="Times New Roman" w:hAnsi="Garamond" w:cs="Times New Roman"/>
          <w:kern w:val="0"/>
          <w14:ligatures w14:val="none"/>
        </w:rPr>
        <w:t>the location of full</w:t>
      </w:r>
      <w:r w:rsidR="00581DBC">
        <w:rPr>
          <w:rFonts w:ascii="Garamond" w:eastAsia="Times New Roman" w:hAnsi="Garamond" w:cs="Times New Roman"/>
          <w:kern w:val="0"/>
          <w14:ligatures w14:val="none"/>
        </w:rPr>
        <w:t xml:space="preserve"> depletion of the maternal signature and </w:t>
      </w:r>
      <w:r w:rsidR="004A41B6">
        <w:rPr>
          <w:rFonts w:ascii="Garamond" w:eastAsia="Times New Roman" w:hAnsi="Garamond" w:cs="Times New Roman"/>
          <w:kern w:val="0"/>
          <w14:ligatures w14:val="none"/>
        </w:rPr>
        <w:t xml:space="preserve">the </w:t>
      </w:r>
      <w:r w:rsidR="00581DBC">
        <w:rPr>
          <w:rFonts w:ascii="Garamond" w:eastAsia="Times New Roman" w:hAnsi="Garamond" w:cs="Times New Roman"/>
          <w:kern w:val="0"/>
          <w14:ligatures w14:val="none"/>
        </w:rPr>
        <w:t>onset of the marine signal for manual selection of the natal origin region.</w:t>
      </w:r>
    </w:p>
    <w:p w14:paraId="696145BD" w14:textId="1982FBC3" w:rsidR="00B857E3" w:rsidRPr="008605CB" w:rsidRDefault="007C6331" w:rsidP="00B90CE4">
      <w:pPr>
        <w:spacing w:line="480" w:lineRule="auto"/>
        <w:ind w:firstLine="720"/>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138E5DCA"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w:t>
      </w:r>
      <w:proofErr w:type="spellStart"/>
      <w:r>
        <w:rPr>
          <w:rFonts w:ascii="Garamond" w:eastAsia="Times New Roman" w:hAnsi="Garamond" w:cs="Times New Roman"/>
          <w:kern w:val="0"/>
          <w14:ligatures w14:val="none"/>
        </w:rPr>
        <w:t>isoscape</w:t>
      </w:r>
      <w:proofErr w:type="spellEnd"/>
      <w:r>
        <w:rPr>
          <w:rFonts w:ascii="Garamond" w:eastAsia="Times New Roman" w:hAnsi="Garamond" w:cs="Times New Roman"/>
          <w:kern w:val="0"/>
          <w14:ligatures w14:val="none"/>
        </w:rPr>
        <w:t xml:space="preserve"> of the Kuskokwim River basin (Fig. 1) was constructed by French et al. (2020) in which spatial variation in </w:t>
      </w:r>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w:t>
      </w:r>
      <w:proofErr w:type="spellStart"/>
      <w:r>
        <w:rPr>
          <w:rFonts w:ascii="Garamond" w:eastAsia="Times New Roman" w:hAnsi="Garamond" w:cs="Times New Roman"/>
          <w:kern w:val="0"/>
          <w14:ligatures w14:val="none"/>
        </w:rPr>
        <w:t>isoscape</w:t>
      </w:r>
      <w:proofErr w:type="spellEnd"/>
      <w:r>
        <w:rPr>
          <w:rFonts w:ascii="Garamond" w:eastAsia="Times New Roman" w:hAnsi="Garamond" w:cs="Times New Roman"/>
          <w:kern w:val="0"/>
          <w14:ligatures w14:val="none"/>
        </w:rPr>
        <w:t xml:space="preserve"> includes estimates of </w:t>
      </w:r>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w:t>
      </w:r>
      <w:r>
        <w:rPr>
          <w:rFonts w:ascii="Garamond" w:hAnsi="Garamond" w:cs="Times New Roman"/>
        </w:rPr>
        <w:lastRenderedPageBreak/>
        <w:t xml:space="preserve">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76D0BD62"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r>
        <w:rPr>
          <w:rFonts w:ascii="Garamond" w:eastAsia="Times New Roman" w:hAnsi="Garamond" w:cs="Times New Roman"/>
          <w:kern w:val="0"/>
          <w14:ligatures w14:val="none"/>
        </w:rPr>
        <w:t>values as well as several variance generating processes</w:t>
      </w:r>
      <w:r w:rsidR="0068067F">
        <w:rPr>
          <w:rFonts w:ascii="Garamond" w:eastAsia="Times New Roman" w:hAnsi="Garamond" w:cs="Times New Roman"/>
          <w:kern w:val="0"/>
          <w14:ligatures w14:val="none"/>
        </w:rPr>
        <w:t xml:space="preserve">, </w:t>
      </w:r>
      <w:r w:rsidR="0080518D" w:rsidRPr="0080518D">
        <w:rPr>
          <w:rFonts w:ascii="Garamond" w:eastAsia="Times New Roman" w:hAnsi="Garamond" w:cs="Times New Roman"/>
          <w:kern w:val="0"/>
          <w14:ligatures w14:val="none"/>
        </w:rPr>
        <w:t>includ</w:t>
      </w:r>
      <w:r w:rsidR="00581DBC">
        <w:rPr>
          <w:rFonts w:ascii="Garamond" w:eastAsia="Times New Roman" w:hAnsi="Garamond" w:cs="Times New Roman"/>
          <w:kern w:val="0"/>
          <w14:ligatures w14:val="none"/>
        </w:rPr>
        <w:t>ing</w:t>
      </w:r>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w:t>
      </w:r>
      <w:proofErr w:type="spellStart"/>
      <w:r w:rsidR="0080518D" w:rsidRPr="0080518D">
        <w:rPr>
          <w:rFonts w:ascii="Garamond" w:eastAsia="Times New Roman" w:hAnsi="Garamond" w:cs="Times New Roman"/>
          <w:kern w:val="0"/>
          <w14:ligatures w14:val="none"/>
        </w:rPr>
        <w:t>isoscape</w:t>
      </w:r>
      <w:proofErr w:type="spellEnd"/>
      <w:r w:rsidR="0080518D" w:rsidRPr="0080518D">
        <w:rPr>
          <w:rFonts w:ascii="Garamond" w:eastAsia="Times New Roman" w:hAnsi="Garamond" w:cs="Times New Roman"/>
          <w:kern w:val="0"/>
          <w14:ligatures w14:val="none"/>
        </w:rPr>
        <w:t xml:space="preserve"> error (uncertainty in </w:t>
      </w:r>
      <w:proofErr w:type="spellStart"/>
      <w:r w:rsidR="0080518D" w:rsidRPr="0080518D">
        <w:rPr>
          <w:rFonts w:ascii="Garamond" w:eastAsia="Times New Roman" w:hAnsi="Garamond" w:cs="Times New Roman"/>
          <w:kern w:val="0"/>
          <w14:ligatures w14:val="none"/>
        </w:rPr>
        <w:t>isoscape</w:t>
      </w:r>
      <w:proofErr w:type="spellEnd"/>
      <w:r w:rsidR="0080518D" w:rsidRPr="0080518D">
        <w:rPr>
          <w:rFonts w:ascii="Garamond" w:eastAsia="Times New Roman" w:hAnsi="Garamond" w:cs="Times New Roman"/>
          <w:kern w:val="0"/>
          <w14:ligatures w14:val="none"/>
        </w:rPr>
        <w:t xml:space="preserve"> model predictions; basin-wide mean = 0.00072)</w:t>
      </w:r>
      <w:r w:rsidR="003224CC">
        <w:rPr>
          <w:rFonts w:ascii="Garamond" w:eastAsia="Times New Roman" w:hAnsi="Garamond" w:cs="Times New Roman"/>
          <w:kern w:val="0"/>
          <w14:ligatures w14:val="none"/>
        </w:rPr>
        <w:t xml:space="preserve"> </w:t>
      </w:r>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r w:rsidR="004A41B6">
        <w:rPr>
          <w:rFonts w:ascii="Garamond" w:eastAsia="Times New Roman" w:hAnsi="Garamond" w:cs="Times New Roman"/>
          <w:kern w:val="0"/>
          <w14:ligatures w14:val="none"/>
        </w:rPr>
        <w:t xml:space="preserve">. </w:t>
      </w:r>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40FE489F"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proofErr w:type="spellStart"/>
      <w:r>
        <w:rPr>
          <w:rFonts w:ascii="Garamond" w:hAnsi="Garamond" w:cs="Times New Roman"/>
          <w:i/>
          <w:iCs/>
        </w:rPr>
        <w:t>rj</w:t>
      </w:r>
      <w:proofErr w:type="spellEnd"/>
      <w:r>
        <w:rPr>
          <w:rFonts w:ascii="Garamond" w:hAnsi="Garamond" w:cs="Times New Roman"/>
        </w:rPr>
        <w:t>). The probability of the isotope ratio (</w:t>
      </w:r>
      <w:proofErr w:type="spellStart"/>
      <w:r>
        <w:rPr>
          <w:rFonts w:ascii="Garamond" w:hAnsi="Garamond" w:cs="Times New Roman"/>
          <w:i/>
          <w:iCs/>
        </w:rPr>
        <w:t>rj</w:t>
      </w:r>
      <w:proofErr w:type="spellEnd"/>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lastRenderedPageBreak/>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proofErr w:type="spellStart"/>
      <w:r>
        <w:rPr>
          <w:rFonts w:ascii="Garamond" w:eastAsia="Times New Roman" w:hAnsi="Garamond" w:cs="Times New Roman"/>
          <w:i/>
          <w:iCs/>
        </w:rPr>
        <w:t>PStreamOrder</w:t>
      </w:r>
      <w:proofErr w:type="spellEnd"/>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proofErr w:type="spellStart"/>
      <w:r>
        <w:rPr>
          <w:rFonts w:ascii="Garamond" w:eastAsia="Times New Roman" w:hAnsi="Garamond" w:cs="Times New Roman"/>
          <w:i/>
          <w:iCs/>
          <w:kern w:val="0"/>
          <w14:ligatures w14:val="none"/>
        </w:rPr>
        <w:t>PHabitat</w:t>
      </w:r>
      <w:proofErr w:type="spellEnd"/>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To avoid biasing regions without observations but with low sampling effort this prior was applied only to the two highest stream orders in the dataset (Stream order greater than five). From these tributaries, reaches identified as lacking observed Chinook spawning were </w:t>
      </w:r>
      <w:proofErr w:type="gramStart"/>
      <w:r>
        <w:rPr>
          <w:rFonts w:ascii="Garamond" w:eastAsia="Times New Roman" w:hAnsi="Garamond" w:cs="Times New Roman"/>
          <w:kern w:val="0"/>
          <w14:ligatures w14:val="none"/>
        </w:rPr>
        <w:t>assigned</w:t>
      </w:r>
      <w:proofErr w:type="gramEnd"/>
      <w:r>
        <w:rPr>
          <w:rFonts w:ascii="Garamond" w:eastAsia="Times New Roman" w:hAnsi="Garamond" w:cs="Times New Roman"/>
          <w:kern w:val="0"/>
          <w14:ligatures w14:val="none"/>
        </w:rPr>
        <w:t xml:space="preserve"> a value of zero.</w:t>
      </w:r>
      <w:r>
        <w:rPr>
          <w:rFonts w:ascii="Garamond" w:eastAsia="Times New Roman" w:hAnsi="Garamond" w:cs="Times New Roman"/>
          <w:kern w:val="0"/>
          <w:sz w:val="22"/>
          <w:szCs w:val="22"/>
          <w14:ligatures w14:val="none"/>
        </w:rPr>
        <w:t xml:space="preserve"> </w:t>
      </w:r>
    </w:p>
    <w:p w14:paraId="5E682EF5" w14:textId="16D0CAA5"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r w:rsidR="003224CC">
        <w:rPr>
          <w:rFonts w:ascii="Garamond" w:hAnsi="Garamond" w:cs="Times New Roman"/>
        </w:rPr>
        <w:t xml:space="preserve">temporal </w:t>
      </w:r>
      <w:r>
        <w:rPr>
          <w:rFonts w:ascii="Garamond" w:hAnsi="Garamond" w:cs="Times New Roman"/>
        </w:rPr>
        <w:t>subset of the</w:t>
      </w:r>
      <w:r w:rsidR="003224CC">
        <w:rPr>
          <w:rFonts w:ascii="Garamond" w:hAnsi="Garamond" w:cs="Times New Roman"/>
        </w:rPr>
        <w:t xml:space="preserve"> full </w:t>
      </w:r>
      <w:r w:rsidR="00AF1AE2">
        <w:rPr>
          <w:rFonts w:ascii="Garamond" w:hAnsi="Garamond" w:cs="Times New Roman"/>
        </w:rPr>
        <w:t>migration</w:t>
      </w:r>
      <w:r w:rsidR="00FB5657">
        <w:rPr>
          <w:rFonts w:ascii="Garamond" w:hAnsi="Garamond" w:cs="Times New Roman"/>
        </w:rPr>
        <w:t xml:space="preserve"> season</w:t>
      </w:r>
      <w:r>
        <w:rPr>
          <w:rFonts w:ascii="Garamond" w:hAnsi="Garamond" w:cs="Times New Roman"/>
        </w:rPr>
        <w:t>, posterior probability values for all individuals in that subset were summed at each location. Before summing, only highly likely locations (the top 30% of posterior values) were retained</w:t>
      </w:r>
      <w:r w:rsidR="0070414B">
        <w:rPr>
          <w:rFonts w:ascii="Garamond" w:hAnsi="Garamond" w:cs="Times New Roman"/>
        </w:rPr>
        <w:t xml:space="preserve"> to reduce uncertainty</w:t>
      </w:r>
      <w:r w:rsidR="0070414B" w:rsidRPr="0070414B">
        <w:rPr>
          <w:rFonts w:ascii="Garamond" w:hAnsi="Garamond" w:cs="Times New Roman"/>
        </w:rPr>
        <w:t xml:space="preserve"> from diffuse probabilities associated with unlikely assignments, thereby minimizing their influence on basin-wide results</w:t>
      </w:r>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r w:rsidR="00D0057C">
        <w:rPr>
          <w:rFonts w:ascii="Garamond" w:hAnsi="Garamond" w:cs="Times New Roman"/>
        </w:rPr>
        <w:t xml:space="preserve">ranges that roughly represent quartiles </w:t>
      </w:r>
      <w:r>
        <w:rPr>
          <w:rFonts w:ascii="Garamond" w:hAnsi="Garamond" w:cs="Times New Roman"/>
        </w:rPr>
        <w:t xml:space="preserve">of the salmon migration season based on capture date: Q1 (run start through June 11), Q2 (June 12-21), Q3 (June 22-July 1), and Q4 (July 2 onward). These dates were chosen to split the full run </w:t>
      </w:r>
      <w:r w:rsidR="00D0057C">
        <w:rPr>
          <w:rFonts w:ascii="Garamond" w:hAnsi="Garamond" w:cs="Times New Roman"/>
        </w:rPr>
        <w:t xml:space="preserve">into </w:t>
      </w:r>
      <w:r w:rsidR="0070414B">
        <w:rPr>
          <w:rFonts w:ascii="Garamond" w:hAnsi="Garamond" w:cs="Times New Roman"/>
        </w:rPr>
        <w:t xml:space="preserve">relatively </w:t>
      </w:r>
      <w:r w:rsidR="00D0057C">
        <w:rPr>
          <w:rFonts w:ascii="Garamond" w:hAnsi="Garamond" w:cs="Times New Roman"/>
        </w:rPr>
        <w:t xml:space="preserve">equal </w:t>
      </w:r>
      <w:r w:rsidR="00850065">
        <w:rPr>
          <w:rFonts w:ascii="Garamond" w:hAnsi="Garamond" w:cs="Times New Roman"/>
        </w:rPr>
        <w:t>quartiles, while</w:t>
      </w:r>
      <w:r>
        <w:rPr>
          <w:rFonts w:ascii="Garamond" w:hAnsi="Garamond" w:cs="Times New Roman"/>
        </w:rPr>
        <w:t xml:space="preserve"> allowing for direct comparison among years.</w:t>
      </w:r>
      <w:r w:rsidR="00D0057C">
        <w:rPr>
          <w:rFonts w:ascii="Garamond" w:hAnsi="Garamond" w:cs="Times New Roman"/>
        </w:rPr>
        <w:t xml:space="preserve"> However, because the start and end date of the return migration varied among years, the duration of Q1 and </w:t>
      </w:r>
      <w:r w:rsidR="00D0057C">
        <w:rPr>
          <w:rFonts w:ascii="Garamond" w:hAnsi="Garamond" w:cs="Times New Roman"/>
        </w:rPr>
        <w:lastRenderedPageBreak/>
        <w:t>Q4 varied</w:t>
      </w:r>
      <w:r w:rsidR="009D5982">
        <w:rPr>
          <w:rFonts w:ascii="Garamond" w:hAnsi="Garamond" w:cs="Times New Roman"/>
        </w:rPr>
        <w:t xml:space="preserve">. </w:t>
      </w:r>
      <w:r>
        <w:rPr>
          <w:rFonts w:ascii="Garamond" w:hAnsi="Garamond" w:cs="Times New Roman"/>
        </w:rPr>
        <w:t xml:space="preserve">The </w:t>
      </w:r>
      <w:r w:rsidR="0070414B">
        <w:rPr>
          <w:rFonts w:ascii="Garamond" w:hAnsi="Garamond" w:cs="Times New Roman"/>
        </w:rPr>
        <w:t>end data of the first quartile (</w:t>
      </w:r>
      <w:r>
        <w:rPr>
          <w:rFonts w:ascii="Garamond" w:hAnsi="Garamond" w:cs="Times New Roman"/>
        </w:rPr>
        <w:t>June 11</w:t>
      </w:r>
      <w:r w:rsidR="0070414B">
        <w:rPr>
          <w:rFonts w:ascii="Garamond" w:hAnsi="Garamond" w:cs="Times New Roman"/>
        </w:rPr>
        <w:t>)</w:t>
      </w:r>
      <w:r>
        <w:rPr>
          <w:rFonts w:ascii="Garamond" w:hAnsi="Garamond" w:cs="Times New Roman"/>
        </w:rPr>
        <w:t xml:space="preserve"> was chosen specifically to match the end of the</w:t>
      </w:r>
      <w:r w:rsidR="00FB5657">
        <w:rPr>
          <w:rFonts w:ascii="Garamond" w:hAnsi="Garamond" w:cs="Times New Roman"/>
        </w:rPr>
        <w:t xml:space="preserve"> </w:t>
      </w:r>
      <w:r>
        <w:rPr>
          <w:rFonts w:ascii="Garamond" w:hAnsi="Garamond" w:cs="Times New Roman"/>
        </w:rPr>
        <w:t xml:space="preserve">‘front end closure’ </w:t>
      </w:r>
      <w:r w:rsidR="00FB5657">
        <w:rPr>
          <w:rFonts w:ascii="Garamond" w:hAnsi="Garamond" w:cs="Times New Roman"/>
        </w:rPr>
        <w:t xml:space="preserve">used in current management </w:t>
      </w:r>
      <w:r>
        <w:rPr>
          <w:rFonts w:ascii="Garamond" w:hAnsi="Garamond" w:cs="Times New Roman"/>
        </w:rPr>
        <w:t xml:space="preserve">of the subsistence fishery. </w:t>
      </w:r>
      <w:r w:rsidR="0070414B">
        <w:rPr>
          <w:rFonts w:ascii="Garamond" w:hAnsi="Garamond" w:cs="Times New Roman"/>
        </w:rPr>
        <w:t xml:space="preserve">In addition to within quartile estimates, these results </w:t>
      </w:r>
      <w:r>
        <w:rPr>
          <w:rFonts w:ascii="Garamond" w:hAnsi="Garamond" w:cs="Times New Roman"/>
        </w:rPr>
        <w:t xml:space="preserve">were produced for the full </w:t>
      </w:r>
      <w:r w:rsidR="00FB5657">
        <w:rPr>
          <w:rFonts w:ascii="Garamond" w:hAnsi="Garamond" w:cs="Times New Roman"/>
        </w:rPr>
        <w:t xml:space="preserve">migration season </w:t>
      </w:r>
      <w:r>
        <w:rPr>
          <w:rFonts w:ascii="Garamond" w:hAnsi="Garamond" w:cs="Times New Roman"/>
        </w:rPr>
        <w:t xml:space="preserve">in each year. </w:t>
      </w:r>
    </w:p>
    <w:p w14:paraId="38A831B5" w14:textId="06F1326C" w:rsidR="001D3E40" w:rsidRPr="008D39D2" w:rsidRDefault="00D04860" w:rsidP="008D39D2">
      <w:pPr>
        <w:spacing w:line="480" w:lineRule="auto"/>
        <w:ind w:firstLine="720"/>
        <w:rPr>
          <w:rFonts w:ascii="Garamond" w:hAnsi="Garamond"/>
        </w:rPr>
      </w:pPr>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r w:rsidR="0070414B">
        <w:rPr>
          <w:rFonts w:ascii="Garamond" w:hAnsi="Garamond" w:cs="Times New Roman"/>
        </w:rPr>
        <w:t xml:space="preserve"> </w:t>
      </w:r>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4A41B6">
        <w:rPr>
          <w:rStyle w:val="CommentReference"/>
          <w:rFonts w:ascii="Garamond" w:hAnsi="Garamond" w:cs="Times New Roman"/>
          <w:sz w:val="24"/>
          <w:szCs w:val="24"/>
        </w:rPr>
        <w:t>We then</w:t>
      </w:r>
      <w:r w:rsidR="009D5982">
        <w:rPr>
          <w:rStyle w:val="CommentReference"/>
          <w:rFonts w:ascii="Garamond" w:hAnsi="Garamond" w:cs="Times New Roman"/>
          <w:sz w:val="24"/>
          <w:szCs w:val="24"/>
        </w:rPr>
        <w:t xml:space="preserve"> </w:t>
      </w:r>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w:t>
      </w:r>
      <w:proofErr w:type="gramStart"/>
      <w:r w:rsidR="00E3555B">
        <w:rPr>
          <w:rFonts w:ascii="Garamond" w:hAnsi="Garamond" w:cs="Times New Roman"/>
        </w:rPr>
        <w:t>each</w:t>
      </w:r>
      <w:r w:rsidR="0068067F">
        <w:rPr>
          <w:rFonts w:ascii="Garamond" w:hAnsi="Garamond" w:cs="Times New Roman"/>
        </w:rPr>
        <w:t>,</w:t>
      </w:r>
      <w:r w:rsidR="004A41B6">
        <w:rPr>
          <w:rFonts w:ascii="Garamond" w:hAnsi="Garamond" w:cs="Times New Roman"/>
        </w:rPr>
        <w:t xml:space="preserve"> and</w:t>
      </w:r>
      <w:proofErr w:type="gramEnd"/>
      <w:r w:rsidR="004A41B6">
        <w:rPr>
          <w:rFonts w:ascii="Garamond" w:hAnsi="Garamond" w:cs="Times New Roman"/>
        </w:rPr>
        <w:t xml:space="preserve"> </w:t>
      </w:r>
      <w:r w:rsidR="00E3555B">
        <w:rPr>
          <w:rFonts w:ascii="Garamond" w:hAnsi="Garamond" w:cs="Times New Roman"/>
        </w:rPr>
        <w:t>evaluated the clustering results for a range of cluster numbers (n = 2-</w:t>
      </w:r>
      <w:r w:rsidR="00FB2B74">
        <w:rPr>
          <w:rFonts w:ascii="Garamond" w:hAnsi="Garamond" w:cs="Times New Roman"/>
        </w:rPr>
        <w:t>8</w:t>
      </w:r>
      <w:r w:rsidR="00E3555B">
        <w:rPr>
          <w:rFonts w:ascii="Garamond" w:hAnsi="Garamond" w:cs="Times New Roman"/>
        </w:rPr>
        <w:t>) using the silhouette score</w:t>
      </w:r>
      <w:r w:rsidR="00FB2B74">
        <w:rPr>
          <w:rFonts w:ascii="Garamond" w:hAnsi="Garamond" w:cs="Times New Roman"/>
        </w:rPr>
        <w:t xml:space="preserve"> as well as a histogram of the isotopic separation among groups</w:t>
      </w:r>
      <w:r w:rsidR="004A41B6">
        <w:rPr>
          <w:rFonts w:ascii="Garamond" w:hAnsi="Garamond" w:cs="Times New Roman"/>
        </w:rPr>
        <w:t xml:space="preserve"> </w:t>
      </w:r>
      <w:r w:rsidR="004A41B6" w:rsidRPr="00B90CE4">
        <w:rPr>
          <w:rFonts w:ascii="Garamond" w:hAnsi="Garamond" w:cs="Times New Roman"/>
        </w:rPr>
        <w:t>(Supp. Fig. 2)</w:t>
      </w:r>
      <w:r w:rsidR="00FB2B74" w:rsidRPr="004A41B6">
        <w:rPr>
          <w:rFonts w:ascii="Garamond" w:hAnsi="Garamond" w:cs="Times New Roman"/>
        </w:rPr>
        <w:t>.</w:t>
      </w:r>
      <w:r w:rsidR="00E3555B">
        <w:rPr>
          <w:rFonts w:ascii="Garamond" w:hAnsi="Garamond" w:cs="Times New Roman"/>
        </w:rPr>
        <w:t xml:space="preserve"> From th</w:t>
      </w:r>
      <w:r w:rsidR="004A41B6">
        <w:rPr>
          <w:rFonts w:ascii="Garamond" w:hAnsi="Garamond" w:cs="Times New Roman"/>
        </w:rPr>
        <w:t>ese</w:t>
      </w:r>
      <w:r w:rsidR="00E3555B">
        <w:rPr>
          <w:rFonts w:ascii="Garamond" w:hAnsi="Garamond" w:cs="Times New Roman"/>
        </w:rPr>
        <w:t xml:space="preserve"> metric</w:t>
      </w:r>
      <w:r w:rsidR="004A41B6">
        <w:rPr>
          <w:rFonts w:ascii="Garamond" w:hAnsi="Garamond" w:cs="Times New Roman"/>
        </w:rPr>
        <w:t>s</w:t>
      </w:r>
      <w:r w:rsidR="00E3555B">
        <w:rPr>
          <w:rFonts w:ascii="Garamond" w:hAnsi="Garamond" w:cs="Times New Roman"/>
        </w:rPr>
        <w:t xml:space="preserve"> we selected n = 6, which </w:t>
      </w:r>
      <w:r w:rsidR="00FB2B74">
        <w:rPr>
          <w:rFonts w:ascii="Garamond" w:hAnsi="Garamond" w:cs="Times New Roman"/>
        </w:rPr>
        <w:t xml:space="preserve">was the maximum </w:t>
      </w:r>
      <w:r w:rsidR="007B2EDA">
        <w:rPr>
          <w:rFonts w:ascii="Garamond" w:hAnsi="Garamond" w:cs="Times New Roman"/>
        </w:rPr>
        <w:t xml:space="preserve">number of groups that </w:t>
      </w:r>
      <w:r w:rsidR="00E3555B">
        <w:rPr>
          <w:rFonts w:ascii="Garamond" w:hAnsi="Garamond" w:cs="Times New Roman"/>
        </w:rPr>
        <w:t xml:space="preserve">maintained a high silhouette score </w:t>
      </w:r>
      <w:r w:rsidR="004A41B6">
        <w:rPr>
          <w:rFonts w:ascii="Garamond" w:hAnsi="Garamond" w:cs="Times New Roman"/>
        </w:rPr>
        <w:t xml:space="preserve">and sufficient </w:t>
      </w:r>
      <w:r w:rsidR="007B2EDA">
        <w:rPr>
          <w:rFonts w:ascii="Garamond" w:hAnsi="Garamond" w:cs="Times New Roman"/>
        </w:rPr>
        <w:t xml:space="preserve">separation in </w:t>
      </w:r>
      <w:r w:rsidR="004A41B6">
        <w:rPr>
          <w:rFonts w:ascii="Garamond" w:hAnsi="Garamond" w:cs="Times New Roman"/>
        </w:rPr>
        <w:t xml:space="preserve">isotope ratio among groups. </w:t>
      </w:r>
      <w:r w:rsidR="009D5982">
        <w:rPr>
          <w:rFonts w:ascii="Garamond" w:hAnsi="Garamond" w:cs="Times New Roman"/>
        </w:rPr>
        <w:t>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w:t>
      </w:r>
      <w:r w:rsidR="0068067F">
        <w:rPr>
          <w:rFonts w:ascii="Garamond" w:hAnsi="Garamond" w:cs="Times New Roman"/>
        </w:rPr>
        <w:t>, group two</w:t>
      </w:r>
      <w:r w:rsidR="009D5982">
        <w:rPr>
          <w:rFonts w:ascii="Garamond" w:hAnsi="Garamond" w:cs="Times New Roman"/>
        </w:rPr>
        <w:t xml:space="preserve">. </w:t>
      </w:r>
      <w:r w:rsidR="00FB5657">
        <w:rPr>
          <w:rFonts w:ascii="Garamond" w:hAnsi="Garamond"/>
        </w:rPr>
        <w:t>Dividing</w:t>
      </w:r>
      <w:r w:rsidR="008D39D2" w:rsidRPr="008D39D2">
        <w:rPr>
          <w:rFonts w:ascii="Garamond" w:hAnsi="Garamond"/>
        </w:rPr>
        <w:t xml:space="preserve"> the watershed in this way produced regions that were likely to encompass the majority of </w:t>
      </w:r>
      <w:proofErr w:type="gramStart"/>
      <w:r w:rsidR="008D39D2" w:rsidRPr="008D39D2">
        <w:rPr>
          <w:rFonts w:ascii="Garamond" w:hAnsi="Garamond"/>
        </w:rPr>
        <w:t>each individual's</w:t>
      </w:r>
      <w:proofErr w:type="gramEnd"/>
      <w:r w:rsidR="008D39D2" w:rsidRPr="008D39D2">
        <w:rPr>
          <w:rFonts w:ascii="Garamond" w:hAnsi="Garamond"/>
        </w:rPr>
        <w:t xml:space="preserve"> </w:t>
      </w:r>
      <w:r w:rsidR="008D39D2">
        <w:rPr>
          <w:rFonts w:ascii="Garamond" w:hAnsi="Garamond"/>
        </w:rPr>
        <w:t xml:space="preserve">retained </w:t>
      </w:r>
      <w:r w:rsidR="008D39D2" w:rsidRPr="008D39D2">
        <w:rPr>
          <w:rFonts w:ascii="Garamond" w:hAnsi="Garamond"/>
        </w:rPr>
        <w:t>posterior assignments while also representing units that are relevant to management within the basin</w:t>
      </w:r>
      <w:r w:rsidR="008D39D2">
        <w:rPr>
          <w:rFonts w:ascii="Garamond" w:hAnsi="Garamond"/>
        </w:rPr>
        <w:t xml:space="preserve"> </w:t>
      </w:r>
      <w:r w:rsidR="00E3555B">
        <w:rPr>
          <w:rFonts w:ascii="Garamond" w:hAnsi="Garamond" w:cs="Times New Roman"/>
        </w:rPr>
        <w:t>(Fig. 2</w:t>
      </w:r>
      <w:r w:rsidR="00F5142E">
        <w:rPr>
          <w:rFonts w:ascii="Garamond" w:hAnsi="Garamond" w:cs="Times New Roman"/>
        </w:rPr>
        <w:t>, Supp. Fig. 3</w:t>
      </w:r>
      <w:r w:rsidR="00E3555B">
        <w:rPr>
          <w:rFonts w:ascii="Garamond" w:hAnsi="Garamond" w:cs="Times New Roman"/>
        </w:rPr>
        <w:t xml:space="preserve">). </w:t>
      </w:r>
      <w:r w:rsidR="003B6620" w:rsidRPr="003B6620">
        <w:rPr>
          <w:rFonts w:ascii="Garamond" w:hAnsi="Garamond" w:cs="Times New Roman"/>
        </w:rPr>
        <w:t xml:space="preserve">Regions identified as the “upper watershed” in </w:t>
      </w:r>
      <w:r w:rsidR="008D39D2">
        <w:rPr>
          <w:rFonts w:ascii="Garamond" w:hAnsi="Garamond" w:cs="Times New Roman"/>
        </w:rPr>
        <w:t xml:space="preserve">telemetry </w:t>
      </w:r>
      <w:r w:rsidR="003B6620" w:rsidRPr="003B6620">
        <w:rPr>
          <w:rFonts w:ascii="Garamond" w:hAnsi="Garamond" w:cs="Times New Roman"/>
        </w:rPr>
        <w:t xml:space="preserve">studies are represented within groups one, two, and four. However, group four includes a </w:t>
      </w:r>
      <w:r w:rsidR="003B6620" w:rsidRPr="003B6620">
        <w:rPr>
          <w:rFonts w:ascii="Garamond" w:hAnsi="Garamond" w:cs="Times New Roman"/>
        </w:rPr>
        <w:lastRenderedPageBreak/>
        <w:t>mixture of upper-watershed tributaries (</w:t>
      </w:r>
      <w:proofErr w:type="spellStart"/>
      <w:r w:rsidR="003B6620" w:rsidRPr="003B6620">
        <w:rPr>
          <w:rFonts w:ascii="Garamond" w:hAnsi="Garamond" w:cs="Times New Roman"/>
        </w:rPr>
        <w:t>Takotna</w:t>
      </w:r>
      <w:proofErr w:type="spellEnd"/>
      <w:r w:rsidR="003B6620" w:rsidRPr="003B6620">
        <w:rPr>
          <w:rFonts w:ascii="Garamond" w:hAnsi="Garamond" w:cs="Times New Roman"/>
        </w:rPr>
        <w:t xml:space="preserve"> and Nixon Fork) and middle-to-lower watershed tributaries (</w:t>
      </w:r>
      <w:proofErr w:type="spellStart"/>
      <w:r w:rsidR="003B6620" w:rsidRPr="003B6620">
        <w:rPr>
          <w:rFonts w:ascii="Garamond" w:hAnsi="Garamond" w:cs="Times New Roman"/>
        </w:rPr>
        <w:t>Holitna</w:t>
      </w:r>
      <w:proofErr w:type="spellEnd"/>
      <w:r w:rsidR="003B6620" w:rsidRPr="003B6620">
        <w:rPr>
          <w:rFonts w:ascii="Garamond" w:hAnsi="Garamond" w:cs="Times New Roman"/>
        </w:rPr>
        <w:t xml:space="preserve"> and </w:t>
      </w:r>
      <w:proofErr w:type="spellStart"/>
      <w:r w:rsidR="003B6620" w:rsidRPr="003B6620">
        <w:rPr>
          <w:rFonts w:ascii="Garamond" w:hAnsi="Garamond" w:cs="Times New Roman"/>
        </w:rPr>
        <w:t>Hoholitna</w:t>
      </w:r>
      <w:proofErr w:type="spellEnd"/>
      <w:r w:rsidR="003B6620" w:rsidRPr="003B6620">
        <w:rPr>
          <w:rFonts w:ascii="Garamond" w:hAnsi="Garamond" w:cs="Times New Roman"/>
        </w:rPr>
        <w:t>)</w:t>
      </w:r>
      <w:r w:rsidR="00F5142E">
        <w:rPr>
          <w:rFonts w:ascii="Garamond" w:hAnsi="Garamond" w:cs="Times New Roman"/>
        </w:rPr>
        <w:t xml:space="preser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6357C2E9" w:rsidR="00186B3C" w:rsidRDefault="00E352BB" w:rsidP="006B5AB0">
      <w:pPr>
        <w:spacing w:line="480" w:lineRule="auto"/>
        <w:ind w:firstLine="720"/>
        <w:rPr>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Cumulative distribution functions were constructed to examine trends in relative run timing among regional groups independent of abundance and quartile cut-off dates. For each year, the full run was split into three-day intervals and the cumulative number of returners </w:t>
      </w:r>
      <w:r w:rsidR="00FB5657">
        <w:rPr>
          <w:rFonts w:ascii="Garamond" w:hAnsi="Garamond" w:cs="Times New Roman"/>
        </w:rPr>
        <w:t xml:space="preserve">to </w:t>
      </w:r>
      <w:r>
        <w:rPr>
          <w:rFonts w:ascii="Garamond" w:hAnsi="Garamond" w:cs="Times New Roman"/>
        </w:rPr>
        <w:t xml:space="preserve">each group was compared to its full season contribution. </w:t>
      </w:r>
      <w:r w:rsidR="00186B3C" w:rsidRPr="00186B3C">
        <w:rPr>
          <w:rFonts w:ascii="Garamond" w:hAnsi="Garamond" w:cs="Times New Roman"/>
        </w:rPr>
        <w:t>T</w:t>
      </w:r>
      <w:r w:rsidR="00186B3C" w:rsidRPr="00B90CE4">
        <w:rPr>
          <w:rFonts w:ascii="Garamond" w:hAnsi="Garamond"/>
        </w:rPr>
        <w:t>o directly compare relative run timing with the temporal distribution of the full run, we used BTF daily CPUE data to calculate the cumulative proportion of the seasonal CPUE remaining on each day.</w:t>
      </w:r>
      <w:r w:rsidR="00186B3C">
        <w:t xml:space="preserve"> </w:t>
      </w:r>
      <w:r>
        <w:rPr>
          <w:rFonts w:ascii="Garamond" w:hAnsi="Garamond" w:cs="Times New Roman"/>
        </w:rPr>
        <w:t xml:space="preserve">This value represents the maximum potential harvest available if harvest rates are proportional to </w:t>
      </w:r>
      <w:r w:rsidR="00FB5657">
        <w:rPr>
          <w:rFonts w:ascii="Garamond" w:hAnsi="Garamond" w:cs="Times New Roman"/>
        </w:rPr>
        <w:t xml:space="preserve">the test fishery </w:t>
      </w:r>
      <w:r>
        <w:rPr>
          <w:rFonts w:ascii="Garamond" w:hAnsi="Garamond" w:cs="Times New Roman"/>
        </w:rPr>
        <w:t xml:space="preserve">CPUE. However, </w:t>
      </w:r>
      <w:proofErr w:type="gramStart"/>
      <w:r w:rsidR="000B652C">
        <w:rPr>
          <w:rFonts w:ascii="Garamond" w:hAnsi="Garamond" w:cs="Times New Roman"/>
        </w:rPr>
        <w:t xml:space="preserve">it </w:t>
      </w:r>
      <w:r>
        <w:rPr>
          <w:rFonts w:ascii="Garamond" w:hAnsi="Garamond" w:cs="Times New Roman"/>
        </w:rPr>
        <w:t xml:space="preserve"> does</w:t>
      </w:r>
      <w:proofErr w:type="gramEnd"/>
      <w:r>
        <w:rPr>
          <w:rFonts w:ascii="Garamond" w:hAnsi="Garamond" w:cs="Times New Roman"/>
        </w:rPr>
        <w:t xml:space="preserve">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r w:rsidR="00186B3C" w:rsidRPr="00186B3C">
        <w:t xml:space="preserve"> </w:t>
      </w:r>
      <w:r w:rsidR="00186B3C" w:rsidRPr="00B90CE4">
        <w:rPr>
          <w:rFonts w:ascii="Garamond" w:hAnsi="Garamond"/>
        </w:rPr>
        <w:t xml:space="preserve">From these data, we also quantified within-group variation in run timing as the </w:t>
      </w:r>
      <w:r w:rsidR="00F303A6">
        <w:rPr>
          <w:rFonts w:ascii="Garamond" w:hAnsi="Garamond"/>
        </w:rPr>
        <w:t xml:space="preserve">standard deviation </w:t>
      </w:r>
      <w:r w:rsidR="00186B3C" w:rsidRPr="00B90CE4">
        <w:rPr>
          <w:rFonts w:ascii="Garamond" w:hAnsi="Garamond"/>
        </w:rPr>
        <w:t xml:space="preserve">in the day on which 50% of each group's annual run </w:t>
      </w:r>
      <w:r w:rsidR="00FB5657" w:rsidRPr="00FB5657">
        <w:rPr>
          <w:rFonts w:ascii="Garamond" w:hAnsi="Garamond"/>
        </w:rPr>
        <w:t>entered</w:t>
      </w:r>
      <w:r w:rsidR="00186B3C" w:rsidRPr="00B90CE4">
        <w:rPr>
          <w:rFonts w:ascii="Garamond" w:hAnsi="Garamond"/>
        </w:rPr>
        <w:t xml:space="preserve"> the system across years.</w:t>
      </w:r>
    </w:p>
    <w:p w14:paraId="2E1403AA" w14:textId="28C9A0DC" w:rsidR="00E35059" w:rsidRDefault="006E1BBC" w:rsidP="009C0002">
      <w:pPr>
        <w:spacing w:line="480" w:lineRule="auto"/>
        <w:ind w:firstLine="720"/>
        <w:rPr>
          <w:rFonts w:ascii="Garamond" w:hAnsi="Garamond" w:cs="Times New Roman"/>
        </w:rPr>
      </w:pPr>
      <w:r>
        <w:rPr>
          <w:rFonts w:ascii="Garamond" w:hAnsi="Garamond"/>
        </w:rPr>
        <w:t xml:space="preserve">To assess the impact of the existing front-end closure, we quantified the </w:t>
      </w:r>
      <w:r w:rsidR="009C0002" w:rsidRPr="009C0002">
        <w:rPr>
          <w:rFonts w:ascii="Garamond" w:hAnsi="Garamond"/>
        </w:rPr>
        <w:t>proportion of total abundance occurring within the closure period (corresponding to the first seasonal quartile, Q1, in our dataset) that was assigned to each regional group based on otolith</w:t>
      </w:r>
      <w:r w:rsidR="009C0002">
        <w:rPr>
          <w:rFonts w:ascii="Garamond" w:hAnsi="Garamond"/>
        </w:rPr>
        <w:t xml:space="preserve"> isotope</w:t>
      </w:r>
      <w:r w:rsidR="009C0002" w:rsidRPr="009C0002">
        <w:rPr>
          <w:rFonts w:ascii="Garamond" w:hAnsi="Garamond"/>
        </w:rPr>
        <w:t xml:space="preserve"> assignments. We refer to this metric</w:t>
      </w:r>
      <w:r w:rsidR="009C0002">
        <w:rPr>
          <w:rFonts w:ascii="Garamond" w:hAnsi="Garamond"/>
        </w:rPr>
        <w:t xml:space="preserve"> hereafter</w:t>
      </w:r>
      <w:r w:rsidR="009C0002" w:rsidRPr="009C0002">
        <w:rPr>
          <w:rFonts w:ascii="Garamond" w:hAnsi="Garamond"/>
        </w:rPr>
        <w:t xml:space="preserve"> as </w:t>
      </w:r>
      <w:r w:rsidR="009C0002">
        <w:rPr>
          <w:rFonts w:ascii="Garamond" w:hAnsi="Garamond"/>
        </w:rPr>
        <w:t>“</w:t>
      </w:r>
      <w:r w:rsidR="009C0002" w:rsidRPr="00B90CE4">
        <w:rPr>
          <w:rFonts w:ascii="Garamond" w:hAnsi="Garamond"/>
        </w:rPr>
        <w:t>percent protection</w:t>
      </w:r>
      <w:r w:rsidR="009C0002">
        <w:rPr>
          <w:rFonts w:ascii="Garamond" w:hAnsi="Garamond"/>
        </w:rPr>
        <w:t>”</w:t>
      </w:r>
      <w:r w:rsidR="009C0002" w:rsidRPr="009C0002">
        <w:rPr>
          <w:rFonts w:ascii="Garamond" w:hAnsi="Garamond"/>
        </w:rPr>
        <w:t>.</w:t>
      </w:r>
      <w:r w:rsidR="00706214">
        <w:rPr>
          <w:rFonts w:ascii="Garamond" w:hAnsi="Garamond"/>
        </w:rPr>
        <w:t xml:space="preserve"> </w:t>
      </w:r>
      <w:r>
        <w:rPr>
          <w:rFonts w:ascii="Garamond" w:hAnsi="Garamond"/>
        </w:rPr>
        <w:t xml:space="preserve">This comparison illustrates the maximum degree of </w:t>
      </w:r>
      <w:r>
        <w:rPr>
          <w:rFonts w:ascii="Garamond" w:hAnsi="Garamond"/>
        </w:rPr>
        <w:lastRenderedPageBreak/>
        <w:t xml:space="preserve">protection provided to each stock group by estimating the </w:t>
      </w:r>
      <w:r w:rsidR="00FB5657">
        <w:rPr>
          <w:rFonts w:ascii="Garamond" w:hAnsi="Garamond"/>
        </w:rPr>
        <w:t xml:space="preserve">proportion </w:t>
      </w:r>
      <w:r>
        <w:rPr>
          <w:rFonts w:ascii="Garamond" w:hAnsi="Garamond"/>
        </w:rPr>
        <w:t>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w:t>
      </w:r>
      <w:r w:rsidR="00FB5657">
        <w:rPr>
          <w:rFonts w:ascii="Garamond" w:hAnsi="Garamond" w:cs="Times New Roman"/>
        </w:rPr>
        <w:t xml:space="preserve">test fishery </w:t>
      </w:r>
      <w:r>
        <w:rPr>
          <w:rFonts w:ascii="Garamond" w:hAnsi="Garamond" w:cs="Times New Roman"/>
        </w:rPr>
        <w:t xml:space="preserve">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w:t>
      </w:r>
      <w:r w:rsidR="00E76334">
        <w:rPr>
          <w:rFonts w:ascii="Garamond" w:hAnsi="Garamond" w:cs="Times New Roman"/>
        </w:rPr>
        <w:t>for the fishing community</w:t>
      </w:r>
      <w:r>
        <w:rPr>
          <w:rFonts w:ascii="Garamond" w:hAnsi="Garamond" w:cs="Times New Roman"/>
        </w:rPr>
        <w:t>.</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2F451996"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r w:rsidR="00684CAF">
        <w:rPr>
          <w:rFonts w:ascii="Garamond" w:hAnsi="Garamond"/>
        </w:rPr>
        <w:t>a</w:t>
      </w:r>
      <w:r>
        <w:rPr>
          <w:rFonts w:ascii="Garamond" w:hAnsi="Garamond"/>
        </w:rPr>
        <w:t>). Notably, group one, which contains the North Fork and East Fork Kuskokwim River, consistently contributed little to all years and quartiles (max: 2.9%)</w:t>
      </w:r>
      <w:r w:rsidR="00706214">
        <w:rPr>
          <w:rFonts w:ascii="Garamond" w:hAnsi="Garamond"/>
        </w:rPr>
        <w:t xml:space="preserve"> (Fig. 3b)</w:t>
      </w:r>
      <w:r>
        <w:rPr>
          <w:rFonts w:ascii="Garamond" w:hAnsi="Garamond"/>
        </w:rPr>
        <w:t>. Early season returns (Q1: start of run through June 11) were represented primarily by high contributions from group two (median: 42.2%), with relatively low median contribution (20% or less) from all other groups</w:t>
      </w:r>
      <w:r w:rsidR="00684CAF">
        <w:rPr>
          <w:rFonts w:ascii="Garamond" w:hAnsi="Garamond"/>
        </w:rPr>
        <w:t xml:space="preserve"> (Figure 3b)</w:t>
      </w:r>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xml:space="preserve">- July 1st.), with a further decrease in contribution from group two (21.6%) and an increased contribution from group four (30.1%). </w:t>
      </w:r>
      <w:r>
        <w:rPr>
          <w:rFonts w:ascii="Garamond" w:hAnsi="Garamond"/>
        </w:rPr>
        <w:lastRenderedPageBreak/>
        <w:t>Finally, the fourth quartile (July 2</w:t>
      </w:r>
      <w:r>
        <w:rPr>
          <w:rFonts w:ascii="Garamond" w:hAnsi="Garamond"/>
          <w:vertAlign w:val="superscript"/>
        </w:rPr>
        <w:t>nd</w:t>
      </w:r>
      <w:r>
        <w:rPr>
          <w:rFonts w:ascii="Garamond" w:hAnsi="Garamond"/>
        </w:rPr>
        <w:t xml:space="preserve"> onward.) exhibited a marked increase in median contribution from the furthest downstream group (group six, 17.9%), and contribution to this quartile was largely driven by groups four and five located in the bottom of the watershed (26.9% and 25.4%, respectively). </w:t>
      </w:r>
    </w:p>
    <w:p w14:paraId="57A1F09E" w14:textId="08F36CB5" w:rsidR="00706214" w:rsidRPr="00B90CE4" w:rsidRDefault="00536536" w:rsidP="009E7ECB">
      <w:pPr>
        <w:pStyle w:val="whitespace-normal"/>
        <w:spacing w:line="480" w:lineRule="auto"/>
        <w:ind w:firstLine="720"/>
        <w:rPr>
          <w:rFonts w:ascii="Garamond" w:hAnsi="Garamond"/>
        </w:rPr>
      </w:pPr>
      <w:r>
        <w:rPr>
          <w:rFonts w:ascii="Garamond" w:hAnsi="Garamond"/>
        </w:rPr>
        <w:t>Cumulative distribution plots (Fig. 4) illustrated</w:t>
      </w:r>
      <w:r w:rsidR="00906B81">
        <w:rPr>
          <w:rFonts w:ascii="Garamond" w:hAnsi="Garamond"/>
        </w:rPr>
        <w:t xml:space="preserve"> interannual</w:t>
      </w:r>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r w:rsidR="009E7ECB">
        <w:rPr>
          <w:rFonts w:ascii="Garamond" w:hAnsi="Garamond"/>
        </w:rPr>
        <w:t xml:space="preserve"> </w:t>
      </w:r>
      <w:r w:rsidR="004C4B85" w:rsidRPr="004C4B85">
        <w:rPr>
          <w:rFonts w:ascii="Garamond" w:hAnsi="Garamond"/>
        </w:rPr>
        <w:t xml:space="preserve">In addition, interannual variability in return timing differed among groups. Based on the date by which 50% of the cumulative run had entered the system, Groups </w:t>
      </w:r>
      <w:r w:rsidR="0068067F">
        <w:rPr>
          <w:rFonts w:ascii="Garamond" w:hAnsi="Garamond"/>
        </w:rPr>
        <w:t>one</w:t>
      </w:r>
      <w:r w:rsidR="004C4B85" w:rsidRPr="004C4B85">
        <w:rPr>
          <w:rFonts w:ascii="Garamond" w:hAnsi="Garamond"/>
        </w:rPr>
        <w:t xml:space="preserve"> and </w:t>
      </w:r>
      <w:r w:rsidR="0068067F">
        <w:rPr>
          <w:rFonts w:ascii="Garamond" w:hAnsi="Garamond"/>
        </w:rPr>
        <w:t>two</w:t>
      </w:r>
      <w:r w:rsidR="004C4B85" w:rsidRPr="004C4B85">
        <w:rPr>
          <w:rFonts w:ascii="Garamond" w:hAnsi="Garamond"/>
        </w:rPr>
        <w:t xml:space="preserve"> exhibited greater variability in return timing</w:t>
      </w:r>
      <w:r w:rsidR="0068067F">
        <w:rPr>
          <w:rFonts w:ascii="Garamond" w:hAnsi="Garamond"/>
        </w:rPr>
        <w:t xml:space="preserve"> among years</w:t>
      </w:r>
      <w:r w:rsidR="004C4B85" w:rsidRPr="004C4B85">
        <w:rPr>
          <w:rFonts w:ascii="Garamond" w:hAnsi="Garamond"/>
        </w:rPr>
        <w:t xml:space="preserve"> (</w:t>
      </w:r>
      <w:r w:rsidR="00F303A6">
        <w:rPr>
          <w:rFonts w:ascii="Garamond" w:hAnsi="Garamond"/>
        </w:rPr>
        <w:t>SD</w:t>
      </w:r>
      <w:r w:rsidR="004C4B85" w:rsidRPr="004C4B85">
        <w:rPr>
          <w:rFonts w:ascii="Garamond" w:hAnsi="Garamond"/>
        </w:rPr>
        <w:t xml:space="preserve"> = </w:t>
      </w:r>
      <w:r w:rsidR="00F303A6">
        <w:rPr>
          <w:rFonts w:ascii="Garamond" w:hAnsi="Garamond"/>
        </w:rPr>
        <w:t>5.9 days</w:t>
      </w:r>
      <w:r w:rsidR="004C4B85" w:rsidRPr="004C4B85">
        <w:rPr>
          <w:rFonts w:ascii="Garamond" w:hAnsi="Garamond"/>
        </w:rPr>
        <w:t xml:space="preserve"> and </w:t>
      </w:r>
      <w:r w:rsidR="00F303A6">
        <w:rPr>
          <w:rFonts w:ascii="Garamond" w:hAnsi="Garamond"/>
        </w:rPr>
        <w:t>4.1 days</w:t>
      </w:r>
      <w:r w:rsidR="004C4B85" w:rsidRPr="004C4B85">
        <w:rPr>
          <w:rFonts w:ascii="Garamond" w:hAnsi="Garamond"/>
        </w:rPr>
        <w:t>, respectively) than the remaining groups across the watershed (</w:t>
      </w:r>
      <w:r w:rsidR="008A2F58">
        <w:rPr>
          <w:rFonts w:ascii="Garamond" w:hAnsi="Garamond"/>
        </w:rPr>
        <w:t>SD</w:t>
      </w:r>
      <w:r w:rsidR="004C4B85" w:rsidRPr="004C4B85">
        <w:rPr>
          <w:rFonts w:ascii="Garamond" w:hAnsi="Garamond"/>
        </w:rPr>
        <w:t xml:space="preserve"> = </w:t>
      </w:r>
      <w:r w:rsidR="00F303A6">
        <w:rPr>
          <w:rFonts w:ascii="Garamond" w:hAnsi="Garamond"/>
        </w:rPr>
        <w:t>2.5</w:t>
      </w:r>
      <w:r w:rsidR="004A579B">
        <w:rPr>
          <w:rFonts w:ascii="Garamond" w:hAnsi="Garamond"/>
        </w:rPr>
        <w:t xml:space="preserve"> </w:t>
      </w:r>
      <w:r w:rsidR="004C4B85" w:rsidRPr="004C4B85">
        <w:rPr>
          <w:rFonts w:ascii="Garamond" w:hAnsi="Garamond"/>
        </w:rPr>
        <w:t>–</w:t>
      </w:r>
      <w:r w:rsidR="00F303A6">
        <w:rPr>
          <w:rFonts w:ascii="Garamond" w:hAnsi="Garamond"/>
        </w:rPr>
        <w:t xml:space="preserve"> 2.8 days</w:t>
      </w:r>
      <w:r w:rsidR="004C4B85" w:rsidRPr="004C4B85">
        <w:rPr>
          <w:rFonts w:ascii="Garamond" w:hAnsi="Garamond"/>
        </w:rPr>
        <w:t>).</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33819EB1"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r w:rsidR="00923A9B">
        <w:rPr>
          <w:rFonts w:ascii="Garamond" w:hAnsi="Garamond"/>
        </w:rPr>
        <w:t xml:space="preserve">relative </w:t>
      </w:r>
      <w:proofErr w:type="gramStart"/>
      <w:r w:rsidR="00923A9B">
        <w:rPr>
          <w:rFonts w:ascii="Garamond" w:hAnsi="Garamond"/>
        </w:rPr>
        <w:t xml:space="preserve">abundance </w:t>
      </w:r>
      <w:r>
        <w:rPr>
          <w:rFonts w:ascii="Garamond" w:hAnsi="Garamond"/>
        </w:rPr>
        <w:t xml:space="preserve"> </w:t>
      </w:r>
      <w:r>
        <w:rPr>
          <w:rFonts w:ascii="Garamond" w:hAnsi="Garamond"/>
        </w:rPr>
        <w:lastRenderedPageBreak/>
        <w:t>within</w:t>
      </w:r>
      <w:proofErr w:type="gramEnd"/>
      <w:r>
        <w:rPr>
          <w:rFonts w:ascii="Garamond" w:hAnsi="Garamond"/>
        </w:rPr>
        <w:t xml:space="preserve">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w:t>
      </w:r>
      <w:r w:rsidR="00BE5A63">
        <w:rPr>
          <w:rFonts w:ascii="Garamond" w:hAnsi="Garamond"/>
        </w:rPr>
        <w:t xml:space="preserve"> their</w:t>
      </w:r>
      <w:r>
        <w:rPr>
          <w:rFonts w:ascii="Garamond" w:hAnsi="Garamond"/>
        </w:rPr>
        <w:t xml:space="preserve"> </w:t>
      </w:r>
      <w:r w:rsidR="00923A9B">
        <w:rPr>
          <w:rFonts w:ascii="Garamond" w:hAnsi="Garamond"/>
        </w:rPr>
        <w:t xml:space="preserve">relative abundance </w:t>
      </w:r>
      <w:r>
        <w:rPr>
          <w:rFonts w:ascii="Garamond" w:hAnsi="Garamond"/>
        </w:rPr>
        <w:t>protect</w:t>
      </w:r>
      <w:r w:rsidR="00923A9B">
        <w:rPr>
          <w:rFonts w:ascii="Garamond" w:hAnsi="Garamond"/>
        </w:rPr>
        <w:t>ed</w:t>
      </w:r>
      <w:r>
        <w:rPr>
          <w:rFonts w:ascii="Garamond" w:hAnsi="Garamond"/>
        </w:rPr>
        <w:t xml:space="preserve"> across our dataset, with group two ranging from 2.4%–29.4% and group one ranging from 3%–52% of the overall return protected by the front-end closure. </w:t>
      </w:r>
    </w:p>
    <w:p w14:paraId="0CCE43E4" w14:textId="55DA1B70" w:rsidR="00CE01B9" w:rsidRDefault="00BA542C" w:rsidP="00A95426">
      <w:pPr>
        <w:pStyle w:val="whitespace-normal"/>
        <w:spacing w:line="480" w:lineRule="auto"/>
        <w:ind w:firstLine="720"/>
        <w:rPr>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w:t>
      </w:r>
      <w:proofErr w:type="gramStart"/>
      <w:r>
        <w:rPr>
          <w:rFonts w:ascii="Garamond" w:hAnsi="Garamond"/>
        </w:rPr>
        <w:t>Groups</w:t>
      </w:r>
      <w:proofErr w:type="gramEnd"/>
      <w:r>
        <w:rPr>
          <w:rFonts w:ascii="Garamond" w:hAnsi="Garamond"/>
        </w:rPr>
        <w:t xml:space="preserve"> one and </w:t>
      </w:r>
      <w:proofErr w:type="gramStart"/>
      <w:r>
        <w:rPr>
          <w:rFonts w:ascii="Garamond" w:hAnsi="Garamond"/>
        </w:rPr>
        <w:t>two</w:t>
      </w:r>
      <w:proofErr w:type="gramEnd"/>
      <w:r>
        <w:rPr>
          <w:rFonts w:ascii="Garamond" w:hAnsi="Garamond"/>
        </w:rPr>
        <w:t xml:space="preserve"> saw an increase of </w:t>
      </w:r>
      <w:bookmarkStart w:id="0" w:name="_Hlk213834610"/>
      <w:r>
        <w:rPr>
          <w:rFonts w:ascii="Garamond" w:hAnsi="Garamond"/>
        </w:rPr>
        <w:t xml:space="preserve">17.4% and 9.1% in median protection, respectively, by extending the front-end closure three days and the same groups saw a 32.3% and 21.3% </w:t>
      </w:r>
      <w:bookmarkEnd w:id="0"/>
      <w:r>
        <w:rPr>
          <w:rFonts w:ascii="Garamond" w:hAnsi="Garamond"/>
        </w:rPr>
        <w:t xml:space="preserve">increase in protection by extending the front-end closure six days past the current closure date. Importantly, the </w:t>
      </w:r>
      <w:r w:rsidR="00A95426">
        <w:rPr>
          <w:rFonts w:ascii="Garamond" w:hAnsi="Garamond"/>
        </w:rPr>
        <w:t>lowest proportional protection</w:t>
      </w:r>
      <w:r w:rsidR="00BE5A63">
        <w:rPr>
          <w:rFonts w:ascii="Garamond" w:hAnsi="Garamond"/>
        </w:rPr>
        <w:t>s</w:t>
      </w:r>
      <w:r w:rsidR="00A95426">
        <w:rPr>
          <w:rFonts w:ascii="Garamond" w:hAnsi="Garamond"/>
        </w:rPr>
        <w:t xml:space="preserve"> in the </w:t>
      </w:r>
      <w:r>
        <w:rPr>
          <w:rFonts w:ascii="Garamond" w:hAnsi="Garamond"/>
        </w:rPr>
        <w:t xml:space="preserve">three-day extension scenario were </w:t>
      </w:r>
      <w:proofErr w:type="gramStart"/>
      <w:r>
        <w:rPr>
          <w:rFonts w:ascii="Garamond" w:hAnsi="Garamond"/>
        </w:rPr>
        <w:t>similar to</w:t>
      </w:r>
      <w:proofErr w:type="gramEnd"/>
      <w:r>
        <w:rPr>
          <w:rFonts w:ascii="Garamond" w:hAnsi="Garamond"/>
        </w:rPr>
        <w:t xml:space="preserve"> the results of the currently implemented closure</w:t>
      </w:r>
      <w:r w:rsidR="00356C95">
        <w:rPr>
          <w:rFonts w:ascii="Garamond" w:hAnsi="Garamond"/>
        </w:rPr>
        <w:t xml:space="preserve">, indicating that in select years extending the </w:t>
      </w:r>
      <w:proofErr w:type="gramStart"/>
      <w:r w:rsidR="00356C95">
        <w:rPr>
          <w:rFonts w:ascii="Garamond" w:hAnsi="Garamond"/>
        </w:rPr>
        <w:t>front end</w:t>
      </w:r>
      <w:proofErr w:type="gramEnd"/>
      <w:r w:rsidR="00356C95">
        <w:rPr>
          <w:rFonts w:ascii="Garamond" w:hAnsi="Garamond"/>
        </w:rPr>
        <w:t xml:space="preserve"> closure by three days would not provide additional conservation benefit. </w:t>
      </w:r>
      <w:r>
        <w:rPr>
          <w:rFonts w:ascii="Garamond" w:hAnsi="Garamond"/>
        </w:rPr>
        <w:t>For a closure ending on June 14</w:t>
      </w:r>
      <w:r>
        <w:rPr>
          <w:rFonts w:ascii="Garamond" w:hAnsi="Garamond"/>
          <w:vertAlign w:val="superscript"/>
        </w:rPr>
        <w:t>th</w:t>
      </w:r>
      <w:r>
        <w:rPr>
          <w:rFonts w:ascii="Garamond" w:hAnsi="Garamond"/>
        </w:rPr>
        <w:t xml:space="preserve">, the lowest protection afforded to groups one and two was 7.8% and 4.4%, respectively, which are only 4.4% and 2.0% increases over the original closure date. By extending the </w:t>
      </w:r>
      <w:proofErr w:type="gramStart"/>
      <w:r>
        <w:rPr>
          <w:rFonts w:ascii="Garamond" w:hAnsi="Garamond"/>
        </w:rPr>
        <w:t>closure</w:t>
      </w:r>
      <w:proofErr w:type="gramEnd"/>
      <w:r>
        <w:rPr>
          <w:rFonts w:ascii="Garamond" w:hAnsi="Garamond"/>
        </w:rPr>
        <w:t xml:space="preserve"> six days (</w:t>
      </w:r>
      <w:r w:rsidR="00BE5A63">
        <w:rPr>
          <w:rFonts w:ascii="Garamond" w:hAnsi="Garamond"/>
        </w:rPr>
        <w:t xml:space="preserve">to </w:t>
      </w:r>
      <w:r>
        <w:rPr>
          <w:rFonts w:ascii="Garamond" w:hAnsi="Garamond"/>
        </w:rPr>
        <w:t>June 17</w:t>
      </w:r>
      <w:r>
        <w:rPr>
          <w:rFonts w:ascii="Garamond" w:hAnsi="Garamond"/>
          <w:vertAlign w:val="superscript"/>
        </w:rPr>
        <w:t>th</w:t>
      </w:r>
      <w:r>
        <w:rPr>
          <w:rFonts w:ascii="Garamond" w:hAnsi="Garamond"/>
        </w:rPr>
        <w:t xml:space="preserve">), </w:t>
      </w:r>
      <w:r>
        <w:rPr>
          <w:rFonts w:ascii="Garamond" w:hAnsi="Garamond"/>
        </w:rPr>
        <w:lastRenderedPageBreak/>
        <w:t xml:space="preserve">minimum protection values increased more prominently to 21.9% and 14.9% for groups one and two. </w:t>
      </w:r>
    </w:p>
    <w:p w14:paraId="2A9EA7B8" w14:textId="4AB98CC1"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w:t>
      </w:r>
      <w:r w:rsidR="004C4B85">
        <w:rPr>
          <w:rFonts w:ascii="Garamond" w:hAnsi="Garamond"/>
        </w:rPr>
        <w:t>1</w:t>
      </w:r>
      <w:r>
        <w:rPr>
          <w:rFonts w:ascii="Garamond" w:hAnsi="Garamond"/>
        </w:rPr>
        <w:t xml:space="preserve">% of the total </w:t>
      </w:r>
      <w:r w:rsidR="00C93CB2">
        <w:rPr>
          <w:rFonts w:ascii="Garamond" w:hAnsi="Garamond"/>
        </w:rPr>
        <w:t xml:space="preserve">test fishery </w:t>
      </w:r>
      <w:r>
        <w:rPr>
          <w:rFonts w:ascii="Garamond" w:hAnsi="Garamond"/>
        </w:rPr>
        <w:t>CPUE fell within the closure period</w:t>
      </w:r>
      <w:r w:rsidR="00CE01B9">
        <w:rPr>
          <w:rFonts w:ascii="Garamond" w:hAnsi="Garamond"/>
        </w:rPr>
        <w:t xml:space="preserve"> </w:t>
      </w:r>
      <w:r w:rsidR="00CE01B9" w:rsidRPr="004C4B85">
        <w:rPr>
          <w:rFonts w:ascii="Garamond" w:hAnsi="Garamond"/>
        </w:rPr>
        <w:t xml:space="preserve">(range </w:t>
      </w:r>
      <w:r w:rsidR="004C4B85" w:rsidRPr="00B90CE4">
        <w:rPr>
          <w:rFonts w:ascii="Garamond" w:hAnsi="Garamond"/>
        </w:rPr>
        <w:t>= 4.9% - 20.3%</w:t>
      </w:r>
      <w:r w:rsidR="00CE01B9" w:rsidRPr="004C4B85">
        <w:rPr>
          <w:rFonts w:ascii="Garamond" w:hAnsi="Garamond"/>
        </w:rPr>
        <w:t>)</w:t>
      </w:r>
      <w:r w:rsidRPr="004C4B85">
        <w:rPr>
          <w:rFonts w:ascii="Garamond" w:hAnsi="Garamond"/>
        </w:rPr>
        <w:t>.</w:t>
      </w:r>
      <w:r>
        <w:rPr>
          <w:rFonts w:ascii="Garamond" w:hAnsi="Garamond"/>
        </w:rPr>
        <w:t xml:space="preserve"> Shortening the closure reduces this loss to less than 5% but offers </w:t>
      </w:r>
      <w:r w:rsidR="00C93CB2">
        <w:rPr>
          <w:rFonts w:ascii="Garamond" w:hAnsi="Garamond"/>
        </w:rPr>
        <w:t xml:space="preserve">negligible </w:t>
      </w:r>
      <w:r>
        <w:rPr>
          <w:rFonts w:ascii="Garamond" w:hAnsi="Garamond"/>
        </w:rPr>
        <w:t xml:space="preserve">protection for upstream stocks (Fig. 5). Extending the closure, by contrast, substantially increases protection for </w:t>
      </w:r>
      <w:r w:rsidR="00CE01B9">
        <w:rPr>
          <w:rFonts w:ascii="Garamond" w:hAnsi="Garamond"/>
        </w:rPr>
        <w:t>upriver</w:t>
      </w:r>
      <w:r>
        <w:rPr>
          <w:rFonts w:ascii="Garamond" w:hAnsi="Garamond"/>
        </w:rPr>
        <w:t xml:space="preserve"> groups; however, an average of 17%</w:t>
      </w:r>
      <w:r w:rsidR="004C4B85">
        <w:rPr>
          <w:rFonts w:ascii="Garamond" w:hAnsi="Garamond"/>
        </w:rPr>
        <w:t xml:space="preserve"> (range = 7.5%</w:t>
      </w:r>
      <w:r w:rsidR="004A579B">
        <w:rPr>
          <w:rFonts w:ascii="Garamond" w:hAnsi="Garamond"/>
        </w:rPr>
        <w:t xml:space="preserve"> </w:t>
      </w:r>
      <w:r w:rsidR="004C4B85">
        <w:rPr>
          <w:rFonts w:ascii="Garamond" w:hAnsi="Garamond"/>
        </w:rPr>
        <w:t>-</w:t>
      </w:r>
      <w:r w:rsidR="004A579B">
        <w:rPr>
          <w:rFonts w:ascii="Garamond" w:hAnsi="Garamond"/>
        </w:rPr>
        <w:t xml:space="preserve"> </w:t>
      </w:r>
      <w:r w:rsidR="004C4B85">
        <w:rPr>
          <w:rFonts w:ascii="Garamond" w:hAnsi="Garamond"/>
        </w:rPr>
        <w:t>28.1%)</w:t>
      </w:r>
      <w:r>
        <w:rPr>
          <w:rFonts w:ascii="Garamond" w:hAnsi="Garamond"/>
        </w:rPr>
        <w:t xml:space="preserve"> and 24%</w:t>
      </w:r>
      <w:r w:rsidR="004C4B85">
        <w:rPr>
          <w:rFonts w:ascii="Garamond" w:hAnsi="Garamond"/>
        </w:rPr>
        <w:t xml:space="preserve"> (range = 11.9% - 39.6%)</w:t>
      </w:r>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1533761C" w14:textId="0574D935" w:rsidR="00F5142E" w:rsidRDefault="004504D1" w:rsidP="00B90CE4">
      <w:pPr>
        <w:pStyle w:val="whitespace-normal"/>
        <w:spacing w:line="480" w:lineRule="auto"/>
        <w:ind w:firstLine="360"/>
        <w:rPr>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w:t>
      </w:r>
      <w:r w:rsidR="00BE5A63">
        <w:rPr>
          <w:rFonts w:ascii="Garamond" w:hAnsi="Garamond"/>
        </w:rPr>
        <w:t>corroborates</w:t>
      </w:r>
      <w:r>
        <w:rPr>
          <w:rFonts w:ascii="Garamond" w:hAnsi="Garamond"/>
        </w:rPr>
        <w:t xml:space="preserve"> previously observed relationships between run timing and watershed position of spawning habitat, wherein the earliest returning fish </w:t>
      </w:r>
      <w:proofErr w:type="gramStart"/>
      <w:r>
        <w:rPr>
          <w:rFonts w:ascii="Garamond" w:hAnsi="Garamond"/>
        </w:rPr>
        <w:t>contribute</w:t>
      </w:r>
      <w:proofErr w:type="gramEnd"/>
      <w:r>
        <w:rPr>
          <w:rFonts w:ascii="Garamond" w:hAnsi="Garamond"/>
        </w:rPr>
        <w:t xml:space="preserve"> to </w:t>
      </w:r>
      <w:r w:rsidR="007F65C8">
        <w:rPr>
          <w:rFonts w:ascii="Garamond" w:hAnsi="Garamond"/>
        </w:rPr>
        <w:t>tributaries</w:t>
      </w:r>
      <w:r w:rsidR="004A579B">
        <w:rPr>
          <w:rFonts w:ascii="Garamond" w:hAnsi="Garamond"/>
        </w:rPr>
        <w:t xml:space="preserve"> </w:t>
      </w:r>
      <w:r>
        <w:rPr>
          <w:rFonts w:ascii="Garamond" w:hAnsi="Garamond"/>
        </w:rPr>
        <w:t>in</w:t>
      </w:r>
      <w:r w:rsidR="004A579B">
        <w:rPr>
          <w:rFonts w:ascii="Garamond" w:hAnsi="Garamond"/>
        </w:rPr>
        <w:t xml:space="preserve"> </w:t>
      </w:r>
      <w:r>
        <w:rPr>
          <w:rFonts w:ascii="Garamond" w:hAnsi="Garamond"/>
        </w:rPr>
        <w:t xml:space="preserve">the uppermost portions and the latest returning fish </w:t>
      </w:r>
      <w:proofErr w:type="gramStart"/>
      <w:r>
        <w:rPr>
          <w:rFonts w:ascii="Garamond" w:hAnsi="Garamond"/>
        </w:rPr>
        <w:t>return</w:t>
      </w:r>
      <w:proofErr w:type="gramEnd"/>
      <w:r>
        <w:rPr>
          <w:rFonts w:ascii="Garamond" w:hAnsi="Garamond"/>
        </w:rPr>
        <w:t xml:space="preserve"> to the furthest downstream portions of the watershed</w:t>
      </w:r>
      <w:r w:rsidR="00186B3C">
        <w:rPr>
          <w:rFonts w:ascii="Garamond" w:hAnsi="Garamond"/>
        </w:rPr>
        <w:t xml:space="preserve">. </w:t>
      </w:r>
      <w:r>
        <w:rPr>
          <w:rFonts w:ascii="Garamond" w:hAnsi="Garamond"/>
        </w:rPr>
        <w:t>This relationship was consistent throughout our multi-year dataset</w:t>
      </w:r>
      <w:r w:rsidR="00CE01B9">
        <w:rPr>
          <w:rFonts w:ascii="Garamond" w:hAnsi="Garamond"/>
        </w:rPr>
        <w:t xml:space="preserve"> (2017-2022)</w:t>
      </w:r>
      <w:r>
        <w:rPr>
          <w:rFonts w:ascii="Garamond" w:hAnsi="Garamond"/>
        </w:rPr>
        <w:t xml:space="preserve"> despite variation in the overall migration timing</w:t>
      </w:r>
      <w:r w:rsidR="00EC283C">
        <w:rPr>
          <w:rFonts w:ascii="Garamond" w:hAnsi="Garamond"/>
        </w:rPr>
        <w:t xml:space="preserve">. </w:t>
      </w:r>
      <w:r w:rsidR="00BE3061">
        <w:rPr>
          <w:rFonts w:ascii="Garamond" w:hAnsi="Garamond"/>
        </w:rPr>
        <w:t>T</w:t>
      </w:r>
      <w:r w:rsidR="00256AEE" w:rsidRPr="00256AEE">
        <w:rPr>
          <w:rFonts w:ascii="Garamond" w:hAnsi="Garamond"/>
        </w:rPr>
        <w:t>elemetry studies identified similar patterns in</w:t>
      </w:r>
      <w:r w:rsidR="00BE3061">
        <w:rPr>
          <w:rFonts w:ascii="Garamond" w:hAnsi="Garamond"/>
        </w:rPr>
        <w:t xml:space="preserve"> relative</w:t>
      </w:r>
      <w:r w:rsidR="00256AEE" w:rsidRPr="00256AEE">
        <w:rPr>
          <w:rFonts w:ascii="Garamond" w:hAnsi="Garamond"/>
        </w:rPr>
        <w:t xml:space="preserve"> run timing among regions of the watershed, including comparable </w:t>
      </w:r>
      <w:r w:rsidR="00BE3061">
        <w:rPr>
          <w:rFonts w:ascii="Garamond" w:hAnsi="Garamond"/>
        </w:rPr>
        <w:t xml:space="preserve">average </w:t>
      </w:r>
      <w:r w:rsidR="00256AEE">
        <w:rPr>
          <w:rFonts w:ascii="Garamond" w:hAnsi="Garamond"/>
        </w:rPr>
        <w:t xml:space="preserve">return timing to upper watershed tributaries. </w:t>
      </w:r>
      <w:r w:rsidR="00256AEE" w:rsidRPr="00256AEE">
        <w:rPr>
          <w:rFonts w:ascii="Garamond" w:hAnsi="Garamond"/>
        </w:rPr>
        <w:t>In one year of overlapping data</w:t>
      </w:r>
      <w:r w:rsidR="00256AEE">
        <w:rPr>
          <w:rFonts w:ascii="Garamond" w:hAnsi="Garamond"/>
        </w:rPr>
        <w:t xml:space="preserve"> between telemetry studies and our dataset (2017)</w:t>
      </w:r>
      <w:r w:rsidR="00256AEE" w:rsidRPr="00256AEE">
        <w:rPr>
          <w:rFonts w:ascii="Garamond" w:hAnsi="Garamond"/>
        </w:rPr>
        <w:t>, telemetry observations indicated a four-day difference in median return timing between fish returning to tributaries above McGrath</w:t>
      </w:r>
      <w:r w:rsidR="00186B3C">
        <w:rPr>
          <w:rFonts w:ascii="Garamond" w:hAnsi="Garamond"/>
        </w:rPr>
        <w:t>, AK</w:t>
      </w:r>
      <w:r w:rsidR="00256AEE" w:rsidRPr="00256AEE">
        <w:rPr>
          <w:rFonts w:ascii="Garamond" w:hAnsi="Garamond"/>
        </w:rPr>
        <w:t xml:space="preserve"> and those returning to the middle watershed, </w:t>
      </w:r>
      <w:r w:rsidR="00256AEE" w:rsidRPr="00256AEE">
        <w:rPr>
          <w:rFonts w:ascii="Garamond" w:hAnsi="Garamond"/>
        </w:rPr>
        <w:lastRenderedPageBreak/>
        <w:t>approximately between Aniak</w:t>
      </w:r>
      <w:r w:rsidR="00186B3C">
        <w:rPr>
          <w:rFonts w:ascii="Garamond" w:hAnsi="Garamond"/>
        </w:rPr>
        <w:t xml:space="preserve">, AK </w:t>
      </w:r>
      <w:r w:rsidR="00256AEE" w:rsidRPr="00256AEE">
        <w:rPr>
          <w:rFonts w:ascii="Garamond" w:hAnsi="Garamond"/>
        </w:rPr>
        <w:t xml:space="preserve"> and McGrath</w:t>
      </w:r>
      <w:r w:rsidR="00186B3C">
        <w:rPr>
          <w:rFonts w:ascii="Garamond" w:hAnsi="Garamond"/>
        </w:rPr>
        <w:t xml:space="preserve">, AK </w:t>
      </w:r>
      <w:r w:rsidR="006C395C">
        <w:rPr>
          <w:rFonts w:ascii="Garamond" w:hAnsi="Garamond"/>
        </w:rPr>
        <w:fldChar w:fldCharType="begin"/>
      </w:r>
      <w:r w:rsidR="006C395C">
        <w:rPr>
          <w:rFonts w:ascii="Garamond" w:hAnsi="Garamond"/>
        </w:rPr>
        <w:instrText xml:space="preserve"> ADDIN ZOTERO_ITEM CSL_CITATION {"citationID":"cuH2khkV","properties":{"unsorted":false,"formattedCitation":"(J.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6C395C">
        <w:rPr>
          <w:rFonts w:ascii="Garamond" w:hAnsi="Garamond"/>
        </w:rPr>
        <w:fldChar w:fldCharType="separate"/>
      </w:r>
      <w:r w:rsidR="006C395C">
        <w:rPr>
          <w:rFonts w:ascii="Garamond" w:hAnsi="Garamond"/>
          <w:noProof/>
        </w:rPr>
        <w:t>(J. N. Clark &amp; Smith, 2019)</w:t>
      </w:r>
      <w:r w:rsidR="006C395C">
        <w:rPr>
          <w:rFonts w:ascii="Garamond" w:hAnsi="Garamond"/>
        </w:rPr>
        <w:fldChar w:fldCharType="end"/>
      </w:r>
      <w:r w:rsidR="00186B3C">
        <w:rPr>
          <w:rFonts w:ascii="Garamond" w:hAnsi="Garamond"/>
        </w:rPr>
        <w:t>.</w:t>
      </w:r>
      <w:r w:rsidR="00BE5A63">
        <w:rPr>
          <w:rFonts w:ascii="Garamond" w:hAnsi="Garamond"/>
        </w:rPr>
        <w:t xml:space="preserve"> </w:t>
      </w:r>
      <w:r w:rsidR="00256AEE">
        <w:rPr>
          <w:rFonts w:ascii="Garamond" w:hAnsi="Garamond"/>
        </w:rPr>
        <w:t xml:space="preserve">Although these stock groupings </w:t>
      </w:r>
      <w:r w:rsidR="009368EA">
        <w:rPr>
          <w:rFonts w:ascii="Garamond" w:hAnsi="Garamond"/>
        </w:rPr>
        <w:t xml:space="preserve">are not a direct comparison to our isotope-defined groups, </w:t>
      </w:r>
      <w:r w:rsidR="00256AEE" w:rsidRPr="00256AEE">
        <w:rPr>
          <w:rFonts w:ascii="Garamond" w:hAnsi="Garamond"/>
        </w:rPr>
        <w:t xml:space="preserve">the observed </w:t>
      </w:r>
      <w:r w:rsidR="00BE3061" w:rsidRPr="00256AEE">
        <w:rPr>
          <w:rFonts w:ascii="Garamond" w:hAnsi="Garamond"/>
        </w:rPr>
        <w:t>difference</w:t>
      </w:r>
      <w:r w:rsidR="00256AEE" w:rsidRPr="00256AEE">
        <w:rPr>
          <w:rFonts w:ascii="Garamond" w:hAnsi="Garamond"/>
        </w:rPr>
        <w:t xml:space="preserve"> in timing </w:t>
      </w:r>
      <w:r w:rsidR="00256AEE">
        <w:rPr>
          <w:rFonts w:ascii="Garamond" w:hAnsi="Garamond"/>
        </w:rPr>
        <w:t>is</w:t>
      </w:r>
      <w:r w:rsidR="00256AEE" w:rsidRPr="00256AEE">
        <w:rPr>
          <w:rFonts w:ascii="Garamond" w:hAnsi="Garamond"/>
        </w:rPr>
        <w:t xml:space="preserve"> broadly consistent with </w:t>
      </w:r>
      <w:r w:rsidR="00BE3061">
        <w:rPr>
          <w:rFonts w:ascii="Garamond" w:hAnsi="Garamond"/>
        </w:rPr>
        <w:t xml:space="preserve">our </w:t>
      </w:r>
      <w:r w:rsidR="00256AEE" w:rsidRPr="00256AEE">
        <w:rPr>
          <w:rFonts w:ascii="Garamond" w:hAnsi="Garamond"/>
        </w:rPr>
        <w:t>observ</w:t>
      </w:r>
      <w:r w:rsidR="00BE3061">
        <w:rPr>
          <w:rFonts w:ascii="Garamond" w:hAnsi="Garamond"/>
        </w:rPr>
        <w:t>ations</w:t>
      </w:r>
      <w:r w:rsidR="00256AEE" w:rsidRPr="00256AEE">
        <w:rPr>
          <w:rFonts w:ascii="Garamond" w:hAnsi="Garamond"/>
        </w:rPr>
        <w:t xml:space="preserve"> </w:t>
      </w:r>
      <w:r w:rsidR="00BE3061">
        <w:rPr>
          <w:rFonts w:ascii="Garamond" w:hAnsi="Garamond"/>
        </w:rPr>
        <w:t xml:space="preserve">between </w:t>
      </w:r>
      <w:r w:rsidR="009D3E39">
        <w:rPr>
          <w:rFonts w:ascii="Garamond" w:hAnsi="Garamond"/>
        </w:rPr>
        <w:t>g</w:t>
      </w:r>
      <w:r w:rsidR="00256AEE" w:rsidRPr="00256AEE">
        <w:rPr>
          <w:rFonts w:ascii="Garamond" w:hAnsi="Garamond"/>
        </w:rPr>
        <w:t xml:space="preserve">roups </w:t>
      </w:r>
      <w:r w:rsidR="009D3E39">
        <w:rPr>
          <w:rFonts w:ascii="Garamond" w:hAnsi="Garamond"/>
        </w:rPr>
        <w:t>one</w:t>
      </w:r>
      <w:r w:rsidR="00256AEE" w:rsidRPr="00256AEE">
        <w:rPr>
          <w:rFonts w:ascii="Garamond" w:hAnsi="Garamond"/>
        </w:rPr>
        <w:t xml:space="preserve"> and </w:t>
      </w:r>
      <w:r w:rsidR="009D3E39">
        <w:rPr>
          <w:rFonts w:ascii="Garamond" w:hAnsi="Garamond"/>
        </w:rPr>
        <w:t>two</w:t>
      </w:r>
      <w:r w:rsidR="00256AEE" w:rsidRPr="00256AEE">
        <w:rPr>
          <w:rFonts w:ascii="Garamond" w:hAnsi="Garamond"/>
        </w:rPr>
        <w:t xml:space="preserve">, </w:t>
      </w:r>
      <w:r w:rsidR="00256AEE" w:rsidRPr="005019CE">
        <w:rPr>
          <w:rFonts w:ascii="Garamond" w:hAnsi="Garamond"/>
        </w:rPr>
        <w:t>which primarily occur within these regions</w:t>
      </w:r>
      <w:r w:rsidR="00005DA6" w:rsidRPr="005019CE">
        <w:rPr>
          <w:rFonts w:ascii="Garamond" w:hAnsi="Garamond"/>
        </w:rPr>
        <w:t xml:space="preserve"> </w:t>
      </w:r>
      <w:r w:rsidR="005019CE" w:rsidRPr="00B90CE4">
        <w:rPr>
          <w:rFonts w:ascii="Garamond" w:hAnsi="Garamond"/>
        </w:rPr>
        <w:fldChar w:fldCharType="begin"/>
      </w:r>
      <w:r w:rsidR="005019CE" w:rsidRPr="00B90CE4">
        <w:rPr>
          <w:rFonts w:ascii="Garamond" w:hAnsi="Garamond"/>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B90CE4">
        <w:rPr>
          <w:rFonts w:ascii="Garamond" w:hAnsi="Garamond"/>
        </w:rPr>
        <w:fldChar w:fldCharType="separate"/>
      </w:r>
      <w:r w:rsidR="005019CE" w:rsidRPr="00B90CE4">
        <w:rPr>
          <w:rFonts w:ascii="Garamond" w:hAnsi="Garamond"/>
          <w:noProof/>
        </w:rPr>
        <w:t>(J. N. Clark &amp; Smith, 2019)</w:t>
      </w:r>
      <w:r w:rsidR="005019CE" w:rsidRPr="00B90CE4">
        <w:rPr>
          <w:rFonts w:ascii="Garamond" w:hAnsi="Garamond"/>
        </w:rPr>
        <w:fldChar w:fldCharType="end"/>
      </w:r>
      <w:r w:rsidR="005019CE" w:rsidRPr="005019CE">
        <w:rPr>
          <w:rFonts w:ascii="Garamond" w:hAnsi="Garamond"/>
        </w:rPr>
        <w:t>.</w:t>
      </w:r>
    </w:p>
    <w:p w14:paraId="476F8195" w14:textId="2663F241" w:rsidR="00450ED3" w:rsidRPr="00B90CE4" w:rsidRDefault="00EE2B9C" w:rsidP="00005DA6">
      <w:pPr>
        <w:pStyle w:val="whitespace-normal"/>
        <w:spacing w:line="480" w:lineRule="auto"/>
        <w:ind w:firstLine="720"/>
        <w:rPr>
          <w:rStyle w:val="Strong"/>
          <w:rFonts w:ascii="Garamond" w:hAnsi="Garamond"/>
          <w:b w:val="0"/>
          <w:bCs w:val="0"/>
        </w:rPr>
      </w:pPr>
      <w:r>
        <w:rPr>
          <w:rFonts w:ascii="Garamond" w:hAnsi="Garamond"/>
        </w:rPr>
        <w:t>A clear pattern of early-</w:t>
      </w:r>
      <w:r w:rsidR="00637562">
        <w:rPr>
          <w:rFonts w:ascii="Garamond" w:hAnsi="Garamond"/>
        </w:rPr>
        <w:t xml:space="preserve">migrating </w:t>
      </w:r>
      <w:r>
        <w:rPr>
          <w:rFonts w:ascii="Garamond" w:hAnsi="Garamond"/>
        </w:rPr>
        <w:t>upriver populations supports the front-end closure’s objective of protecting these fish from downriver harvest and providing more equitable harvest opportunities</w:t>
      </w:r>
      <w:r w:rsidR="00EC283C">
        <w:rPr>
          <w:rFonts w:ascii="Garamond" w:hAnsi="Garamond"/>
        </w:rPr>
        <w:t xml:space="preserve"> </w:t>
      </w:r>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r w:rsidR="00005DA6">
        <w:rPr>
          <w:rFonts w:ascii="Garamond" w:hAnsi="Garamond"/>
        </w:rPr>
        <w:t xml:space="preserve"> (Fig. 3b)</w:t>
      </w:r>
      <w:r w:rsidR="00186B3C">
        <w:rPr>
          <w:rFonts w:ascii="Garamond" w:hAnsi="Garamond"/>
        </w:rPr>
        <w:t xml:space="preserve">, </w:t>
      </w:r>
      <w:r w:rsidR="00637562">
        <w:rPr>
          <w:rFonts w:ascii="Garamond" w:hAnsi="Garamond"/>
        </w:rPr>
        <w:t>consistent</w:t>
      </w:r>
      <w:r w:rsidR="00186B3C">
        <w:rPr>
          <w:rFonts w:ascii="Garamond" w:hAnsi="Garamond"/>
        </w:rPr>
        <w:t xml:space="preserve"> with findings from telemetry data </w:t>
      </w:r>
      <w:r w:rsidR="008E0323">
        <w:rPr>
          <w:rFonts w:ascii="Garamond" w:hAnsi="Garamond"/>
        </w:rPr>
        <w:fldChar w:fldCharType="begin"/>
      </w:r>
      <w:r w:rsidR="008E0323">
        <w:rPr>
          <w:rFonts w:ascii="Garamond" w:hAnsi="Garamond"/>
        </w:rPr>
        <w:instrText xml:space="preserve"> ADDIN ZOTERO_ITEM CSL_CITATION {"citationID":"mPPe84Pe","properties":{"unsorted":false,"formattedCitation":"(J.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8E0323">
        <w:rPr>
          <w:rFonts w:ascii="Garamond" w:hAnsi="Garamond"/>
        </w:rPr>
        <w:fldChar w:fldCharType="separate"/>
      </w:r>
      <w:r w:rsidR="008E0323">
        <w:rPr>
          <w:rFonts w:ascii="Garamond" w:hAnsi="Garamond"/>
          <w:noProof/>
        </w:rPr>
        <w:t>(J. N. Clark &amp; Smith, 2019)</w:t>
      </w:r>
      <w:r w:rsidR="008E0323">
        <w:rPr>
          <w:rFonts w:ascii="Garamond" w:hAnsi="Garamond"/>
        </w:rPr>
        <w:fldChar w:fldCharType="end"/>
      </w:r>
      <w:r w:rsidR="00BE5A63">
        <w:rPr>
          <w:rFonts w:ascii="Garamond" w:hAnsi="Garamond"/>
        </w:rPr>
        <w:t>.</w:t>
      </w:r>
      <w:r w:rsidR="00186B3C">
        <w:rPr>
          <w:rFonts w:ascii="Garamond" w:hAnsi="Garamond"/>
        </w:rPr>
        <w:t xml:space="preserve"> </w:t>
      </w:r>
      <w:r>
        <w:rPr>
          <w:rFonts w:ascii="Garamond" w:hAnsi="Garamond"/>
        </w:rPr>
        <w:t xml:space="preserve">Despite this variation in abundance, individuals in both upper watershed groups returned early in the migration season. </w:t>
      </w:r>
      <w:r w:rsidR="00186B3C">
        <w:rPr>
          <w:rFonts w:ascii="Garamond" w:hAnsi="Garamond"/>
        </w:rPr>
        <w:t>T</w:t>
      </w:r>
      <w:r>
        <w:rPr>
          <w:rFonts w:ascii="Garamond" w:hAnsi="Garamond"/>
        </w:rPr>
        <w:t>he front-end closure strategy as it is currently implemented</w:t>
      </w:r>
      <w:r w:rsidR="00186B3C">
        <w:rPr>
          <w:rFonts w:ascii="Garamond" w:hAnsi="Garamond"/>
        </w:rPr>
        <w:t xml:space="preserve"> therefore</w:t>
      </w:r>
      <w:r>
        <w:rPr>
          <w:rFonts w:ascii="Garamond" w:hAnsi="Garamond"/>
        </w:rPr>
        <w:t xml:space="preserve"> provides protection </w:t>
      </w:r>
      <w:proofErr w:type="gramStart"/>
      <w:r>
        <w:rPr>
          <w:rFonts w:ascii="Garamond" w:hAnsi="Garamond"/>
        </w:rPr>
        <w:t>to</w:t>
      </w:r>
      <w:proofErr w:type="gramEnd"/>
      <w:r>
        <w:rPr>
          <w:rFonts w:ascii="Garamond" w:hAnsi="Garamond"/>
        </w:rPr>
        <w:t xml:space="preserve"> </w:t>
      </w:r>
      <w:r w:rsidR="00BE3061">
        <w:rPr>
          <w:rFonts w:ascii="Garamond" w:hAnsi="Garamond"/>
        </w:rPr>
        <w:t xml:space="preserve">both </w:t>
      </w:r>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sidR="00BE3061">
        <w:rPr>
          <w:rFonts w:ascii="Garamond" w:hAnsi="Garamond"/>
        </w:rPr>
        <w:t xml:space="preserve">helps to maintain </w:t>
      </w:r>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4D32D1C6" w:rsidR="00BE3061" w:rsidRDefault="005312E0" w:rsidP="00BE3061">
      <w:pPr>
        <w:pStyle w:val="whitespace-normal"/>
        <w:spacing w:line="480" w:lineRule="auto"/>
        <w:ind w:firstLine="720"/>
        <w:rPr>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r w:rsidR="00BE3061">
        <w:rPr>
          <w:rFonts w:ascii="Garamond" w:hAnsi="Garamond"/>
        </w:rPr>
        <w:t xml:space="preserve">(Fig. 3b) </w:t>
      </w:r>
      <w:r>
        <w:rPr>
          <w:rFonts w:ascii="Garamond" w:hAnsi="Garamond"/>
        </w:rPr>
        <w:t>and the proportional protection afforded by the front-end closure strategy</w:t>
      </w:r>
      <w:r w:rsidR="00BE3061">
        <w:rPr>
          <w:rFonts w:ascii="Garamond" w:hAnsi="Garamond"/>
        </w:rPr>
        <w:t xml:space="preserve"> (Fig. 5). </w:t>
      </w:r>
      <w:r>
        <w:rPr>
          <w:rFonts w:ascii="Garamond" w:hAnsi="Garamond"/>
        </w:rPr>
        <w:t xml:space="preserve">Variability in spatial patterns of production align with well-documented </w:t>
      </w:r>
      <w:r w:rsidR="00186B3C">
        <w:rPr>
          <w:rFonts w:ascii="Garamond" w:hAnsi="Garamond"/>
        </w:rPr>
        <w:lastRenderedPageBreak/>
        <w:t>characteristics of</w:t>
      </w:r>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When combined with natural variability in basin-wide production patterns, this may introduce substantial variability in the population-specific effect</w:t>
      </w:r>
      <w:r w:rsidR="00637562">
        <w:rPr>
          <w:rFonts w:ascii="Garamond" w:hAnsi="Garamond"/>
        </w:rPr>
        <w:t>s</w:t>
      </w:r>
      <w:r>
        <w:rPr>
          <w:rFonts w:ascii="Garamond" w:hAnsi="Garamond"/>
        </w:rPr>
        <w:t xml:space="preserve"> of the front-end closure</w:t>
      </w:r>
      <w:r w:rsidR="00BE3061">
        <w:rPr>
          <w:rFonts w:ascii="Garamond" w:hAnsi="Garamond"/>
        </w:rPr>
        <w:t xml:space="preserve">, highlighting </w:t>
      </w:r>
      <w:r>
        <w:rPr>
          <w:rFonts w:ascii="Garamond" w:hAnsi="Garamond"/>
        </w:rPr>
        <w:t xml:space="preserve">a potential limitation of a fixed date closure and </w:t>
      </w:r>
      <w:r w:rsidR="00637562">
        <w:rPr>
          <w:rFonts w:ascii="Garamond" w:hAnsi="Garamond"/>
        </w:rPr>
        <w:t xml:space="preserve">emphasizing </w:t>
      </w:r>
      <w:r>
        <w:rPr>
          <w:rFonts w:ascii="Garamond" w:hAnsi="Garamond"/>
        </w:rPr>
        <w:t xml:space="preserve">the </w:t>
      </w:r>
      <w:r w:rsidR="00637562">
        <w:rPr>
          <w:rFonts w:ascii="Garamond" w:hAnsi="Garamond"/>
        </w:rPr>
        <w:t>challenges in</w:t>
      </w:r>
      <w:r>
        <w:rPr>
          <w:rFonts w:ascii="Garamond" w:hAnsi="Garamond"/>
        </w:rPr>
        <w:t xml:space="preserve"> managing for a dynamic ecosystem.</w:t>
      </w:r>
    </w:p>
    <w:p w14:paraId="690B8EFD" w14:textId="2C15FC46" w:rsidR="009C3FA5" w:rsidRPr="00B90CE4" w:rsidRDefault="005312E0" w:rsidP="00BE3061">
      <w:pPr>
        <w:pStyle w:val="whitespace-normal"/>
        <w:spacing w:line="480" w:lineRule="auto"/>
        <w:ind w:firstLine="720"/>
        <w:rPr>
          <w:rFonts w:ascii="Garamond" w:hAnsi="Garamond"/>
        </w:rPr>
      </w:pPr>
      <w:r>
        <w:rPr>
          <w:rFonts w:ascii="Garamond" w:hAnsi="Garamond"/>
        </w:rPr>
        <w:t xml:space="preserve"> </w:t>
      </w:r>
      <w:r w:rsidR="00B7081E" w:rsidRPr="00B7081E">
        <w:rPr>
          <w:rFonts w:ascii="Garamond" w:hAnsi="Garamond"/>
        </w:rPr>
        <w:t xml:space="preserve">In the absence of detailed information on basin-wide spatial ecology, a fixed-date closure provides a </w:t>
      </w:r>
      <w:r w:rsidR="00637562">
        <w:rPr>
          <w:rFonts w:ascii="Garamond" w:hAnsi="Garamond"/>
        </w:rPr>
        <w:t xml:space="preserve">simple and </w:t>
      </w:r>
      <w:r w:rsidR="00B7081E" w:rsidRPr="00B7081E">
        <w:rPr>
          <w:rFonts w:ascii="Garamond" w:hAnsi="Garamond"/>
        </w:rPr>
        <w:t>practical management approach that offers a predictable harvest window for fishers. The results presented here suggest that this strategy has been largely effective despite limited knowledge of population-specific migration patterns.</w:t>
      </w:r>
      <w:r w:rsidR="00BE3061">
        <w:rPr>
          <w:rFonts w:ascii="Garamond" w:hAnsi="Garamond"/>
        </w:rPr>
        <w:t xml:space="preserve"> </w:t>
      </w:r>
      <w:r w:rsidR="0065735E">
        <w:rPr>
          <w:rFonts w:ascii="Garamond" w:hAnsi="Garamond"/>
        </w:rPr>
        <w:t>However, a</w:t>
      </w:r>
      <w:r>
        <w:rPr>
          <w:rFonts w:ascii="Garamond" w:hAnsi="Garamond"/>
        </w:rPr>
        <w:t xml:space="preserve"> more dynamic closure which is responsive to predicted or observed run dynamics may provide more consistent protection to upstream populations. </w:t>
      </w:r>
      <w:r w:rsidR="00B7081E" w:rsidRPr="00B7081E">
        <w:rPr>
          <w:rFonts w:ascii="Garamond" w:hAnsi="Garamond"/>
        </w:rPr>
        <w:t xml:space="preserve">Implementing such an approach would require accurate forecasts of both the onset of the run and the relative timing of migration among subpopulations. Although </w:t>
      </w:r>
      <w:r w:rsidR="00BE3061">
        <w:rPr>
          <w:rFonts w:ascii="Garamond" w:hAnsi="Garamond"/>
        </w:rPr>
        <w:t xml:space="preserve">our </w:t>
      </w:r>
      <w:r w:rsidR="005019CE">
        <w:rPr>
          <w:rFonts w:ascii="Garamond" w:hAnsi="Garamond"/>
        </w:rPr>
        <w:t xml:space="preserve">results </w:t>
      </w:r>
      <w:r w:rsidR="005019CE" w:rsidRPr="00B7081E">
        <w:rPr>
          <w:rFonts w:ascii="Garamond" w:hAnsi="Garamond"/>
        </w:rPr>
        <w:t>indicate</w:t>
      </w:r>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closure that reliably protects a consistent proportion of these</w:t>
      </w:r>
      <w:r w:rsidR="000D5ACA">
        <w:rPr>
          <w:rFonts w:ascii="Garamond" w:hAnsi="Garamond"/>
        </w:rPr>
        <w:t xml:space="preserve"> populations</w:t>
      </w:r>
      <w:r w:rsidR="00B7081E" w:rsidRPr="00B7081E">
        <w:rPr>
          <w:rFonts w:ascii="Garamond" w:hAnsi="Garamond"/>
        </w:rPr>
        <w:t>.</w:t>
      </w:r>
      <w:r w:rsidR="004437C4">
        <w:rPr>
          <w:rFonts w:ascii="Garamond" w:hAnsi="Garamond"/>
        </w:rPr>
        <w:t xml:space="preserve"> </w:t>
      </w:r>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sidR="000D5ACA">
        <w:rPr>
          <w:rFonts w:ascii="Garamond" w:hAnsi="Garamond"/>
        </w:rPr>
        <w:t xml:space="preserve"> and a more complete understanding of </w:t>
      </w:r>
      <w:r w:rsidR="000D5ACA">
        <w:rPr>
          <w:rFonts w:ascii="Garamond" w:hAnsi="Garamond"/>
        </w:rPr>
        <w:lastRenderedPageBreak/>
        <w:t>relative timing among stocks,</w:t>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5323A12" w14:textId="2D2F7297" w:rsidR="000D5ACA" w:rsidRDefault="009C3FA5" w:rsidP="000D5ACA">
      <w:pPr>
        <w:pStyle w:val="whitespace-normal"/>
        <w:spacing w:line="480" w:lineRule="auto"/>
        <w:ind w:firstLine="720"/>
        <w:rPr>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w:t>
      </w:r>
      <w:proofErr w:type="gramStart"/>
      <w:r>
        <w:rPr>
          <w:rFonts w:ascii="Garamond" w:hAnsi="Garamond"/>
        </w:rPr>
        <w:t>run</w:t>
      </w:r>
      <w:proofErr w:type="gramEnd"/>
      <w:r>
        <w:rPr>
          <w:rFonts w:ascii="Garamond" w:hAnsi="Garamond"/>
        </w:rPr>
        <w:t xml:space="preserve"> timing was relatively late, reiterating the challenge of estimating the population specific impacts even with a longer duration closure window. In addition, management decisions must consider the dual goals of both </w:t>
      </w:r>
      <w:r w:rsidR="00637562">
        <w:rPr>
          <w:rFonts w:ascii="Garamond" w:hAnsi="Garamond"/>
        </w:rPr>
        <w:t xml:space="preserve">protecting </w:t>
      </w:r>
      <w:r>
        <w:rPr>
          <w:rFonts w:ascii="Garamond" w:hAnsi="Garamond"/>
        </w:rPr>
        <w:t xml:space="preserve">biodiversity and </w:t>
      </w:r>
      <w:r w:rsidR="00637562">
        <w:rPr>
          <w:rFonts w:ascii="Garamond" w:hAnsi="Garamond"/>
        </w:rPr>
        <w:t xml:space="preserve">providing </w:t>
      </w:r>
      <w:r>
        <w:rPr>
          <w:rFonts w:ascii="Garamond" w:hAnsi="Garamond"/>
        </w:rPr>
        <w:t>harvest opportunity. As currently implemented, the front-end closure on the Kuskokwim resulted in 12%</w:t>
      </w:r>
      <w:r w:rsidR="00B7081E">
        <w:rPr>
          <w:rFonts w:ascii="Garamond" w:hAnsi="Garamond"/>
        </w:rPr>
        <w:t xml:space="preserve"> </w:t>
      </w:r>
      <w:r w:rsidR="00B7081E" w:rsidRPr="00B7081E">
        <w:rPr>
          <w:rFonts w:ascii="Garamond" w:hAnsi="Garamond"/>
        </w:rPr>
        <w:t>(range = 4.9% - 20.3%)</w:t>
      </w:r>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r w:rsidR="00B7081E">
        <w:rPr>
          <w:rFonts w:ascii="Garamond" w:hAnsi="Garamond"/>
        </w:rPr>
        <w:t xml:space="preserve"> </w:t>
      </w:r>
      <w:r w:rsidR="00B7081E" w:rsidRPr="00B7081E">
        <w:rPr>
          <w:rFonts w:ascii="Garamond" w:hAnsi="Garamond"/>
        </w:rPr>
        <w:t>(range = 2.6% – 9.7%)</w:t>
      </w:r>
      <w:r>
        <w:rPr>
          <w:rFonts w:ascii="Garamond" w:hAnsi="Garamond"/>
        </w:rPr>
        <w:t xml:space="preserve"> and 1</w:t>
      </w:r>
      <w:r w:rsidR="00B7081E">
        <w:rPr>
          <w:rFonts w:ascii="Garamond" w:hAnsi="Garamond"/>
        </w:rPr>
        <w:t xml:space="preserve">3% </w:t>
      </w:r>
      <w:r w:rsidR="00B7081E" w:rsidRPr="00B7081E">
        <w:rPr>
          <w:rFonts w:ascii="Garamond" w:hAnsi="Garamond"/>
        </w:rPr>
        <w:t>(range = 7.0% – 19.3%)</w:t>
      </w:r>
      <w:r>
        <w:rPr>
          <w:rFonts w:ascii="Garamond" w:hAnsi="Garamond"/>
        </w:rPr>
        <w:t xml:space="preserve"> of the potential harvest falling within the closure window. </w:t>
      </w:r>
      <w:r w:rsidR="000D5ACA">
        <w:rPr>
          <w:rFonts w:ascii="Garamond" w:hAnsi="Garamond"/>
        </w:rPr>
        <w:t xml:space="preserve">These results highlight the need to evaluate the tradeoff between conservation benefit and the associated cost to harvest in the watershed. </w:t>
      </w:r>
    </w:p>
    <w:p w14:paraId="5003A478" w14:textId="53DB14E6" w:rsidR="003F1234" w:rsidRPr="00B90CE4" w:rsidRDefault="000D5ACA" w:rsidP="00B90CE4">
      <w:pPr>
        <w:pStyle w:val="whitespace-normal"/>
        <w:spacing w:line="480" w:lineRule="auto"/>
        <w:ind w:firstLine="720"/>
        <w:rPr>
          <w:rFonts w:ascii="Garamond" w:hAnsi="Garamond"/>
        </w:rPr>
      </w:pPr>
      <w:r w:rsidRPr="000D5ACA">
        <w:rPr>
          <w:rFonts w:ascii="Garamond" w:hAnsi="Garamond"/>
        </w:rPr>
        <w:t xml:space="preserve">Although </w:t>
      </w:r>
      <w:r w:rsidR="00C57048" w:rsidRPr="00B90CE4">
        <w:rPr>
          <w:rFonts w:ascii="Garamond" w:hAnsi="Garamond"/>
        </w:rPr>
        <w:t>a front-end closure appears to be an effective strategy for maintaining biodiversity in the upper watershed</w:t>
      </w:r>
      <w:r w:rsidRPr="00B90CE4">
        <w:rPr>
          <w:rFonts w:ascii="Garamond" w:hAnsi="Garamond"/>
        </w:rPr>
        <w:t xml:space="preserve">, </w:t>
      </w:r>
      <w:r w:rsidR="00C57048" w:rsidRPr="00B90CE4">
        <w:rPr>
          <w:rFonts w:ascii="Garamond" w:hAnsi="Garamond"/>
        </w:rPr>
        <w:t xml:space="preserve">the overall effectiveness of this strategy depends not only on the protection provided during the closure, but also on how the closure affects overall harvest opportunity and harvest behavior once the fishery reopens. For example, a closure which protects a large proportion </w:t>
      </w:r>
      <w:r w:rsidR="00C57048" w:rsidRPr="00B90CE4">
        <w:rPr>
          <w:rFonts w:ascii="Garamond" w:hAnsi="Garamond"/>
        </w:rPr>
        <w:lastRenderedPageBreak/>
        <w:t xml:space="preserve">of upstream stocks by prohibiting harvest on a significant portion of the run may concentrate fishing pressure on later returning stocks. As a result, this shift in the temporal distribution of fishing pressure may </w:t>
      </w:r>
      <w:r w:rsidRPr="00B90CE4">
        <w:rPr>
          <w:rFonts w:ascii="Garamond" w:hAnsi="Garamond"/>
        </w:rPr>
        <w:t xml:space="preserve">impose a greater </w:t>
      </w:r>
      <w:r w:rsidR="00C57048" w:rsidRPr="00B90CE4">
        <w:rPr>
          <w:rFonts w:ascii="Garamond" w:hAnsi="Garamond"/>
        </w:rPr>
        <w:t xml:space="preserve">impact </w:t>
      </w:r>
      <w:proofErr w:type="gramStart"/>
      <w:r w:rsidRPr="00B90CE4">
        <w:rPr>
          <w:rFonts w:ascii="Garamond" w:hAnsi="Garamond"/>
        </w:rPr>
        <w:t>to</w:t>
      </w:r>
      <w:proofErr w:type="gramEnd"/>
      <w:r w:rsidRPr="00B90CE4">
        <w:rPr>
          <w:rFonts w:ascii="Garamond" w:hAnsi="Garamond"/>
        </w:rPr>
        <w:t xml:space="preserve"> </w:t>
      </w:r>
      <w:r w:rsidR="00C57048" w:rsidRPr="00B90CE4">
        <w:rPr>
          <w:rFonts w:ascii="Garamond" w:hAnsi="Garamond"/>
        </w:rPr>
        <w:t>weak downstream stocks as compared to the same harvest pressure distributed across the full migration window</w:t>
      </w:r>
      <w:r w:rsidRPr="00B90CE4">
        <w:rPr>
          <w:rFonts w:ascii="Garamond" w:hAnsi="Garamond"/>
        </w:rPr>
        <w:t xml:space="preserve">. </w:t>
      </w:r>
      <w:r w:rsidR="00FC3951" w:rsidRPr="00B90CE4">
        <w:rPr>
          <w:rFonts w:ascii="Garamond" w:hAnsi="Garamond"/>
        </w:rPr>
        <w:t xml:space="preserve">By the same principle, reduced fishing opportunities for Chinook salmon could shift subsistence harvest effort toward other important subsistence species such as chum salmon, which return later in the season but face similar conservation concerns. </w:t>
      </w:r>
      <w:r w:rsidR="00390710" w:rsidRPr="00B90CE4">
        <w:rPr>
          <w:rFonts w:ascii="Garamond" w:hAnsi="Garamond"/>
        </w:rPr>
        <w:t>T</w:t>
      </w:r>
      <w:r w:rsidR="00C57048" w:rsidRPr="00B90CE4">
        <w:rPr>
          <w:rFonts w:ascii="Garamond" w:hAnsi="Garamond"/>
        </w:rPr>
        <w:t xml:space="preserve">he timing of the front-end closure </w:t>
      </w:r>
      <w:r w:rsidR="00390710" w:rsidRPr="00B90CE4">
        <w:rPr>
          <w:rFonts w:ascii="Garamond" w:hAnsi="Garamond"/>
        </w:rPr>
        <w:t xml:space="preserve">also </w:t>
      </w:r>
      <w:r w:rsidR="00C57048" w:rsidRPr="00B90CE4">
        <w:rPr>
          <w:rFonts w:ascii="Garamond" w:hAnsi="Garamond"/>
        </w:rPr>
        <w:t>coincides with the preferred and traditional timing of fishing for many communities in the lower Kuskokwim</w:t>
      </w:r>
      <w:r w:rsidR="00AC7FA1" w:rsidRPr="00B90CE4">
        <w:rPr>
          <w:rFonts w:ascii="Garamond" w:hAnsi="Garamond"/>
        </w:rPr>
        <w:t xml:space="preserve">, including the optimal </w:t>
      </w:r>
      <w:r w:rsidR="00FC3951" w:rsidRPr="00B90CE4">
        <w:rPr>
          <w:rFonts w:ascii="Garamond" w:hAnsi="Garamond"/>
        </w:rPr>
        <w:t>timing for drying</w:t>
      </w:r>
      <w:r w:rsidR="00AC7FA1" w:rsidRPr="00B90CE4">
        <w:rPr>
          <w:rFonts w:ascii="Garamond" w:hAnsi="Garamond"/>
        </w:rPr>
        <w:t>, processing,</w:t>
      </w:r>
      <w:r w:rsidR="00FC3951" w:rsidRPr="00B90CE4">
        <w:rPr>
          <w:rFonts w:ascii="Garamond" w:hAnsi="Garamond"/>
        </w:rPr>
        <w:t xml:space="preserve"> and preserving</w:t>
      </w:r>
      <w:r w:rsidR="00AC7FA1" w:rsidRPr="00B90CE4">
        <w:rPr>
          <w:rFonts w:ascii="Garamond" w:hAnsi="Garamond"/>
        </w:rPr>
        <w:t xml:space="preserve"> harvested</w:t>
      </w:r>
      <w:r w:rsidR="00FC3951" w:rsidRPr="00B90CE4">
        <w:rPr>
          <w:rFonts w:ascii="Garamond" w:hAnsi="Garamond"/>
        </w:rPr>
        <w:t xml:space="preserve"> fish</w:t>
      </w:r>
      <w:r w:rsidR="00AC7FA1" w:rsidRPr="00B90CE4">
        <w:rPr>
          <w:rFonts w:ascii="Garamond" w:hAnsi="Garamond"/>
        </w:rPr>
        <w:t xml:space="preserve">. </w:t>
      </w:r>
      <w:r w:rsidR="00C57048" w:rsidRPr="00B90CE4">
        <w:rPr>
          <w:rFonts w:ascii="Garamond" w:hAnsi="Garamond"/>
        </w:rPr>
        <w:t>An extended duration of this closure</w:t>
      </w:r>
      <w:r w:rsidR="00AC7FA1" w:rsidRPr="00B90CE4">
        <w:rPr>
          <w:rFonts w:ascii="Garamond" w:hAnsi="Garamond"/>
        </w:rPr>
        <w:t xml:space="preserve"> </w:t>
      </w:r>
      <w:r w:rsidRPr="00B90CE4">
        <w:rPr>
          <w:rFonts w:ascii="Garamond" w:hAnsi="Garamond"/>
        </w:rPr>
        <w:t xml:space="preserve">could </w:t>
      </w:r>
      <w:r w:rsidR="00FC3951" w:rsidRPr="00B90CE4">
        <w:rPr>
          <w:rFonts w:ascii="Garamond" w:hAnsi="Garamond"/>
        </w:rPr>
        <w:t xml:space="preserve">not only disrupt fishing </w:t>
      </w:r>
      <w:r w:rsidR="00BE5A63" w:rsidRPr="00B90CE4">
        <w:rPr>
          <w:rFonts w:ascii="Garamond" w:hAnsi="Garamond"/>
        </w:rPr>
        <w:t>opportunities</w:t>
      </w:r>
      <w:r w:rsidR="00FC3951" w:rsidRPr="00B90CE4">
        <w:rPr>
          <w:rFonts w:ascii="Garamond" w:hAnsi="Garamond"/>
        </w:rPr>
        <w:t xml:space="preserve"> by reducing the overall available harvest window but also by conflicting with the customs and traditions involved with subsistence harvest. </w:t>
      </w:r>
      <w:r w:rsidR="00C57048" w:rsidRPr="00B90CE4">
        <w:rPr>
          <w:rFonts w:ascii="Garamond" w:hAnsi="Garamond"/>
        </w:rPr>
        <w:t xml:space="preserve">The </w:t>
      </w:r>
      <w:r w:rsidR="00390710" w:rsidRPr="00B90CE4">
        <w:rPr>
          <w:rFonts w:ascii="Garamond" w:hAnsi="Garamond"/>
        </w:rPr>
        <w:t xml:space="preserve">ultimate effect </w:t>
      </w:r>
      <w:r w:rsidR="00C57048" w:rsidRPr="00B90CE4">
        <w:rPr>
          <w:rFonts w:ascii="Garamond" w:hAnsi="Garamond"/>
        </w:rPr>
        <w:t xml:space="preserve">of management strategies such as front-end closures must therefore be evaluated in the context of ecosystem, fishery, and cultural dynamics to fully understand their role in maintaining basin-wide biodiversity. </w:t>
      </w:r>
    </w:p>
    <w:p w14:paraId="3B62F4AB" w14:textId="45C2AC6F" w:rsidR="00D04B7C" w:rsidRPr="00B90CE4" w:rsidRDefault="00E46D9E" w:rsidP="00892B92">
      <w:pPr>
        <w:pStyle w:val="whitespace-normal"/>
        <w:spacing w:line="480" w:lineRule="auto"/>
        <w:ind w:firstLine="720"/>
        <w:rPr>
          <w:rFonts w:ascii="Garamond" w:eastAsiaTheme="majorEastAsia" w:hAnsi="Garamond"/>
        </w:rPr>
      </w:pPr>
      <w:r>
        <w:rPr>
          <w:rFonts w:ascii="Garamond" w:hAnsi="Garamond"/>
        </w:rPr>
        <w:t>The accuracy of otolith-based methods ha</w:t>
      </w:r>
      <w:r w:rsidR="000D5ACA">
        <w:rPr>
          <w:rFonts w:ascii="Garamond" w:hAnsi="Garamond"/>
        </w:rPr>
        <w:t>ve</w:t>
      </w:r>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and our results replicate ecological patterns which have been observed in other contexts in the basin.</w:t>
      </w:r>
      <w:r w:rsidR="00F5142E">
        <w:rPr>
          <w:rFonts w:ascii="Garamond" w:hAnsi="Garamond"/>
        </w:rPr>
        <w:t xml:space="preserve"> </w:t>
      </w:r>
      <w:r w:rsidR="005019CE" w:rsidRPr="00B90CE4">
        <w:rPr>
          <w:rFonts w:ascii="Garamond" w:hAnsi="Garamond"/>
        </w:rPr>
        <w:t>Given the number of steps in the analytical approach, methodological decisions</w:t>
      </w:r>
      <w:r w:rsidR="000D5ACA">
        <w:rPr>
          <w:rFonts w:ascii="Garamond" w:hAnsi="Garamond"/>
        </w:rPr>
        <w:t xml:space="preserve"> throughout</w:t>
      </w:r>
      <w:r w:rsidR="005019CE" w:rsidRPr="00B90CE4">
        <w:rPr>
          <w:rFonts w:ascii="Garamond" w:hAnsi="Garamond"/>
        </w:rPr>
        <w:t xml:space="preserve"> have the potential to influence the results. However, a sensitivity analysis evaluating a range of posterior probability thresholds demonstrated that the overall patterns were robust to the proportion of posterior assignment values retained (Supp. Fig. 4). Applying increasingly stringent thresholds resulted in a modest increase in the proportion of fish assigned to group two, suggest</w:t>
      </w:r>
      <w:r w:rsidR="000D5ACA">
        <w:rPr>
          <w:rFonts w:ascii="Garamond" w:hAnsi="Garamond"/>
        </w:rPr>
        <w:t>i</w:t>
      </w:r>
      <w:r w:rsidR="005019CE" w:rsidRPr="00B90CE4">
        <w:rPr>
          <w:rFonts w:ascii="Garamond" w:hAnsi="Garamond"/>
        </w:rPr>
        <w:t xml:space="preserve">ng that the results presented here provide a </w:t>
      </w:r>
      <w:r w:rsidR="00BE5A63">
        <w:rPr>
          <w:rFonts w:ascii="Garamond" w:hAnsi="Garamond"/>
        </w:rPr>
        <w:lastRenderedPageBreak/>
        <w:t>conservative</w:t>
      </w:r>
      <w:r w:rsidR="005019CE" w:rsidRPr="00B90CE4">
        <w:rPr>
          <w:rFonts w:ascii="Garamond" w:hAnsi="Garamond"/>
        </w:rPr>
        <w:t xml:space="preserve"> estimate of the degree to which the front-end closure protects fish from this group.</w:t>
      </w:r>
      <w:r w:rsidR="005019CE">
        <w:rPr>
          <w:rFonts w:ascii="Garamond" w:hAnsi="Garamond"/>
        </w:rPr>
        <w:t xml:space="preserve"> </w:t>
      </w:r>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Fonts w:ascii="Garamond" w:hAnsi="Garamond"/>
        </w:rPr>
        <w:t xml:space="preserve">The data presented here </w:t>
      </w:r>
      <w:r w:rsidR="00B90CE4">
        <w:rPr>
          <w:rFonts w:ascii="Garamond" w:hAnsi="Garamond"/>
        </w:rPr>
        <w:t>demonstrates</w:t>
      </w:r>
      <w:r>
        <w:rPr>
          <w:rFonts w:ascii="Garamond" w:hAnsi="Garamond"/>
        </w:rPr>
        <w:t xml:space="preserve"> this application for population-specific </w:t>
      </w:r>
      <w:r w:rsidR="00637562">
        <w:rPr>
          <w:rFonts w:ascii="Garamond" w:hAnsi="Garamond"/>
        </w:rPr>
        <w:t xml:space="preserve">migration </w:t>
      </w:r>
      <w:r>
        <w:rPr>
          <w:rFonts w:ascii="Garamond" w:hAnsi="Garamond"/>
        </w:rPr>
        <w:t xml:space="preserve">timing of salmon in the Kuskokwim River basin; however, this principle can be applied to </w:t>
      </w:r>
      <w:r>
        <w:rPr>
          <w:rStyle w:val="Strong"/>
          <w:rFonts w:ascii="Garamond" w:eastAsiaTheme="majorEastAsia" w:hAnsi="Garamond"/>
          <w:b w:val="0"/>
          <w:bCs w:val="0"/>
        </w:rPr>
        <w:t xml:space="preserve">multiple dimensions of inter- and intra-species variation which </w:t>
      </w:r>
      <w:proofErr w:type="gramStart"/>
      <w:r>
        <w:rPr>
          <w:rStyle w:val="Strong"/>
          <w:rFonts w:ascii="Garamond" w:eastAsiaTheme="majorEastAsia" w:hAnsi="Garamond"/>
          <w:b w:val="0"/>
          <w:bCs w:val="0"/>
        </w:rPr>
        <w:t>contribute</w:t>
      </w:r>
      <w:proofErr w:type="gramEnd"/>
      <w:r>
        <w:rPr>
          <w:rStyle w:val="Strong"/>
          <w:rFonts w:ascii="Garamond" w:eastAsiaTheme="majorEastAsia" w:hAnsi="Garamond"/>
          <w:b w:val="0"/>
          <w:bCs w:val="0"/>
        </w:rPr>
        <w:t xml:space="preserve"> to system-wide biodiversity.</w:t>
      </w:r>
      <w:r w:rsidR="00390710">
        <w:rPr>
          <w:rStyle w:val="Strong"/>
          <w:rFonts w:ascii="Garamond" w:eastAsiaTheme="majorEastAsia" w:hAnsi="Garamond"/>
          <w:b w:val="0"/>
          <w:bCs w:val="0"/>
        </w:rPr>
        <w:t xml:space="preserve"> </w:t>
      </w:r>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r w:rsidR="000D5ACA">
        <w:rPr>
          <w:rFonts w:ascii="Garamond" w:eastAsiaTheme="majorEastAsia" w:hAnsi="Garamond"/>
        </w:rPr>
        <w:t xml:space="preserve">intrapopulation diversity </w:t>
      </w:r>
      <w:r w:rsidR="002E0F45" w:rsidRPr="002E0F45">
        <w:rPr>
          <w:rFonts w:ascii="Garamond" w:eastAsiaTheme="majorEastAsia" w:hAnsi="Garamond"/>
        </w:rPr>
        <w:t>into management and conservation decisions</w:t>
      </w:r>
      <w:r w:rsidR="002E0F45" w:rsidRPr="00175DEB">
        <w:rPr>
          <w:rFonts w:ascii="Garamond" w:eastAsiaTheme="majorEastAsia" w:hAnsi="Garamond"/>
        </w:rPr>
        <w:t xml:space="preserve">. </w:t>
      </w:r>
      <w:r w:rsidR="00892B92" w:rsidRPr="00175DEB">
        <w:rPr>
          <w:rFonts w:ascii="Garamond" w:hAnsi="Garamond"/>
        </w:rPr>
        <w:t xml:space="preserve">In other salmon-bearing watersheds, such as the Sacramento River basin, similar approaches have improved understanding of the ecological role of population diversity </w:t>
      </w:r>
      <w:r w:rsidR="00861D8B">
        <w:rPr>
          <w:rFonts w:ascii="Garamond" w:hAnsi="Garamond"/>
        </w:rPr>
        <w:fldChar w:fldCharType="begin"/>
      </w:r>
      <w:r w:rsidR="00861D8B">
        <w:rPr>
          <w:rFonts w:ascii="Garamond" w:hAnsi="Garamond"/>
        </w:rPr>
        <w:instrText xml:space="preserve"> ADDIN ZOTERO_ITEM CSL_CITATION {"citationID":"LFX74zOI","properties":{"unsorted":false,"formattedCitation":"(Barnett-Johnson et al., 2008; Phillis et al., 2018; Willmes et al., 2024)","plainCitation":"(Barnett-Johnson et al., 2008; Phillis et al., 2018; Willmes et al., 2024)","noteIndex":0},"citationItems":[{"id":6735,"uris":["http://zotero.org/users/8421274/items/PLDX7FIE"],"itemData":{"id":6735,"type":"article-journal","abstract":"The inability to identify natal origins (i.e., individual rivers and hatcheries) of adult Pacific salmon in the ocean has impeded our understanding of their ocean ecology and the management of mixed-stock fisheries. Strontium isotope (87Sr : 86Sr) ratios recorded in otoliths of fall-run Chinook salmon (Oncorhynchus tshawytscha) from all major natural and hatchery spawning sites in the California Central Valley can be used as natural tags to identify natal origins with high accuracy (82%) and improved when additional otolith markers identified fish to hatchery (98%) or naturally spawned (94%) sources. A spatial baseline of 87Sr : 86Sr signatures was developed by targeting 87Sr : 86Sr within juvenile portions of otoliths accreted in natal streams and hatcheries using laser ablation and a multicollector inductively coupled plasma mass spectrometer. The availability and analyses of known-origin coded wire tagged adults provides a rare test of this technique to reconstruct early life-histories of adults (90% correct classification). By quantifying the area of watershed influenced by granitic rocks using hydrologic and geologic data layers, we explained 94% of the geographic variability in 87Sr : 86Sr in salmon otoliths. Creating a spatial map in geographic information systems relating landscape geology to Sr isotopes is a useful framework for evaluating the efficacy of Sr isotopes to track the natal origin and movement of salmonids in freshwater, estuarine, and marine environments to better understand how processes occurring in these habitats influence the growth, survival, and reproductive success of anadromous fishes.","container-title":"Limnology and Oceanography","DOI":"10.2307/40058282","journalAbbreviation":"Limnology and Oceanography","source":"ResearchGate","title":"Tracking natal origins of salmon using isotopes, otoliths, and landscape geology","volume":"53","author":[{"family":"Barnett-Johnson","given":"Rachel"},{"family":"Pearson","given":"Thomas"},{"family":"Ramos","given":"Frank"},{"family":"Grimes","given":"Churchill"},{"family":"Macfarlane","given":"Robert"}],"issued":{"date-parts":[["2008",7,1]]}}},{"id":1713,"uris":["http://zotero.org/users/8421274/items/YJZDU73I"],"itemData":{"id":1713,"type":"article-journal","abstract":"Protecting habitats for imperiled species is central to conservation efforts. However, for migratory species, identifying juvenile habitats that confer success requires tracking individuals to reproduction. Here, we used otolith strontium isotope ratios (87Sr/86Sr) to reconstruct juvenile habitat use by endangered Sacramento River winter-run Chinook salmon that survived to adulthood. The isotope data revealed that 44–65% of surviving adults reared in non-natal habitats, most of which is not designated as critical habitat under the Endangered Species Act. Juveniles entered these non-natal habitats at small sizes, yet left freshwater at a similar size to those that reared in the mainstem Sacramento River, suggesting these alternate rearing habitats provide suitable growth conditions. These findings indicate Sacramento River winter-run Chinook salmon rely on rearing habitats across a broader geographic region than previously known, potentially opening up greater restoration and conservation opportunities for species recovery.","container-title":"Biological Conservation","DOI":"10.1016/j.biocon.2017.10.023","ISSN":"0006-3207","journalAbbreviation":"Biological Conservation","language":"en","page":"358-362","source":"ScienceDirect","title":"Endangered winter-run Chinook salmon rely on diverse rearing habitats in a highly altered landscape","volume":"217","author":[{"family":"Phillis","given":"Corey C."},{"family":"Sturrock","given":"Anna M."},{"family":"Johnson","given":"Rachel C."},{"family":"Weber","given":"Peter K."}],"issued":{"date-parts":[["2018",1,1]]}}},{"id":4551,"uris":["http://zotero.org/users/8421274/items/2GXTMZHP"],"itemData":{"id":4551,"type":"article-journal","abstract":"Intraspecific biodiversity is vital for species persistence in an increasingly volatile world. By embracing methods that integrate information at different spatiotemporal scales, we can directly monitor and reconstruct changes in intraspecific biodiversity. Here we combined genetics and otolith biochronologies to describe the genotypic and phenotypic diversity of Chinook salmon (Oncorhynchus tshawytscha) in the Yuba River, California, comparing cohorts that experienced a range of hydroclimatic conditions. Yuba River salmon have been heavily impacted by habitat loss and degradation, and large influxes of unmarked hatchery fish each year have led to concern about introgression and uncertainty around the viability of its wild populations, particularly the rarer spring-run salmon. Otolith strontium isotopes showed that Yuba River origin fish represented, on average, 42% (range 7%–73%) of spawners across six return years (2009–2011, 2018–2020), with large interannual variability. The remainder of adult Chinook salmon in the river were primarily strays from the nearby Feather River hatchery, and since 2018 from the Mokelumne River hatchery. Among the Yuba-origin spawners, on average, 30% (range 14%–50%) exhibited the spring-run genotype. The Yuba-origin fish also displayed a variety of outmigration phenotypes that differed in the timing and size at which they left the Yuba river. Early-migrating fry dominated the returns (mean 59%, range 33%–89%), and their contribution rates were negatively correlated with freshwater flows. It is unlikely that fry survival rates are elevated during droughts, suggesting that this trend reflects disproportionately low survival of larger later migrating parr, smolts, and yearlings along the migratory corridor in drier years. Otolith daily increments indicated generally faster growth rates in non-natal habitats, emphasizing the importance of continuing upstream restoration efforts to improve in-river growing conditions. Together, these findings show that, despite a long history of habitat degradation and hatchery introgression, the Yuba River maintains intraspecific biodiversity that should be taken into account in future management, restoration, and reintroduction plans. The finding that genotypic spring-run are reproducing, surviving, and returning to the Yuba River every year suggests that re-establishment of an independent population is possible, although hatchery-wild interactions would need to be carefully considered. Integrating methods is critical to monitor changes in key genetic, physiological, and behavioral traits to assess population viability and resilience.","container-title":"Journal of Fish Biology","DOI":"10.1111/jfb.15847","ISSN":"1095-8649","issue":"2","language":"en","license":"© 2024 The Author(s). Journal of Fish Biology published by John Wiley &amp; Sons Ltd on behalf of Fisheries Society of the British Isles.","note":"_eprint: https://onlinelibrary.wiley.com/doi/pdf/10.1111/jfb.15847","page":"412-430","source":"Wiley Online Library","title":"Integrating otolith and genetic tools to reveal intraspecific biodiversity in a highly impacted salmon population","volume":"105","author":[{"family":"Willmes","given":"Malte"},{"family":"Sturrock","given":"Anna M."},{"family":"Cordoleani","given":"Flora"},{"family":"Hugentobler","given":"Sara"},{"family":"Meek","given":"Mariah H."},{"family":"Whitman","given":"George"},{"family":"Evans","given":"Kimberly"},{"family":"Palkovacs","given":"Eric P."},{"family":"Stauffer-Olsen","given":"Natalie J."},{"family":"Johnson","given":"Rachel C."}],"issued":{"date-parts":[["2024"]]}}}],"schema":"https://github.com/citation-style-language/schema/raw/master/csl-citation.json"} </w:instrText>
      </w:r>
      <w:r w:rsidR="00861D8B">
        <w:rPr>
          <w:rFonts w:ascii="Garamond" w:hAnsi="Garamond"/>
        </w:rPr>
        <w:fldChar w:fldCharType="separate"/>
      </w:r>
      <w:r w:rsidR="00861D8B">
        <w:rPr>
          <w:rFonts w:ascii="Garamond" w:hAnsi="Garamond"/>
          <w:noProof/>
        </w:rPr>
        <w:t>(Barnett-Johnson et al., 2008; Phillis et al., 2018; Willmes et al., 2024)</w:t>
      </w:r>
      <w:r w:rsidR="00861D8B">
        <w:rPr>
          <w:rFonts w:ascii="Garamond" w:hAnsi="Garamond"/>
        </w:rPr>
        <w:fldChar w:fldCharType="end"/>
      </w:r>
      <w:r w:rsidR="00892B92" w:rsidRPr="00175DEB">
        <w:rPr>
          <w:rFonts w:ascii="Garamond" w:hAnsi="Garamond"/>
        </w:rPr>
        <w:t xml:space="preserve">, the consequences of climate and anthropogenic change for salmon populations </w:t>
      </w:r>
      <w:r w:rsidR="00861D8B">
        <w:rPr>
          <w:rFonts w:ascii="Garamond" w:hAnsi="Garamond"/>
        </w:rPr>
        <w:fldChar w:fldCharType="begin"/>
      </w:r>
      <w:r w:rsidR="00861D8B">
        <w:rPr>
          <w:rFonts w:ascii="Garamond" w:hAnsi="Garamond"/>
        </w:rPr>
        <w:instrText xml:space="preserve"> ADDIN ZOTERO_ITEM CSL_CITATION {"citationID":"22fP5Ews","properties":{"unsorted":false,"formattedCitation":"(Sturrock et al., 2020)","plainCitation":"(Sturrock et al., 2020)","noteIndex":0},"citationItems":[{"id":2469,"uris":["http://zotero.org/users/8421274/items/F9DP5EK8"],"itemData":{"id":2469,"type":"article-journal","abstract":"Altered river flows and fragmented habitats often simplify riverine communities and favor non-native fishes, but their influence on life-history expression and survival is less clear. Here, we quantified the expression and ultimate success of diverse salmon emigration behaviors in an anthropogenically altered California river system. We analyzed two decades of Chinook salmon monitoring data to explore the influence of regulated flows on juvenile emigration phenology, abundance, and recruitment. We then followed seven cohorts into adulthood using otolith (ear stone) chemical archives to identify patterns in time- and size-selective mortality along the migratory corridor. Suppressed winter flow cues were associated with delayed emigration timing, particularly in warm, dry years, which was also when selection against late migrants was the most extreme. Lower, less variable flows were also associated with reduced juvenile and adult production, highlighting the importance of streamflow for cohort success in these southernmost populations. While most juveniles emigrated from the natal stream as fry or smolts, the survivors were dominated by the rare few that left at intermediate sizes and times, coinciding with managed flows released before extreme summer temperatures. The consistent selection against early (small) and late (large) migrants counters prevailing ecological theory that predicts different traits to be favored under varying environmental conditions. Yet, even with this weakened portfolio, maintaining a broad distribution in migration traits still increased adult production and reduced variance. In years exhibiting large fry pulses, even marginal increases in their survival would have significantly boosted recruitment. However, management actions favoring any single phenotype could have negative evolutionary and demographic consequences, potentially reducing adaptability and population stability. To recover fish populations and support viable fisheries in a warming and increasingly unpredictable climate, coordinating flow and habitat management within and among watersheds will be critical to balance trait optimization versus diversification.","container-title":"Global Change Biology","DOI":"10.1111/gcb.14896","ISSN":"1365-2486","issue":"3","language":"en","note":"_eprint: https://onlinelibrary.wiley.com/doi/pdf/10.1111/gcb.14896","page":"1235-1247","source":"Wiley Online Library","title":"Unnatural selection of salmon life histories in a modified riverscape","volume":"26","author":[{"family":"Sturrock","given":"Anna M."},{"family":"Carlson","given":"Stephanie M."},{"family":"Wikert","given":"John D."},{"family":"Heyne","given":"Tim"},{"family":"Nusslé","given":"Sébastien"},{"family":"Merz","given":"Joseph E."},{"family":"Sturrock","given":"Hugh J. W."},{"family":"Johnson","given":"Rachel C."}],"issued":{"date-parts":[["2020"]]}}}],"schema":"https://github.com/citation-style-language/schema/raw/master/csl-citation.json"} </w:instrText>
      </w:r>
      <w:r w:rsidR="00861D8B">
        <w:rPr>
          <w:rFonts w:ascii="Garamond" w:hAnsi="Garamond"/>
        </w:rPr>
        <w:fldChar w:fldCharType="separate"/>
      </w:r>
      <w:r w:rsidR="00861D8B">
        <w:rPr>
          <w:rFonts w:ascii="Garamond" w:hAnsi="Garamond"/>
          <w:noProof/>
        </w:rPr>
        <w:t>(Sturrock et al., 2020)</w:t>
      </w:r>
      <w:r w:rsidR="00861D8B">
        <w:rPr>
          <w:rFonts w:ascii="Garamond" w:hAnsi="Garamond"/>
        </w:rPr>
        <w:fldChar w:fldCharType="end"/>
      </w:r>
      <w:r w:rsidR="00892B92" w:rsidRPr="00175DEB">
        <w:rPr>
          <w:rFonts w:ascii="Garamond" w:hAnsi="Garamond"/>
        </w:rPr>
        <w:t xml:space="preserve">, and the capacity of restoration efforts to conserve distinct life-history strategies </w:t>
      </w:r>
      <w:r w:rsidR="00861D8B">
        <w:rPr>
          <w:rFonts w:ascii="Garamond" w:hAnsi="Garamond"/>
        </w:rPr>
        <w:fldChar w:fldCharType="begin"/>
      </w:r>
      <w:r w:rsidR="00861D8B">
        <w:rPr>
          <w:rFonts w:ascii="Garamond" w:hAnsi="Garamond"/>
        </w:rPr>
        <w:instrText xml:space="preserve"> ADDIN ZOTERO_ITEM CSL_CITATION {"citationID":"nKeoMJjV","properties":{"unsorted":false,"formattedCitation":"(Cordoleani et al., 2024)","plainCitation":"(Cordoleani et al., 2024)","noteIndex":0},"citationItems":[{"id":5990,"uris":["http://zotero.org/users/8421274/items/BGVZ7ZLQ"],"itemData":{"id":5990,"type":"article-journal","abstract":"Phenotypic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C."}],"issued":{"date-parts":[["2024",3]]}}}],"schema":"https://github.com/citation-style-language/schema/raw/master/csl-citation.json"} </w:instrText>
      </w:r>
      <w:r w:rsidR="00861D8B">
        <w:rPr>
          <w:rFonts w:ascii="Garamond" w:hAnsi="Garamond"/>
        </w:rPr>
        <w:fldChar w:fldCharType="separate"/>
      </w:r>
      <w:r w:rsidR="00861D8B">
        <w:rPr>
          <w:rFonts w:ascii="Garamond" w:hAnsi="Garamond"/>
          <w:noProof/>
        </w:rPr>
        <w:t>(Cordoleani et al., 2024)</w:t>
      </w:r>
      <w:r w:rsidR="00861D8B">
        <w:rPr>
          <w:rFonts w:ascii="Garamond" w:hAnsi="Garamond"/>
        </w:rPr>
        <w:fldChar w:fldCharType="end"/>
      </w:r>
      <w:r w:rsidR="00175DEB">
        <w:rPr>
          <w:rFonts w:ascii="Garamond" w:hAnsi="Garamond"/>
        </w:rPr>
        <w:t>.</w:t>
      </w:r>
      <w:r w:rsidR="00892B92">
        <w:rPr>
          <w:rFonts w:ascii="Garamond" w:eastAsiaTheme="majorEastAsia" w:hAnsi="Garamond"/>
        </w:rPr>
        <w:t xml:space="preserve"> A</w:t>
      </w:r>
      <w:r w:rsidR="005401E5">
        <w:rPr>
          <w:rFonts w:ascii="Garamond" w:eastAsiaTheme="majorEastAsia" w:hAnsi="Garamond"/>
        </w:rPr>
        <w:t xml:space="preserve">cross ecosystems and species, developing methods </w:t>
      </w:r>
      <w:r w:rsidR="002E0F45">
        <w:rPr>
          <w:rFonts w:ascii="Garamond" w:hAnsi="Garamond"/>
        </w:rPr>
        <w:t xml:space="preserve">capable </w:t>
      </w:r>
      <w:r w:rsidR="005401E5">
        <w:rPr>
          <w:rFonts w:ascii="Garamond" w:hAnsi="Garamond"/>
        </w:rPr>
        <w:t xml:space="preserve">of characterizing biodiversity at </w:t>
      </w:r>
      <w:r w:rsidR="00892B92">
        <w:rPr>
          <w:rFonts w:ascii="Garamond" w:hAnsi="Garamond"/>
        </w:rPr>
        <w:t>relevant</w:t>
      </w:r>
      <w:r w:rsidR="005401E5">
        <w:rPr>
          <w:rFonts w:ascii="Garamond" w:hAnsi="Garamond"/>
        </w:rPr>
        <w:t xml:space="preserve"> spatial scales, and </w:t>
      </w:r>
      <w:r>
        <w:rPr>
          <w:rFonts w:ascii="Garamond" w:hAnsi="Garamond"/>
        </w:rPr>
        <w:t>deploying them to better understand tradeoffs between conservation and exploitation strategies</w:t>
      </w:r>
      <w:r w:rsidR="00892B92">
        <w:rPr>
          <w:rFonts w:ascii="Garamond" w:hAnsi="Garamond"/>
        </w:rPr>
        <w:t>,</w:t>
      </w:r>
      <w:r>
        <w:rPr>
          <w:rFonts w:ascii="Garamond" w:hAnsi="Garamond"/>
        </w:rPr>
        <w:t xml:space="preserve">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3E9CACB3" w:rsidR="003525FA" w:rsidRPr="001A17C1" w:rsidRDefault="003525FA" w:rsidP="003525FA">
      <w:pPr>
        <w:ind w:firstLine="720"/>
        <w:rPr>
          <w:rFonts w:ascii="Garamond" w:hAnsi="Garamond" w:cs="Times New Roman"/>
        </w:rPr>
      </w:pPr>
      <w:r>
        <w:rPr>
          <w:rFonts w:ascii="Garamond" w:hAnsi="Garamond" w:cs="Times New Roman"/>
        </w:rPr>
        <w:t>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w:t>
      </w:r>
      <w:r w:rsidR="00637562">
        <w:rPr>
          <w:rFonts w:ascii="Garamond" w:hAnsi="Garamond" w:cs="Times New Roman"/>
        </w:rPr>
        <w:t xml:space="preserve"> and by the Kuskokwim River Intertribal Fish Commission</w:t>
      </w:r>
      <w:r>
        <w:rPr>
          <w:rFonts w:ascii="Garamond" w:hAnsi="Garamond" w:cs="Times New Roman"/>
        </w:rPr>
        <w:t xml:space="preser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w:t>
      </w:r>
      <w:r>
        <w:rPr>
          <w:rFonts w:ascii="Garamond" w:hAnsi="Garamond" w:cs="Times New Roman"/>
        </w:rPr>
        <w:lastRenderedPageBreak/>
        <w:t xml:space="preserve">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w:t>
      </w:r>
      <w:proofErr w:type="spellStart"/>
      <w:r>
        <w:rPr>
          <w:rFonts w:ascii="Garamond" w:hAnsi="Garamond" w:cs="Times New Roman"/>
        </w:rPr>
        <w:t>Esquible</w:t>
      </w:r>
      <w:proofErr w:type="spellEnd"/>
      <w:r>
        <w:rPr>
          <w:rFonts w:ascii="Garamond" w:hAnsi="Garamond" w:cs="Times New Roman"/>
        </w:rPr>
        <w:t xml:space="preserv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54DF270" w14:textId="77777777" w:rsidR="00FA25AE" w:rsidRPr="00FA25AE" w:rsidRDefault="00836381" w:rsidP="00FA25AE">
      <w:pPr>
        <w:pStyle w:val="Bibliography"/>
      </w:pPr>
      <w:r>
        <w:rPr>
          <w:rFonts w:ascii="Garamond" w:hAnsi="Garamond"/>
        </w:rPr>
        <w:fldChar w:fldCharType="begin"/>
      </w:r>
      <w:r w:rsidR="00FA25AE">
        <w:rPr>
          <w:rFonts w:ascii="Garamond" w:hAnsi="Garamond"/>
        </w:rPr>
        <w:instrText xml:space="preserve"> ADDIN ZOTERO_BIBL {"uncited":[],"omitted":[],"custom":[]} CSL_BIBLIOGRAPHY </w:instrText>
      </w:r>
      <w:r>
        <w:rPr>
          <w:rFonts w:ascii="Garamond" w:hAnsi="Garamond"/>
        </w:rPr>
        <w:fldChar w:fldCharType="separate"/>
      </w:r>
      <w:r w:rsidR="00FA25AE" w:rsidRPr="00FA25AE">
        <w:t xml:space="preserve">ADFG. (2025). </w:t>
      </w:r>
      <w:r w:rsidR="00FA25AE" w:rsidRPr="00FA25AE">
        <w:rPr>
          <w:i/>
          <w:iCs/>
        </w:rPr>
        <w:t xml:space="preserve">Kuskokwim River Area: </w:t>
      </w:r>
      <w:proofErr w:type="spellStart"/>
      <w:r w:rsidR="00FA25AE" w:rsidRPr="00FA25AE">
        <w:rPr>
          <w:i/>
          <w:iCs/>
        </w:rPr>
        <w:t>Subsistance</w:t>
      </w:r>
      <w:proofErr w:type="spellEnd"/>
      <w:r w:rsidR="00FA25AE" w:rsidRPr="00FA25AE">
        <w:rPr>
          <w:i/>
          <w:iCs/>
        </w:rPr>
        <w:t xml:space="preserve"> Fishing</w:t>
      </w:r>
      <w:r w:rsidR="00FA25AE" w:rsidRPr="00FA25AE">
        <w:t>. https://www.adfg.alaska.gov/index.cfm?adfg=ByAreaSubsistenceKuskokwim.fishingInfo</w:t>
      </w:r>
    </w:p>
    <w:p w14:paraId="7A5AA121" w14:textId="77777777" w:rsidR="00FA25AE" w:rsidRPr="00FA25AE" w:rsidRDefault="00FA25AE" w:rsidP="00FA25AE">
      <w:pPr>
        <w:pStyle w:val="Bibliography"/>
      </w:pPr>
      <w:r w:rsidRPr="00FA25AE">
        <w:t xml:space="preserve">Atlas, W. I., Sloat, M. R., Satterthwaite, W. H., </w:t>
      </w:r>
      <w:proofErr w:type="spellStart"/>
      <w:r w:rsidRPr="00FA25AE">
        <w:t>Buehrens</w:t>
      </w:r>
      <w:proofErr w:type="spellEnd"/>
      <w:r w:rsidRPr="00FA25AE">
        <w:t xml:space="preserve">, T. W., Parken, C. K., Moore, J. W., Mantua, N. J., Hart, J., &amp; Potapova, A. (2023). Trends in Chinook salmon spawner abundance and total run size highlight linkages between life history, geography and decline. </w:t>
      </w:r>
      <w:r w:rsidRPr="00FA25AE">
        <w:rPr>
          <w:i/>
          <w:iCs/>
        </w:rPr>
        <w:t>Fish and Fisheries</w:t>
      </w:r>
      <w:r w:rsidRPr="00FA25AE">
        <w:t xml:space="preserve">, </w:t>
      </w:r>
      <w:r w:rsidRPr="00FA25AE">
        <w:rPr>
          <w:i/>
          <w:iCs/>
        </w:rPr>
        <w:t>24</w:t>
      </w:r>
      <w:r w:rsidRPr="00FA25AE">
        <w:t>(4), 595–617. https://doi.org/10.1111/faf.12750</w:t>
      </w:r>
    </w:p>
    <w:p w14:paraId="01E46528" w14:textId="77777777" w:rsidR="00FA25AE" w:rsidRPr="00FA25AE" w:rsidRDefault="00FA25AE" w:rsidP="00FA25AE">
      <w:pPr>
        <w:pStyle w:val="Bibliography"/>
      </w:pPr>
      <w:r w:rsidRPr="00FA25AE">
        <w:t xml:space="preserve">Barnett-Johnson, R., Pearson, T., Ramos, F., Grimes, C., &amp; Macfarlane, R. (2008). Tracking natal origins of salmon using isotopes, otoliths, and landscape geology. </w:t>
      </w:r>
      <w:r w:rsidRPr="00FA25AE">
        <w:rPr>
          <w:i/>
          <w:iCs/>
        </w:rPr>
        <w:t>Limnology and Oceanography</w:t>
      </w:r>
      <w:r w:rsidRPr="00FA25AE">
        <w:t xml:space="preserve">, </w:t>
      </w:r>
      <w:r w:rsidRPr="00FA25AE">
        <w:rPr>
          <w:i/>
          <w:iCs/>
        </w:rPr>
        <w:t>53</w:t>
      </w:r>
      <w:r w:rsidRPr="00FA25AE">
        <w:t>. https://doi.org/10.2307/40058282</w:t>
      </w:r>
    </w:p>
    <w:p w14:paraId="32094DE1" w14:textId="77777777" w:rsidR="00FA25AE" w:rsidRPr="00FA25AE" w:rsidRDefault="00FA25AE" w:rsidP="00FA25AE">
      <w:pPr>
        <w:pStyle w:val="Bibliography"/>
      </w:pPr>
      <w:r w:rsidRPr="00FA25AE">
        <w:lastRenderedPageBreak/>
        <w:t xml:space="preserve">Bolnick, D. I., </w:t>
      </w:r>
      <w:proofErr w:type="spellStart"/>
      <w:r w:rsidRPr="00FA25AE">
        <w:t>Amarasekare</w:t>
      </w:r>
      <w:proofErr w:type="spellEnd"/>
      <w:r w:rsidRPr="00FA25AE">
        <w:t xml:space="preserve">, P., Araújo, M. S., Bürger, R., Levine, J. M., Novak, M., Rudolf, V. H. W., Schreiber, S. J., Urban, M. C., &amp; Vasseur, D. A. (2011). Why intraspecific trait variation matters in community ecology. </w:t>
      </w:r>
      <w:r w:rsidRPr="00FA25AE">
        <w:rPr>
          <w:i/>
          <w:iCs/>
        </w:rPr>
        <w:t>Trends in Ecology &amp; Evolution</w:t>
      </w:r>
      <w:r w:rsidRPr="00FA25AE">
        <w:t xml:space="preserve">, </w:t>
      </w:r>
      <w:r w:rsidRPr="00FA25AE">
        <w:rPr>
          <w:i/>
          <w:iCs/>
        </w:rPr>
        <w:t>26</w:t>
      </w:r>
      <w:r w:rsidRPr="00FA25AE">
        <w:t>(4), 183–192. https://doi.org/10.1016/j.tree.2011.01.009</w:t>
      </w:r>
    </w:p>
    <w:p w14:paraId="29FD79DF" w14:textId="77777777" w:rsidR="00FA25AE" w:rsidRPr="000F27F0" w:rsidRDefault="00FA25AE" w:rsidP="00FA25AE">
      <w:pPr>
        <w:pStyle w:val="Bibliography"/>
        <w:rPr>
          <w:lang w:val="es-ES"/>
        </w:rPr>
      </w:pPr>
      <w:r w:rsidRPr="00FA25AE">
        <w:t xml:space="preserve">Brennan, S. R., Fernandez, D. P., Zimmerman, C. E., </w:t>
      </w:r>
      <w:proofErr w:type="spellStart"/>
      <w:r w:rsidRPr="00FA25AE">
        <w:t>Cerling</w:t>
      </w:r>
      <w:proofErr w:type="spellEnd"/>
      <w:r w:rsidRPr="00FA25AE">
        <w:t xml:space="preserve">, T. E., Brown, R. J., &amp; Wooller, M. J. (2015). Strontium isotopes in otoliths of a non-migratory fish (slimy sculpin): Implications for provenance studies. </w:t>
      </w:r>
      <w:proofErr w:type="spellStart"/>
      <w:r w:rsidRPr="000F27F0">
        <w:rPr>
          <w:i/>
          <w:iCs/>
          <w:lang w:val="es-ES"/>
        </w:rPr>
        <w:t>Geochimica</w:t>
      </w:r>
      <w:proofErr w:type="spellEnd"/>
      <w:r w:rsidRPr="000F27F0">
        <w:rPr>
          <w:i/>
          <w:iCs/>
          <w:lang w:val="es-ES"/>
        </w:rPr>
        <w:t xml:space="preserve"> et </w:t>
      </w:r>
      <w:proofErr w:type="spellStart"/>
      <w:r w:rsidRPr="000F27F0">
        <w:rPr>
          <w:i/>
          <w:iCs/>
          <w:lang w:val="es-ES"/>
        </w:rPr>
        <w:t>Cosmochimica</w:t>
      </w:r>
      <w:proofErr w:type="spellEnd"/>
      <w:r w:rsidRPr="000F27F0">
        <w:rPr>
          <w:i/>
          <w:iCs/>
          <w:lang w:val="es-ES"/>
        </w:rPr>
        <w:t xml:space="preserve"> Acta</w:t>
      </w:r>
      <w:r w:rsidRPr="000F27F0">
        <w:rPr>
          <w:lang w:val="es-ES"/>
        </w:rPr>
        <w:t xml:space="preserve">, </w:t>
      </w:r>
      <w:r w:rsidRPr="000F27F0">
        <w:rPr>
          <w:i/>
          <w:iCs/>
          <w:lang w:val="es-ES"/>
        </w:rPr>
        <w:t>149</w:t>
      </w:r>
      <w:r w:rsidRPr="000F27F0">
        <w:rPr>
          <w:lang w:val="es-ES"/>
        </w:rPr>
        <w:t>, 32–45. https://doi.org/10.1016/j.gca.2014.10.032</w:t>
      </w:r>
    </w:p>
    <w:p w14:paraId="7C393547" w14:textId="77777777" w:rsidR="00FA25AE" w:rsidRPr="00FA25AE" w:rsidRDefault="00FA25AE" w:rsidP="00FA25AE">
      <w:pPr>
        <w:pStyle w:val="Bibliography"/>
      </w:pPr>
      <w:r w:rsidRPr="000F27F0">
        <w:rPr>
          <w:lang w:val="es-ES"/>
        </w:rPr>
        <w:t xml:space="preserve">Brennan, S. R., &amp; Schindler, D. E. (2017). </w:t>
      </w:r>
      <w:r w:rsidRPr="00FA25AE">
        <w:t xml:space="preserve">Linking otolith microchemistry and dendritic isoscapes to map heterogeneous production of fish across river basins. </w:t>
      </w:r>
      <w:r w:rsidRPr="00FA25AE">
        <w:rPr>
          <w:i/>
          <w:iCs/>
        </w:rPr>
        <w:t>Ecological Applications</w:t>
      </w:r>
      <w:r w:rsidRPr="00FA25AE">
        <w:t xml:space="preserve">, </w:t>
      </w:r>
      <w:r w:rsidRPr="00FA25AE">
        <w:rPr>
          <w:i/>
          <w:iCs/>
        </w:rPr>
        <w:t>27</w:t>
      </w:r>
      <w:r w:rsidRPr="00FA25AE">
        <w:t>(2), 363–377. https://doi.org/10.1002/eap.1474</w:t>
      </w:r>
    </w:p>
    <w:p w14:paraId="39BDD9C2" w14:textId="77777777" w:rsidR="00FA25AE" w:rsidRPr="00FA25AE" w:rsidRDefault="00FA25AE" w:rsidP="00FA25AE">
      <w:pPr>
        <w:pStyle w:val="Bibliography"/>
      </w:pPr>
      <w:r w:rsidRPr="00FA25AE">
        <w:t xml:space="preserve">Brennan, S. R., Schindler, D. E., Cline, T. J., Walsworth, T. E., Buck, G., &amp; Fernandez, D. P. (2019). Shifting habitat mosaics and fish production across river basins. </w:t>
      </w:r>
      <w:r w:rsidRPr="00FA25AE">
        <w:rPr>
          <w:i/>
          <w:iCs/>
        </w:rPr>
        <w:t>Science</w:t>
      </w:r>
      <w:r w:rsidRPr="00FA25AE">
        <w:t xml:space="preserve">, </w:t>
      </w:r>
      <w:r w:rsidRPr="00FA25AE">
        <w:rPr>
          <w:i/>
          <w:iCs/>
        </w:rPr>
        <w:t>364</w:t>
      </w:r>
      <w:r w:rsidRPr="00FA25AE">
        <w:t>(6442), 783–786. https://doi.org/10.1126/science.aav4313</w:t>
      </w:r>
    </w:p>
    <w:p w14:paraId="4357AFC8" w14:textId="77777777" w:rsidR="00FA25AE" w:rsidRPr="00FA25AE" w:rsidRDefault="00FA25AE" w:rsidP="00FA25AE">
      <w:pPr>
        <w:pStyle w:val="Bibliography"/>
      </w:pPr>
      <w:r w:rsidRPr="00FA25AE">
        <w:t xml:space="preserve">Brennan, S. R., Torgersen, C. E., Hollenbeck, J. P., Fernandez, D. P., Jensen, C. K., &amp; Schindler, D. E. (2016). Dendritic network models: Improving isoscapes and quantifying influence of landscape and in-stream processes on strontium isotopes in rivers. </w:t>
      </w:r>
      <w:r w:rsidRPr="00FA25AE">
        <w:rPr>
          <w:i/>
          <w:iCs/>
        </w:rPr>
        <w:t>Geophysical Research Letters</w:t>
      </w:r>
      <w:r w:rsidRPr="00FA25AE">
        <w:t xml:space="preserve">, </w:t>
      </w:r>
      <w:r w:rsidRPr="00FA25AE">
        <w:rPr>
          <w:i/>
          <w:iCs/>
        </w:rPr>
        <w:t>43</w:t>
      </w:r>
      <w:r w:rsidRPr="00FA25AE">
        <w:t>(10), 5043–5051. https://doi.org/10.1002/2016GL068904</w:t>
      </w:r>
    </w:p>
    <w:p w14:paraId="15FF705D" w14:textId="77777777" w:rsidR="00FA25AE" w:rsidRPr="00FA25AE" w:rsidRDefault="00FA25AE" w:rsidP="00FA25AE">
      <w:pPr>
        <w:pStyle w:val="Bibliography"/>
      </w:pPr>
      <w:r w:rsidRPr="00FA25AE">
        <w:t xml:space="preserve">Brennan, S. R., Zimmerman, C. E., Fernandez, D. P., Cerling, T. E., McPhee, M. V., &amp; Wooller, M. J. (2015). Strontium isotopes delineate fine-scale natal origins and migration </w:t>
      </w:r>
      <w:r w:rsidRPr="00FA25AE">
        <w:lastRenderedPageBreak/>
        <w:t xml:space="preserve">histories of Pacific salmon. </w:t>
      </w:r>
      <w:r w:rsidRPr="00FA25AE">
        <w:rPr>
          <w:i/>
          <w:iCs/>
        </w:rPr>
        <w:t>Science Advances</w:t>
      </w:r>
      <w:r w:rsidRPr="00FA25AE">
        <w:t xml:space="preserve">, </w:t>
      </w:r>
      <w:r w:rsidRPr="00FA25AE">
        <w:rPr>
          <w:i/>
          <w:iCs/>
        </w:rPr>
        <w:t>1</w:t>
      </w:r>
      <w:r w:rsidRPr="00FA25AE">
        <w:t>(4), e1400124. https://doi.org/10.1126/sciadv.1400124</w:t>
      </w:r>
    </w:p>
    <w:p w14:paraId="0386580F" w14:textId="77777777" w:rsidR="00FA25AE" w:rsidRPr="00FA25AE" w:rsidRDefault="00FA25AE" w:rsidP="00FA25AE">
      <w:pPr>
        <w:pStyle w:val="Bibliography"/>
      </w:pPr>
      <w:r w:rsidRPr="00FA25AE">
        <w:t xml:space="preserve">Brown, C. L., &amp; Godduhn, A. (2015). </w:t>
      </w:r>
      <w:r w:rsidRPr="00FA25AE">
        <w:rPr>
          <w:i/>
          <w:iCs/>
        </w:rPr>
        <w:t>Socioeconomic effects of declining salmon runs on the Yukon River</w:t>
      </w:r>
      <w:r w:rsidRPr="00FA25AE">
        <w:t>.</w:t>
      </w:r>
    </w:p>
    <w:p w14:paraId="53ECFABC" w14:textId="77777777" w:rsidR="00FA25AE" w:rsidRPr="00FA25AE" w:rsidRDefault="00FA25AE" w:rsidP="00FA25AE">
      <w:pPr>
        <w:pStyle w:val="Bibliography"/>
      </w:pPr>
      <w:r w:rsidRPr="00FA25AE">
        <w:t xml:space="preserve">Campana, S. (1999). Chemistry and composition of fish otoliths:pathways, mechanisms and applications. </w:t>
      </w:r>
      <w:r w:rsidRPr="00FA25AE">
        <w:rPr>
          <w:i/>
          <w:iCs/>
        </w:rPr>
        <w:t>Marine Ecology Progress Series</w:t>
      </w:r>
      <w:r w:rsidRPr="00FA25AE">
        <w:t xml:space="preserve">, </w:t>
      </w:r>
      <w:r w:rsidRPr="00FA25AE">
        <w:rPr>
          <w:i/>
          <w:iCs/>
        </w:rPr>
        <w:t>188</w:t>
      </w:r>
      <w:r w:rsidRPr="00FA25AE">
        <w:t>, 263–297. https://doi.org/10.3354/meps188263</w:t>
      </w:r>
    </w:p>
    <w:p w14:paraId="455BDC7B" w14:textId="77777777" w:rsidR="00FA25AE" w:rsidRPr="00FA25AE" w:rsidRDefault="00FA25AE" w:rsidP="00FA25AE">
      <w:pPr>
        <w:pStyle w:val="Bibliography"/>
      </w:pPr>
      <w:r w:rsidRPr="00FA25AE">
        <w:t xml:space="preserve">Capo, R. C., Stewart, B. W., &amp; Chadwick, O. A. (1998). Strontium isotopes as tracers of ecosystem processes: Theory and methods. </w:t>
      </w:r>
      <w:r w:rsidRPr="00FA25AE">
        <w:rPr>
          <w:i/>
          <w:iCs/>
        </w:rPr>
        <w:t>Geoderma</w:t>
      </w:r>
      <w:r w:rsidRPr="00FA25AE">
        <w:t xml:space="preserve">, </w:t>
      </w:r>
      <w:r w:rsidRPr="00FA25AE">
        <w:rPr>
          <w:i/>
          <w:iCs/>
        </w:rPr>
        <w:t>82</w:t>
      </w:r>
      <w:r w:rsidRPr="00FA25AE">
        <w:t>(1), 197–225. https://doi.org/10.1016/S0016-7061(97)00102-X</w:t>
      </w:r>
    </w:p>
    <w:p w14:paraId="702640E2" w14:textId="77777777" w:rsidR="00FA25AE" w:rsidRPr="00FA25AE" w:rsidRDefault="00FA25AE" w:rsidP="00FA25AE">
      <w:pPr>
        <w:pStyle w:val="Bibliography"/>
      </w:pPr>
      <w:r w:rsidRPr="00FA25AE">
        <w:t xml:space="preserve">Chittaro, P., Hegg, J., Fuhrman, A., Robichaux, D., Doung, R., Beckman, B., Fisher, C., Vervoort, J., &amp; Kennedy, B. (2023). The incorporation of environmentally derived 87Sr/86Sr and Sr/Ca in early otolith formation of Chinook salmon. </w:t>
      </w:r>
      <w:r w:rsidRPr="00FA25AE">
        <w:rPr>
          <w:i/>
          <w:iCs/>
        </w:rPr>
        <w:t>Ecology of Freshwater Fish</w:t>
      </w:r>
      <w:r w:rsidRPr="00FA25AE">
        <w:t xml:space="preserve">, </w:t>
      </w:r>
      <w:r w:rsidRPr="00FA25AE">
        <w:rPr>
          <w:i/>
          <w:iCs/>
        </w:rPr>
        <w:t>32</w:t>
      </w:r>
      <w:r w:rsidRPr="00FA25AE">
        <w:t>(1), 107–119. https://doi.org/10.1111/eff.12673</w:t>
      </w:r>
    </w:p>
    <w:p w14:paraId="06941504" w14:textId="77777777" w:rsidR="00FA25AE" w:rsidRPr="00FA25AE" w:rsidRDefault="00FA25AE" w:rsidP="00FA25AE">
      <w:pPr>
        <w:pStyle w:val="Bibliography"/>
      </w:pPr>
      <w:r w:rsidRPr="00FA25AE">
        <w:t xml:space="preserve">Clark, J. N., &amp; Smith, N. J. (2019). </w:t>
      </w:r>
      <w:r w:rsidRPr="00FA25AE">
        <w:rPr>
          <w:i/>
          <w:iCs/>
        </w:rPr>
        <w:t>Inriver Abundance of Kuskokwim River Chinook Salmon, 2017</w:t>
      </w:r>
      <w:r w:rsidRPr="00FA25AE">
        <w:t xml:space="preserve">. </w:t>
      </w:r>
      <w:r w:rsidRPr="00FA25AE">
        <w:rPr>
          <w:i/>
          <w:iCs/>
        </w:rPr>
        <w:t>Alaska Department of Fish and Game, Fishery Data Series No. 19-21, Anchorage.</w:t>
      </w:r>
    </w:p>
    <w:p w14:paraId="79F6F81E" w14:textId="77777777" w:rsidR="00FA25AE" w:rsidRPr="00FA25AE" w:rsidRDefault="00FA25AE" w:rsidP="00FA25AE">
      <w:pPr>
        <w:pStyle w:val="Bibliography"/>
      </w:pPr>
      <w:r w:rsidRPr="00FA25AE">
        <w:t xml:space="preserve">Clark, S. C., Tanner, T. L., Sethi, S. A., Bentley, K. T., &amp; Schindler, D. E. (2015). Migration Timing of Adult Chinook Salmon into the Togiak River, Alaska, Watershed: Is There Evidence for Stock Structure? </w:t>
      </w:r>
      <w:r w:rsidRPr="00FA25AE">
        <w:rPr>
          <w:i/>
          <w:iCs/>
        </w:rPr>
        <w:t>Transactions of the American Fisheries Society</w:t>
      </w:r>
      <w:r w:rsidRPr="00FA25AE">
        <w:t xml:space="preserve">, </w:t>
      </w:r>
      <w:r w:rsidRPr="00FA25AE">
        <w:rPr>
          <w:i/>
          <w:iCs/>
        </w:rPr>
        <w:t>144</w:t>
      </w:r>
      <w:r w:rsidRPr="00FA25AE">
        <w:t>(4), 829–836. https://doi.org/10.1080/00028487.2015.1031281</w:t>
      </w:r>
    </w:p>
    <w:p w14:paraId="1299838C" w14:textId="77777777" w:rsidR="00FA25AE" w:rsidRPr="00FA25AE" w:rsidRDefault="00FA25AE" w:rsidP="00FA25AE">
      <w:pPr>
        <w:pStyle w:val="Bibliography"/>
      </w:pPr>
      <w:r w:rsidRPr="00FA25AE">
        <w:lastRenderedPageBreak/>
        <w:t xml:space="preserve">Cline, T. J., Schindler, D. E., &amp; Hilborn, R. (2017). Fisheries portfolio diversification and turnover buffer Alaskan fishing communities from abrupt resource and market changes. </w:t>
      </w:r>
      <w:r w:rsidRPr="00FA25AE">
        <w:rPr>
          <w:i/>
          <w:iCs/>
        </w:rPr>
        <w:t>Nature Communications</w:t>
      </w:r>
      <w:r w:rsidRPr="00FA25AE">
        <w:t xml:space="preserve">, </w:t>
      </w:r>
      <w:r w:rsidRPr="00FA25AE">
        <w:rPr>
          <w:i/>
          <w:iCs/>
        </w:rPr>
        <w:t>8</w:t>
      </w:r>
      <w:r w:rsidRPr="00FA25AE">
        <w:t>(1), Article 1. https://doi.org/10.1038/ncomms14042</w:t>
      </w:r>
    </w:p>
    <w:p w14:paraId="265853E0" w14:textId="77777777" w:rsidR="00FA25AE" w:rsidRPr="00FA25AE" w:rsidRDefault="00FA25AE" w:rsidP="00FA25AE">
      <w:pPr>
        <w:pStyle w:val="Bibliography"/>
      </w:pPr>
      <w:r w:rsidRPr="00FA25AE">
        <w:t xml:space="preserve">Connors, B. M., Staton, B., Coggins, L., Walters, C., Jones, M., Gwinn, D., Catalano, M., &amp; Fleischman, S. (2020). Incorporating harvest–population diversity trade-offs into harvest policy analyses of salmon management in large river basins. </w:t>
      </w:r>
      <w:r w:rsidRPr="00FA25AE">
        <w:rPr>
          <w:i/>
          <w:iCs/>
        </w:rPr>
        <w:t>Canadian Journal of Fisheries and Aquatic Sciences</w:t>
      </w:r>
      <w:r w:rsidRPr="00FA25AE">
        <w:t xml:space="preserve">, </w:t>
      </w:r>
      <w:r w:rsidRPr="00FA25AE">
        <w:rPr>
          <w:i/>
          <w:iCs/>
        </w:rPr>
        <w:t>77</w:t>
      </w:r>
      <w:r w:rsidRPr="00FA25AE">
        <w:t>(6), 1076–1089. https://doi.org/10.1139/cjfas-2019-0282</w:t>
      </w:r>
    </w:p>
    <w:p w14:paraId="25966CD4" w14:textId="77777777" w:rsidR="00FA25AE" w:rsidRPr="00FA25AE" w:rsidRDefault="00FA25AE" w:rsidP="00FA25AE">
      <w:pPr>
        <w:pStyle w:val="Bibliography"/>
      </w:pPr>
      <w:r w:rsidRPr="00FA25AE">
        <w:t xml:space="preserve">Cordoleani, F., Phillis, C. C., Sturrock, A. M., Willmes, M., Whitman, G., Holmes, E., Weber, P. K., Jeffres, C., &amp; Johnson, R. C. (2024). Restoring freshwater habitat mosaics to promote resilience of vulnerable salmon populations. </w:t>
      </w:r>
      <w:r w:rsidRPr="00FA25AE">
        <w:rPr>
          <w:i/>
          <w:iCs/>
        </w:rPr>
        <w:t>Ecosphere</w:t>
      </w:r>
      <w:r w:rsidRPr="00FA25AE">
        <w:t xml:space="preserve">, </w:t>
      </w:r>
      <w:r w:rsidRPr="00FA25AE">
        <w:rPr>
          <w:i/>
          <w:iCs/>
        </w:rPr>
        <w:t>15</w:t>
      </w:r>
      <w:r w:rsidRPr="00FA25AE">
        <w:t>(3), e4803. https://doi.org/10.1002/ecs2.4803</w:t>
      </w:r>
    </w:p>
    <w:p w14:paraId="16D9BA30" w14:textId="77777777" w:rsidR="00FA25AE" w:rsidRPr="00FA25AE" w:rsidRDefault="00FA25AE" w:rsidP="00FA25AE">
      <w:pPr>
        <w:pStyle w:val="Bibliography"/>
      </w:pPr>
      <w:r w:rsidRPr="00FA25AE">
        <w:t xml:space="preserve">Donohoe, C. J., &amp; Zimmerman, C. E. (2010). A method of mounting multiple otoliths for beam-based microchemical analyses. </w:t>
      </w:r>
      <w:r w:rsidRPr="00FA25AE">
        <w:rPr>
          <w:i/>
          <w:iCs/>
        </w:rPr>
        <w:t>Environmental Biology of Fishes</w:t>
      </w:r>
      <w:r w:rsidRPr="00FA25AE">
        <w:t xml:space="preserve">, </w:t>
      </w:r>
      <w:r w:rsidRPr="00FA25AE">
        <w:rPr>
          <w:i/>
          <w:iCs/>
        </w:rPr>
        <w:t>89</w:t>
      </w:r>
      <w:r w:rsidRPr="00FA25AE">
        <w:t>(3), 473–477. https://doi.org/10.1007/s10641-010-9680-3</w:t>
      </w:r>
    </w:p>
    <w:p w14:paraId="39C88D9E" w14:textId="77777777" w:rsidR="00FA25AE" w:rsidRPr="00FA25AE" w:rsidRDefault="00FA25AE" w:rsidP="00FA25AE">
      <w:pPr>
        <w:pStyle w:val="Bibliography"/>
      </w:pPr>
      <w:r w:rsidRPr="00FA25AE">
        <w:t xml:space="preserve">Falke, &amp; Paul. (2025). </w:t>
      </w:r>
      <w:r w:rsidRPr="00FA25AE">
        <w:rPr>
          <w:i/>
          <w:iCs/>
        </w:rPr>
        <w:t>Stream Attributes and Habitat Intrinsic Potential Model Results to examine Freshwater Habitat Potential for Chinook Salmon in the Yukon and Kuskokwim River Basins, Alaska</w:t>
      </w:r>
      <w:r w:rsidRPr="00FA25AE">
        <w:t xml:space="preserve"> [Csv,xml,shp]. U.S. Geological Survey. https://doi.org/10.5066/P95AV4JO</w:t>
      </w:r>
    </w:p>
    <w:p w14:paraId="5DEDB97E" w14:textId="77777777" w:rsidR="00FA25AE" w:rsidRPr="00FA25AE" w:rsidRDefault="00FA25AE" w:rsidP="00FA25AE">
      <w:pPr>
        <w:pStyle w:val="Bibliography"/>
      </w:pPr>
      <w:r w:rsidRPr="00FA25AE">
        <w:t xml:space="preserve">French, D. W., Schindler, D. E., Brennan, S. R., &amp; Whited, D. (2020). Headwater Catchments Govern Biogeochemistry in America’s Largest Free-Flowing River Network. </w:t>
      </w:r>
      <w:r w:rsidRPr="00FA25AE">
        <w:rPr>
          <w:i/>
          <w:iCs/>
        </w:rPr>
        <w:t xml:space="preserve">Journal of </w:t>
      </w:r>
      <w:r w:rsidRPr="00FA25AE">
        <w:rPr>
          <w:i/>
          <w:iCs/>
        </w:rPr>
        <w:lastRenderedPageBreak/>
        <w:t>Geophysical Research: Biogeosciences</w:t>
      </w:r>
      <w:r w:rsidRPr="00FA25AE">
        <w:t xml:space="preserve">, </w:t>
      </w:r>
      <w:r w:rsidRPr="00FA25AE">
        <w:rPr>
          <w:i/>
          <w:iCs/>
        </w:rPr>
        <w:t>125</w:t>
      </w:r>
      <w:r w:rsidRPr="00FA25AE">
        <w:t>(12), e2020JG005851. https://doi.org/10.1029/2020JG005851</w:t>
      </w:r>
    </w:p>
    <w:p w14:paraId="03F2017A" w14:textId="77777777" w:rsidR="00FA25AE" w:rsidRPr="00FA25AE" w:rsidRDefault="00FA25AE" w:rsidP="00FA25AE">
      <w:pPr>
        <w:pStyle w:val="Bibliography"/>
      </w:pPr>
      <w:r w:rsidRPr="00FA25AE">
        <w:t xml:space="preserve">Griffiths, J. R., Schindler, D. E., Armstrong, J. B., Scheuerell, M. D., Whited, D. C., Clark, R. A., Hilborn, R., Holt, C. A., Lindley, S. T., Stanford, J. A., &amp; Volk, E. C. (2014). Performance of salmon fishery portfolios across western North America. </w:t>
      </w:r>
      <w:r w:rsidRPr="00FA25AE">
        <w:rPr>
          <w:i/>
          <w:iCs/>
        </w:rPr>
        <w:t>JOURNAL OF APPLIED ECOLOGY</w:t>
      </w:r>
      <w:r w:rsidRPr="00FA25AE">
        <w:t xml:space="preserve">, </w:t>
      </w:r>
      <w:r w:rsidRPr="00FA25AE">
        <w:rPr>
          <w:i/>
          <w:iCs/>
        </w:rPr>
        <w:t>51</w:t>
      </w:r>
      <w:r w:rsidRPr="00FA25AE">
        <w:t>(6), 1554–1563. https://doi.org/10.1111/1365-2664.12341</w:t>
      </w:r>
    </w:p>
    <w:p w14:paraId="762F4B9B" w14:textId="77777777" w:rsidR="00FA25AE" w:rsidRPr="00FA25AE" w:rsidRDefault="00FA25AE" w:rsidP="00FA25AE">
      <w:pPr>
        <w:pStyle w:val="Bibliography"/>
      </w:pPr>
      <w:r w:rsidRPr="00FA25AE">
        <w:t xml:space="preserve">Hamazaki, T. (2008). “When people argue about fish, the fish disappear.” </w:t>
      </w:r>
      <w:r w:rsidRPr="00FA25AE">
        <w:rPr>
          <w:i/>
          <w:iCs/>
        </w:rPr>
        <w:t>Fisheries</w:t>
      </w:r>
      <w:r w:rsidRPr="00FA25AE">
        <w:t xml:space="preserve">, </w:t>
      </w:r>
      <w:r w:rsidRPr="00FA25AE">
        <w:rPr>
          <w:i/>
          <w:iCs/>
        </w:rPr>
        <w:t>33</w:t>
      </w:r>
      <w:r w:rsidRPr="00FA25AE">
        <w:t>(10), 495–501. https://doi.org/10.1577/1548-8446-33.10.495</w:t>
      </w:r>
    </w:p>
    <w:p w14:paraId="0F74728C" w14:textId="77777777" w:rsidR="00FA25AE" w:rsidRPr="00FA25AE" w:rsidRDefault="00FA25AE" w:rsidP="00FA25AE">
      <w:pPr>
        <w:pStyle w:val="Bibliography"/>
      </w:pPr>
      <w:r w:rsidRPr="00FA25AE">
        <w:t xml:space="preserve">Head, J. M., Smith, N. J., &amp; Liller, Z. W. (2017). </w:t>
      </w:r>
      <w:r w:rsidRPr="00FA25AE">
        <w:rPr>
          <w:i/>
          <w:iCs/>
        </w:rPr>
        <w:t>Inriver abundance of Kuskokwim River Chinook salmon, 2014.</w:t>
      </w:r>
      <w:r w:rsidRPr="00FA25AE">
        <w:t xml:space="preserve"> (Alaska Department of Fish and Game, Fishery Data Series No. 17-23, Anchorage.).</w:t>
      </w:r>
    </w:p>
    <w:p w14:paraId="015B144B" w14:textId="77777777" w:rsidR="00FA25AE" w:rsidRPr="00FA25AE" w:rsidRDefault="00FA25AE" w:rsidP="00FA25AE">
      <w:pPr>
        <w:pStyle w:val="Bibliography"/>
      </w:pPr>
      <w:r w:rsidRPr="00FA25AE">
        <w:t xml:space="preserve">Hilborn, R., Quinn, T. P., Schindler, D. E., &amp; Rogers, D. E. (2003). Biocomplexity and fisheries sustainability. </w:t>
      </w:r>
      <w:r w:rsidRPr="00FA25AE">
        <w:rPr>
          <w:i/>
          <w:iCs/>
        </w:rPr>
        <w:t>Proceedings of the National Academy of Sciences</w:t>
      </w:r>
      <w:r w:rsidRPr="00FA25AE">
        <w:t xml:space="preserve">, </w:t>
      </w:r>
      <w:r w:rsidRPr="00FA25AE">
        <w:rPr>
          <w:i/>
          <w:iCs/>
        </w:rPr>
        <w:t>100</w:t>
      </w:r>
      <w:r w:rsidRPr="00FA25AE">
        <w:t>(11), 6564–6568. https://doi.org/10.1073/pnas.1037274100</w:t>
      </w:r>
    </w:p>
    <w:p w14:paraId="1E2633E6" w14:textId="77777777" w:rsidR="00FA25AE" w:rsidRPr="00FA25AE" w:rsidRDefault="00FA25AE" w:rsidP="00FA25AE">
      <w:pPr>
        <w:pStyle w:val="Bibliography"/>
      </w:pPr>
      <w:r w:rsidRPr="00FA25AE">
        <w:t xml:space="preserve">Kennedy, B. P., Blum, J. D., Folt, C. L., &amp; Nislow, K. H. (2000). Using natural strontium isotopic signatures as fish markers: Methodology and application. </w:t>
      </w:r>
      <w:r w:rsidRPr="00FA25AE">
        <w:rPr>
          <w:i/>
          <w:iCs/>
        </w:rPr>
        <w:t>Canadian Journal of Fisheries and Aquatic Sciences</w:t>
      </w:r>
      <w:r w:rsidRPr="00FA25AE">
        <w:t xml:space="preserve">, </w:t>
      </w:r>
      <w:r w:rsidRPr="00FA25AE">
        <w:rPr>
          <w:i/>
          <w:iCs/>
        </w:rPr>
        <w:t>57</w:t>
      </w:r>
      <w:r w:rsidRPr="00FA25AE">
        <w:t>(11), 2280–2292. https://doi.org/10.1139/f00-206</w:t>
      </w:r>
    </w:p>
    <w:p w14:paraId="3AA1D04E" w14:textId="77777777" w:rsidR="00FA25AE" w:rsidRPr="00FA25AE" w:rsidRDefault="00FA25AE" w:rsidP="00FA25AE">
      <w:pPr>
        <w:pStyle w:val="Bibliography"/>
      </w:pPr>
      <w:r w:rsidRPr="00FA25AE">
        <w:t xml:space="preserve">KRITFC. (2024). </w:t>
      </w:r>
      <w:r w:rsidRPr="00FA25AE">
        <w:rPr>
          <w:i/>
          <w:iCs/>
        </w:rPr>
        <w:t>Kuskokwim River Salmon Situation Report</w:t>
      </w:r>
      <w:r w:rsidRPr="00FA25AE">
        <w:t>. https://static1.squarespace.com/static/5afdc3d5e74940913f78773d/t/66e4bb2dfcc5d24880434ff7/1726266166559/2023+Kusko+Situation+Report_4.19.24+final.pdf</w:t>
      </w:r>
    </w:p>
    <w:p w14:paraId="6CC105D4" w14:textId="77777777" w:rsidR="00FA25AE" w:rsidRPr="00FA25AE" w:rsidRDefault="00FA25AE" w:rsidP="00FA25AE">
      <w:pPr>
        <w:pStyle w:val="Bibliography"/>
      </w:pPr>
      <w:r w:rsidRPr="00FA25AE">
        <w:lastRenderedPageBreak/>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sidRPr="00FA25AE">
        <w:rPr>
          <w:i/>
          <w:iCs/>
        </w:rPr>
        <w:t>Fish and Fisheries</w:t>
      </w:r>
      <w:r w:rsidRPr="00FA25AE">
        <w:t xml:space="preserve">, </w:t>
      </w:r>
      <w:r w:rsidRPr="00FA25AE">
        <w:rPr>
          <w:i/>
          <w:iCs/>
        </w:rPr>
        <w:t>26</w:t>
      </w:r>
      <w:r w:rsidRPr="00FA25AE">
        <w:t>(4), 520–532. https://doi.org/10.1111/faf.12895</w:t>
      </w:r>
    </w:p>
    <w:p w14:paraId="4409952B" w14:textId="77777777" w:rsidR="00FA25AE" w:rsidRPr="00FA25AE" w:rsidRDefault="00FA25AE" w:rsidP="00FA25AE">
      <w:pPr>
        <w:pStyle w:val="Bibliography"/>
      </w:pPr>
      <w:r w:rsidRPr="00FA25AE">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FA25AE">
        <w:rPr>
          <w:i/>
          <w:iCs/>
        </w:rPr>
        <w:t>Fish and Fisheries</w:t>
      </w:r>
      <w:r w:rsidRPr="00FA25AE">
        <w:t xml:space="preserve">, </w:t>
      </w:r>
      <w:r w:rsidRPr="00FA25AE">
        <w:rPr>
          <w:i/>
          <w:iCs/>
        </w:rPr>
        <w:t>n/a</w:t>
      </w:r>
      <w:r w:rsidRPr="00FA25AE">
        <w:t>(n/a). https://doi.org/10.1111/faf.12895</w:t>
      </w:r>
    </w:p>
    <w:p w14:paraId="3EAC75E7" w14:textId="77777777" w:rsidR="00FA25AE" w:rsidRPr="00FA25AE" w:rsidRDefault="00FA25AE" w:rsidP="00FA25AE">
      <w:pPr>
        <w:pStyle w:val="Bibliography"/>
      </w:pPr>
      <w:r w:rsidRPr="00FA25AE">
        <w:t xml:space="preserve">Larson, W. A., Seeb, J. E., Pascal, C. E., Templin, W. D., &amp; Seeb, L. W. (2014). Single-nucleotide polymorphisms (SNPs) identified through genotyping-by-sequencing improve genetic stock identification of Chinook salmon ( </w:t>
      </w:r>
      <w:r w:rsidRPr="00FA25AE">
        <w:rPr>
          <w:i/>
          <w:iCs/>
        </w:rPr>
        <w:t>Oncorhynchus tshawytscha</w:t>
      </w:r>
      <w:r w:rsidRPr="00FA25AE">
        <w:t xml:space="preserve"> ) from western Alaska. </w:t>
      </w:r>
      <w:r w:rsidRPr="00FA25AE">
        <w:rPr>
          <w:i/>
          <w:iCs/>
        </w:rPr>
        <w:t>Canadian Journal of Fisheries and Aquatic Sciences</w:t>
      </w:r>
      <w:r w:rsidRPr="00FA25AE">
        <w:t xml:space="preserve">, </w:t>
      </w:r>
      <w:r w:rsidRPr="00FA25AE">
        <w:rPr>
          <w:i/>
          <w:iCs/>
        </w:rPr>
        <w:t>71</w:t>
      </w:r>
      <w:r w:rsidRPr="00FA25AE">
        <w:t>(5), 698–708. https://doi.org/10.1139/cjfas-2013-0502</w:t>
      </w:r>
    </w:p>
    <w:p w14:paraId="7933EC3E" w14:textId="77777777" w:rsidR="00FA25AE" w:rsidRPr="00FA25AE" w:rsidRDefault="00FA25AE" w:rsidP="00FA25AE">
      <w:pPr>
        <w:pStyle w:val="Bibliography"/>
      </w:pPr>
      <w:r w:rsidRPr="00FA25AE">
        <w:t xml:space="preserve">Lipka, C., &amp; Elison, T. (2015). </w:t>
      </w:r>
      <w:r w:rsidRPr="00FA25AE">
        <w:rPr>
          <w:i/>
          <w:iCs/>
        </w:rPr>
        <w:t>Characterization of the 2012 and 2013 salmon runs in the Kuskokwim River based on the test fishery at Bethel.</w:t>
      </w:r>
      <w:r w:rsidRPr="00FA25AE">
        <w:t xml:space="preserve"> (Fishery Data Series No. 16-06 Anchorage). Alaska Department of Fish and Game.</w:t>
      </w:r>
    </w:p>
    <w:p w14:paraId="57FAF1BF" w14:textId="77777777" w:rsidR="00FA25AE" w:rsidRPr="00FA25AE" w:rsidRDefault="00FA25AE" w:rsidP="00FA25AE">
      <w:pPr>
        <w:pStyle w:val="Bibliography"/>
      </w:pPr>
      <w:r w:rsidRPr="00FA25AE">
        <w:t xml:space="preserve">Luck, G., Daily, G., &amp; Ehrlich, P. (2003). Population diversity and ecosystem services. </w:t>
      </w:r>
      <w:r w:rsidRPr="00FA25AE">
        <w:rPr>
          <w:i/>
          <w:iCs/>
        </w:rPr>
        <w:t>Trends in Ecology &amp; Evolution</w:t>
      </w:r>
      <w:r w:rsidRPr="00FA25AE">
        <w:t xml:space="preserve">, </w:t>
      </w:r>
      <w:r w:rsidRPr="00FA25AE">
        <w:rPr>
          <w:i/>
          <w:iCs/>
        </w:rPr>
        <w:t>18</w:t>
      </w:r>
      <w:r w:rsidRPr="00FA25AE">
        <w:t>, 331–336. https://doi.org/10.1016/S0169-5347(03)00100-9</w:t>
      </w:r>
    </w:p>
    <w:p w14:paraId="51190387" w14:textId="77777777" w:rsidR="00FA25AE" w:rsidRPr="00FA25AE" w:rsidRDefault="00FA25AE" w:rsidP="00FA25AE">
      <w:pPr>
        <w:pStyle w:val="Bibliography"/>
      </w:pPr>
      <w:r w:rsidRPr="00FA25AE">
        <w:lastRenderedPageBreak/>
        <w:t xml:space="preserve">Makhlouf, B., Cline, T. J., Fernandez, D., Seeb, L., Lee, E., Gilk-Baumer, S., Whited, D., Zimmerman, C. E., &amp; Schindler, D. E. (2025). Combining genetic and isotope frameworks improves reconstruction of fish provenance across riverscapes. </w:t>
      </w:r>
      <w:r w:rsidRPr="00FA25AE">
        <w:rPr>
          <w:i/>
          <w:iCs/>
        </w:rPr>
        <w:t>Limnology and Oceanography Letters</w:t>
      </w:r>
      <w:r w:rsidRPr="00FA25AE">
        <w:t xml:space="preserve">, </w:t>
      </w:r>
      <w:r w:rsidRPr="00FA25AE">
        <w:rPr>
          <w:i/>
          <w:iCs/>
        </w:rPr>
        <w:t>n/a</w:t>
      </w:r>
      <w:r w:rsidRPr="00FA25AE">
        <w:t>(n/a). https://doi.org/10.1002/lol2.70025</w:t>
      </w:r>
    </w:p>
    <w:p w14:paraId="47A93566" w14:textId="77777777" w:rsidR="00FA25AE" w:rsidRPr="00FA25AE" w:rsidRDefault="00FA25AE" w:rsidP="00FA25AE">
      <w:pPr>
        <w:pStyle w:val="Bibliography"/>
      </w:pPr>
      <w:r w:rsidRPr="00FA25AE">
        <w:t xml:space="preserve">Mikow, E. H., Retherford, B., Runfola, D. M., &amp; Gonazalez, D. (2019). </w:t>
      </w:r>
      <w:r w:rsidRPr="00FA25AE">
        <w:rPr>
          <w:i/>
          <w:iCs/>
        </w:rPr>
        <w:t>Local traditional knowledge of salmon freshwater ecology in the middle and upper Kuskokwim River, Alaska Department of Fish and Game: Division of Subsistance, Anchorage Alaska TP-450</w:t>
      </w:r>
      <w:r w:rsidRPr="00FA25AE">
        <w:t>.</w:t>
      </w:r>
    </w:p>
    <w:p w14:paraId="41725E59" w14:textId="77777777" w:rsidR="00FA25AE" w:rsidRPr="00FA25AE" w:rsidRDefault="00FA25AE" w:rsidP="00FA25AE">
      <w:pPr>
        <w:pStyle w:val="Bibliography"/>
      </w:pPr>
      <w:r w:rsidRPr="00FA25AE">
        <w:t xml:space="preserve">Moore, J. W., Connors, B. M., &amp; Hodgson, E. E. (2021). Conservation risks and portfolio effects in mixed-stock fisheries. </w:t>
      </w:r>
      <w:r w:rsidRPr="00FA25AE">
        <w:rPr>
          <w:i/>
          <w:iCs/>
        </w:rPr>
        <w:t>Fish and Fisheries</w:t>
      </w:r>
      <w:r w:rsidRPr="00FA25AE">
        <w:t xml:space="preserve">, </w:t>
      </w:r>
      <w:r w:rsidRPr="00FA25AE">
        <w:rPr>
          <w:i/>
          <w:iCs/>
        </w:rPr>
        <w:t>22</w:t>
      </w:r>
      <w:r w:rsidRPr="00FA25AE">
        <w:t>(5), 1024–1040. https://doi.org/10.1111/faf.12567</w:t>
      </w:r>
    </w:p>
    <w:p w14:paraId="5B9A636F" w14:textId="77777777" w:rsidR="00FA25AE" w:rsidRPr="00FA25AE" w:rsidRDefault="00FA25AE" w:rsidP="00FA25AE">
      <w:pPr>
        <w:pStyle w:val="Bibliography"/>
      </w:pPr>
      <w:r w:rsidRPr="00FA25AE">
        <w:t xml:space="preserve">Mundy, P. R. (1982). Computation of Migratory Timing Statistics for Adult Chinook Salmon in the Yukon River, Alaska, and Their Relevance to Fisheries Management. </w:t>
      </w:r>
      <w:r w:rsidRPr="00FA25AE">
        <w:rPr>
          <w:i/>
          <w:iCs/>
        </w:rPr>
        <w:t>North American Journal of Fisheries Management</w:t>
      </w:r>
      <w:r w:rsidRPr="00FA25AE">
        <w:t xml:space="preserve">, </w:t>
      </w:r>
      <w:r w:rsidRPr="00FA25AE">
        <w:rPr>
          <w:i/>
          <w:iCs/>
        </w:rPr>
        <w:t>2</w:t>
      </w:r>
      <w:r w:rsidRPr="00FA25AE">
        <w:t>(4), 359–370. https://doi.org/10.1577/1548-8659(1982)2%3C359:COMTSF%3E2.0.CO;2</w:t>
      </w:r>
    </w:p>
    <w:p w14:paraId="4CE570C4" w14:textId="77777777" w:rsidR="00FA25AE" w:rsidRPr="00FA25AE" w:rsidRDefault="00FA25AE" w:rsidP="00FA25AE">
      <w:pPr>
        <w:pStyle w:val="Bibliography"/>
      </w:pPr>
      <w:r w:rsidRPr="00FA25AE">
        <w:t xml:space="preserve">Nesbitt, H. K., &amp; Moore, J. W. (2016). Species and population diversity in Pacific salmon fisheries underpin indigenous food security. </w:t>
      </w:r>
      <w:r w:rsidRPr="00FA25AE">
        <w:rPr>
          <w:i/>
          <w:iCs/>
        </w:rPr>
        <w:t>Journal of Applied Ecology</w:t>
      </w:r>
      <w:r w:rsidRPr="00FA25AE">
        <w:t xml:space="preserve">, </w:t>
      </w:r>
      <w:r w:rsidRPr="00FA25AE">
        <w:rPr>
          <w:i/>
          <w:iCs/>
        </w:rPr>
        <w:t>53</w:t>
      </w:r>
      <w:r w:rsidRPr="00FA25AE">
        <w:t>(5), 1489–1499. https://doi.org/10.1111/1365-2664.12717</w:t>
      </w:r>
    </w:p>
    <w:p w14:paraId="1923E812" w14:textId="77777777" w:rsidR="00FA25AE" w:rsidRPr="00FA25AE" w:rsidRDefault="00FA25AE" w:rsidP="00FA25AE">
      <w:pPr>
        <w:pStyle w:val="Bibliography"/>
      </w:pPr>
      <w:r w:rsidRPr="00FA25AE">
        <w:t xml:space="preserve">Ohlberger, J., Ward, E. J., Schindler, D. E., &amp; Lewis, B. (2018). Demographic changes in Chinook salmon across the Northeast Pacific Ocean. </w:t>
      </w:r>
      <w:r w:rsidRPr="00FA25AE">
        <w:rPr>
          <w:i/>
          <w:iCs/>
        </w:rPr>
        <w:t>Fish and Fisheries</w:t>
      </w:r>
      <w:r w:rsidRPr="00FA25AE">
        <w:t xml:space="preserve">, </w:t>
      </w:r>
      <w:r w:rsidRPr="00FA25AE">
        <w:rPr>
          <w:i/>
          <w:iCs/>
        </w:rPr>
        <w:t>19</w:t>
      </w:r>
      <w:r w:rsidRPr="00FA25AE">
        <w:t>(3), 533–546. https://doi.org/10.1111/faf.12272</w:t>
      </w:r>
    </w:p>
    <w:p w14:paraId="118ABE5A" w14:textId="77777777" w:rsidR="00FA25AE" w:rsidRPr="00FA25AE" w:rsidRDefault="00FA25AE" w:rsidP="00FA25AE">
      <w:pPr>
        <w:pStyle w:val="Bibliography"/>
      </w:pPr>
      <w:r w:rsidRPr="00FA25AE">
        <w:lastRenderedPageBreak/>
        <w:t xml:space="preserve">Phillis, C. C., Sturrock, A. M., Johnson, R. C., &amp; Weber, P. K. (2018). Endangered winter-run Chinook salmon rely on diverse rearing habitats in a highly altered landscape. </w:t>
      </w:r>
      <w:r w:rsidRPr="00FA25AE">
        <w:rPr>
          <w:i/>
          <w:iCs/>
        </w:rPr>
        <w:t>Biological Conservation</w:t>
      </w:r>
      <w:r w:rsidRPr="00FA25AE">
        <w:t xml:space="preserve">, </w:t>
      </w:r>
      <w:r w:rsidRPr="00FA25AE">
        <w:rPr>
          <w:i/>
          <w:iCs/>
        </w:rPr>
        <w:t>217</w:t>
      </w:r>
      <w:r w:rsidRPr="00FA25AE">
        <w:t>, 358–362. https://doi.org/10.1016/j.biocon.2017.10.023</w:t>
      </w:r>
    </w:p>
    <w:p w14:paraId="12B544EF" w14:textId="77777777" w:rsidR="00FA25AE" w:rsidRPr="00FA25AE" w:rsidRDefault="00FA25AE" w:rsidP="00FA25AE">
      <w:pPr>
        <w:pStyle w:val="Bibliography"/>
      </w:pPr>
      <w:r w:rsidRPr="00FA25AE">
        <w:t xml:space="preserve">Quinn, T. P. (2018). </w:t>
      </w:r>
      <w:r w:rsidRPr="00FA25AE">
        <w:rPr>
          <w:i/>
          <w:iCs/>
        </w:rPr>
        <w:t>The Behavior and Ecology of Pacific Salmon and Trout</w:t>
      </w:r>
      <w:r w:rsidRPr="00FA25AE">
        <w:t>. American Fisheries Society, University of Washington Press.</w:t>
      </w:r>
    </w:p>
    <w:p w14:paraId="4F224E2E" w14:textId="77777777" w:rsidR="00FA25AE" w:rsidRPr="00FA25AE" w:rsidRDefault="00FA25AE" w:rsidP="00FA25AE">
      <w:pPr>
        <w:pStyle w:val="Bibliography"/>
      </w:pPr>
      <w:r w:rsidRPr="00FA25AE">
        <w:t xml:space="preserve">Schaberg, K. L., Liller, Z. W., Molyneaux, B. G., Bue, B. G., &amp; Stuby, L. (2012). </w:t>
      </w:r>
      <w:r w:rsidRPr="00FA25AE">
        <w:rPr>
          <w:i/>
          <w:iCs/>
        </w:rPr>
        <w:t>Estimates of total annual return of Chinook salmon to the Kuskokwim River, 2002–2007. Alaska Department of Fish and Game, Fishery Data Series No. 12-36, Anchorage.</w:t>
      </w:r>
    </w:p>
    <w:p w14:paraId="721E0DE1" w14:textId="77777777" w:rsidR="00FA25AE" w:rsidRPr="00FA25AE" w:rsidRDefault="00FA25AE" w:rsidP="00FA25AE">
      <w:pPr>
        <w:pStyle w:val="Bibliography"/>
      </w:pPr>
      <w:r w:rsidRPr="00FA25AE">
        <w:t xml:space="preserve">Schindler, D. E., Armstrong, J. B., &amp; Reed, T. E. (2015). The portfolio concept in ecology and evolution. </w:t>
      </w:r>
      <w:r w:rsidRPr="00FA25AE">
        <w:rPr>
          <w:i/>
          <w:iCs/>
        </w:rPr>
        <w:t>Frontiers in Ecology and the Environment</w:t>
      </w:r>
      <w:r w:rsidRPr="00FA25AE">
        <w:t xml:space="preserve">, </w:t>
      </w:r>
      <w:r w:rsidRPr="00FA25AE">
        <w:rPr>
          <w:i/>
          <w:iCs/>
        </w:rPr>
        <w:t>13</w:t>
      </w:r>
      <w:r w:rsidRPr="00FA25AE">
        <w:t>(5), 257–263.</w:t>
      </w:r>
    </w:p>
    <w:p w14:paraId="06076269" w14:textId="77777777" w:rsidR="00FA25AE" w:rsidRPr="000F27F0" w:rsidRDefault="00FA25AE" w:rsidP="00FA25AE">
      <w:pPr>
        <w:pStyle w:val="Bibliography"/>
        <w:rPr>
          <w:lang w:val="fr-FR"/>
        </w:rPr>
      </w:pPr>
      <w:r w:rsidRPr="00FA25AE">
        <w:t xml:space="preserve">Schindler, D. E., Hilborn, R., Chasco, B., Boatright, C. P., Quinn, T. P., Rogers, L. A., &amp; Webster, M. S. (2010). Population diversity and the portfolio effect in an exploited species. </w:t>
      </w:r>
      <w:r w:rsidRPr="000F27F0">
        <w:rPr>
          <w:i/>
          <w:iCs/>
          <w:lang w:val="fr-FR"/>
        </w:rPr>
        <w:t>Nature</w:t>
      </w:r>
      <w:r w:rsidRPr="000F27F0">
        <w:rPr>
          <w:lang w:val="fr-FR"/>
        </w:rPr>
        <w:t xml:space="preserve">, </w:t>
      </w:r>
      <w:r w:rsidRPr="000F27F0">
        <w:rPr>
          <w:i/>
          <w:iCs/>
          <w:lang w:val="fr-FR"/>
        </w:rPr>
        <w:t>465</w:t>
      </w:r>
      <w:r w:rsidRPr="000F27F0">
        <w:rPr>
          <w:lang w:val="fr-FR"/>
        </w:rPr>
        <w:t>(7298). https://doi.org/https://doi-org.prox.lib.ncsu.edu/10.1038/nature09060</w:t>
      </w:r>
    </w:p>
    <w:p w14:paraId="6456F863" w14:textId="77777777" w:rsidR="00FA25AE" w:rsidRPr="00FA25AE" w:rsidRDefault="00FA25AE" w:rsidP="00FA25AE">
      <w:pPr>
        <w:pStyle w:val="Bibliography"/>
      </w:pPr>
      <w:r w:rsidRPr="00FA25AE">
        <w:t xml:space="preserve">Smith, N. J., &amp; Liller, Z. W. (2017a). </w:t>
      </w:r>
      <w:r w:rsidRPr="00FA25AE">
        <w:rPr>
          <w:i/>
          <w:iCs/>
        </w:rPr>
        <w:t>Inriver abundance and migration characteristics of Kuskokwim River Chinook salmon, 2015.</w:t>
      </w:r>
      <w:r w:rsidRPr="00FA25AE">
        <w:t xml:space="preserve"> (Alaska Department of Fish and Game, Fishery Data Series No. 17-22, Anchorage.).</w:t>
      </w:r>
    </w:p>
    <w:p w14:paraId="7783C82D" w14:textId="77777777" w:rsidR="00FA25AE" w:rsidRPr="00FA25AE" w:rsidRDefault="00FA25AE" w:rsidP="00FA25AE">
      <w:pPr>
        <w:pStyle w:val="Bibliography"/>
      </w:pPr>
      <w:r w:rsidRPr="00FA25AE">
        <w:t xml:space="preserve">Smith, N. J., &amp; Liller, Z. W. (2017b). </w:t>
      </w:r>
      <w:r w:rsidRPr="00FA25AE">
        <w:rPr>
          <w:i/>
          <w:iCs/>
        </w:rPr>
        <w:t>Inriver abundance and migration characteristics of Kuskokwim River Chinook salmon, 2016.</w:t>
      </w:r>
      <w:r w:rsidRPr="00FA25AE">
        <w:t xml:space="preserve"> </w:t>
      </w:r>
      <w:r w:rsidRPr="00FA25AE">
        <w:rPr>
          <w:i/>
          <w:iCs/>
        </w:rPr>
        <w:t>Alaska Department of Fish and Game, Fishery Data Series No. 17-47, Anchorage.</w:t>
      </w:r>
    </w:p>
    <w:p w14:paraId="15A35ADD" w14:textId="77777777" w:rsidR="00FA25AE" w:rsidRPr="00FA25AE" w:rsidRDefault="00FA25AE" w:rsidP="00FA25AE">
      <w:pPr>
        <w:pStyle w:val="Bibliography"/>
      </w:pPr>
      <w:r w:rsidRPr="000F27F0">
        <w:rPr>
          <w:lang w:val="es-ES"/>
        </w:rPr>
        <w:lastRenderedPageBreak/>
        <w:t xml:space="preserve">Staton, B. A., Catalano, M. J., Farmer, T. M., Abebe, A., &amp; Dobson, F. S. (2017). </w:t>
      </w:r>
      <w:r w:rsidRPr="00FA25AE">
        <w:t xml:space="preserve">Development and evaluation of a migration timing forecast model for Kuskokwim River Chinook salmon. </w:t>
      </w:r>
      <w:r w:rsidRPr="00FA25AE">
        <w:rPr>
          <w:i/>
          <w:iCs/>
        </w:rPr>
        <w:t>Fisheries Research</w:t>
      </w:r>
      <w:r w:rsidRPr="00FA25AE">
        <w:t xml:space="preserve">, </w:t>
      </w:r>
      <w:r w:rsidRPr="00FA25AE">
        <w:rPr>
          <w:i/>
          <w:iCs/>
        </w:rPr>
        <w:t>194</w:t>
      </w:r>
      <w:r w:rsidRPr="00FA25AE">
        <w:t>, 9–21. https://doi.org/10.1016/j.fishres.2017.05.003</w:t>
      </w:r>
    </w:p>
    <w:p w14:paraId="36E19525" w14:textId="77777777" w:rsidR="00FA25AE" w:rsidRPr="00FA25AE" w:rsidRDefault="00FA25AE" w:rsidP="00FA25AE">
      <w:pPr>
        <w:pStyle w:val="Bibliography"/>
      </w:pPr>
      <w:r w:rsidRPr="00FA25AE">
        <w:t xml:space="preserve">Stuby, L. (2007). </w:t>
      </w:r>
      <w:r w:rsidRPr="00FA25AE">
        <w:rPr>
          <w:i/>
          <w:iCs/>
        </w:rPr>
        <w:t>Inriver abundance of Chinook salmon in the Kuskokwim River, 2002-2006. Alaska Department of Fish and Game, Fishery Data Series No. 07-93, Anchorage.</w:t>
      </w:r>
    </w:p>
    <w:p w14:paraId="07238383" w14:textId="77777777" w:rsidR="00FA25AE" w:rsidRPr="00FA25AE" w:rsidRDefault="00FA25AE" w:rsidP="00FA25AE">
      <w:pPr>
        <w:pStyle w:val="Bibliography"/>
      </w:pPr>
      <w:r w:rsidRPr="00FA25AE">
        <w:t xml:space="preserve">Sturrock, A. M., Carlson, S. M., Wikert, J. D., Heyne, T., Nusslé, S., Merz, J. E., Sturrock, H. J. W., &amp; Johnson, R. C. (2020). Unnatural selection of salmon life histories in a modified riverscape. </w:t>
      </w:r>
      <w:r w:rsidRPr="00FA25AE">
        <w:rPr>
          <w:i/>
          <w:iCs/>
        </w:rPr>
        <w:t>Global Change Biology</w:t>
      </w:r>
      <w:r w:rsidRPr="00FA25AE">
        <w:t xml:space="preserve">, </w:t>
      </w:r>
      <w:r w:rsidRPr="00FA25AE">
        <w:rPr>
          <w:i/>
          <w:iCs/>
        </w:rPr>
        <w:t>26</w:t>
      </w:r>
      <w:r w:rsidRPr="00FA25AE">
        <w:t>(3), 1235–1247. https://doi.org/10.1111/gcb.14896</w:t>
      </w:r>
    </w:p>
    <w:p w14:paraId="7878EE9C" w14:textId="77777777" w:rsidR="00FA25AE" w:rsidRPr="00FA25AE" w:rsidRDefault="00FA25AE" w:rsidP="00FA25AE">
      <w:pPr>
        <w:pStyle w:val="Bibliography"/>
      </w:pPr>
      <w:r w:rsidRPr="00FA25AE">
        <w:t xml:space="preserve">Tiernan, A., &amp; Poetter, A. (2015). </w:t>
      </w:r>
      <w:r w:rsidRPr="00FA25AE">
        <w:rPr>
          <w:i/>
          <w:iCs/>
        </w:rPr>
        <w:t>013 Kuskokwim area management report. Alaska Departmentof Fish and Game, Fishery Management Report No. 15-46, Anchorage.</w:t>
      </w:r>
    </w:p>
    <w:p w14:paraId="5266D573" w14:textId="77777777" w:rsidR="00FA25AE" w:rsidRPr="00FA25AE" w:rsidRDefault="00FA25AE" w:rsidP="00FA25AE">
      <w:pPr>
        <w:pStyle w:val="Bibliography"/>
      </w:pPr>
      <w:r w:rsidRPr="00FA25AE">
        <w:t xml:space="preserve">Tilman, D., Polasky, S., &amp; Lehman, C. (2005). Diversity, productivity and temporal stability in the economies of humans and nature. </w:t>
      </w:r>
      <w:r w:rsidRPr="00FA25AE">
        <w:rPr>
          <w:i/>
          <w:iCs/>
        </w:rPr>
        <w:t>Journal of Environmental Economics and Management</w:t>
      </w:r>
      <w:r w:rsidRPr="00FA25AE">
        <w:t xml:space="preserve">, </w:t>
      </w:r>
      <w:r w:rsidRPr="00FA25AE">
        <w:rPr>
          <w:i/>
          <w:iCs/>
        </w:rPr>
        <w:t>49</w:t>
      </w:r>
      <w:r w:rsidRPr="00FA25AE">
        <w:t>(3), 405–426. https://doi.org/10.1016/j.jeem.2004.03.008</w:t>
      </w:r>
    </w:p>
    <w:p w14:paraId="4E178381" w14:textId="77777777" w:rsidR="00FA25AE" w:rsidRPr="00FA25AE" w:rsidRDefault="00FA25AE" w:rsidP="00FA25AE">
      <w:pPr>
        <w:pStyle w:val="Bibliography"/>
      </w:pPr>
      <w:r w:rsidRPr="00FA25AE">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FA25AE">
        <w:rPr>
          <w:i/>
          <w:iCs/>
        </w:rPr>
        <w:t>Ecological Applications</w:t>
      </w:r>
      <w:r w:rsidRPr="00FA25AE">
        <w:t xml:space="preserve">, </w:t>
      </w:r>
      <w:r w:rsidRPr="00FA25AE">
        <w:rPr>
          <w:i/>
          <w:iCs/>
        </w:rPr>
        <w:t>25</w:t>
      </w:r>
      <w:r w:rsidRPr="00FA25AE">
        <w:t>(2), 320–335. https://doi.org/10.1890/14-0581.1</w:t>
      </w:r>
    </w:p>
    <w:p w14:paraId="771CC6D3" w14:textId="77777777" w:rsidR="00FA25AE" w:rsidRPr="00FA25AE" w:rsidRDefault="00FA25AE" w:rsidP="00FA25AE">
      <w:pPr>
        <w:pStyle w:val="Bibliography"/>
      </w:pPr>
      <w:r w:rsidRPr="00FA25AE">
        <w:lastRenderedPageBreak/>
        <w:t xml:space="preserve">Ver Hoef, J. M., &amp; Peterson, E. E. (2010). A Moving Average Approach for Spatial Statistical Models of Stream Networks. </w:t>
      </w:r>
      <w:r w:rsidRPr="00FA25AE">
        <w:rPr>
          <w:i/>
          <w:iCs/>
        </w:rPr>
        <w:t>Journal of the American Statistical Association</w:t>
      </w:r>
      <w:r w:rsidRPr="00FA25AE">
        <w:t xml:space="preserve">, </w:t>
      </w:r>
      <w:r w:rsidRPr="00FA25AE">
        <w:rPr>
          <w:i/>
          <w:iCs/>
        </w:rPr>
        <w:t>105</w:t>
      </w:r>
      <w:r w:rsidRPr="00FA25AE">
        <w:t>(489), 6–18. https://doi.org/10.1198/jasa.2009.ap08248</w:t>
      </w:r>
    </w:p>
    <w:p w14:paraId="26047A20" w14:textId="77777777" w:rsidR="00FA25AE" w:rsidRPr="00FA25AE" w:rsidRDefault="00FA25AE" w:rsidP="00FA25AE">
      <w:pPr>
        <w:pStyle w:val="Bibliography"/>
      </w:pPr>
      <w:r w:rsidRPr="00FA25AE">
        <w:t xml:space="preserve">Willmes, M., Sturrock, A. M., Cordoleani, F., Hugentobler, S., Meek, M. H., Whitman, G., Evans, K., Palkovacs, E. P., Stauffer-Olsen, N. J., &amp; Johnson, R. C. (2024). Integrating otolith and genetic tools to reveal intraspecific biodiversity in a highly impacted salmon population. </w:t>
      </w:r>
      <w:r w:rsidRPr="00FA25AE">
        <w:rPr>
          <w:i/>
          <w:iCs/>
        </w:rPr>
        <w:t>Journal of Fish Biology</w:t>
      </w:r>
      <w:r w:rsidRPr="00FA25AE">
        <w:t xml:space="preserve">, </w:t>
      </w:r>
      <w:r w:rsidRPr="00FA25AE">
        <w:rPr>
          <w:i/>
          <w:iCs/>
        </w:rPr>
        <w:t>105</w:t>
      </w:r>
      <w:r w:rsidRPr="00FA25AE">
        <w:t>(2), 412–430. https://doi.org/10.1111/jfb.15847</w:t>
      </w:r>
    </w:p>
    <w:p w14:paraId="14CDDFA4" w14:textId="77777777" w:rsidR="00FA25AE" w:rsidRPr="00FA25AE" w:rsidRDefault="00FA25AE" w:rsidP="00FA25AE">
      <w:pPr>
        <w:pStyle w:val="Bibliography"/>
      </w:pPr>
      <w:r w:rsidRPr="00FA25AE">
        <w:t xml:space="preserve">Wunder, M. B. (2010). Using Isoscapes to Model Probability Surfaces for Determining Geographic Origins. In J. B. West, G. J. Bowen, T. E. Dawson, &amp; K. P. Tu (Eds.), </w:t>
      </w:r>
      <w:r w:rsidRPr="00FA25AE">
        <w:rPr>
          <w:i/>
          <w:iCs/>
        </w:rPr>
        <w:t>Isoscapes</w:t>
      </w:r>
      <w:r w:rsidRPr="00FA25AE">
        <w:t xml:space="preserve"> (pp. 251–270). Springer Netherlands. https://doi.org/10.1007/978-90-481-3354-3_12</w:t>
      </w:r>
    </w:p>
    <w:p w14:paraId="39094B07" w14:textId="77777777" w:rsidR="00FA25AE" w:rsidRPr="00FA25AE" w:rsidRDefault="00FA25AE" w:rsidP="00FA25AE">
      <w:pPr>
        <w:pStyle w:val="Bibliography"/>
      </w:pPr>
      <w:r w:rsidRPr="00FA25AE">
        <w:t xml:space="preserve">Zimmerman, C. E., &amp; Reeves, G. H. (2002). Identification of Steelhead and Resident Rainbow Trout Progeny in the Deschutes River, Oregon, Revealed with Otolith Microchemistry. </w:t>
      </w:r>
      <w:r w:rsidRPr="00FA25AE">
        <w:rPr>
          <w:i/>
          <w:iCs/>
        </w:rPr>
        <w:t>Transactions of the American Fisheries Society</w:t>
      </w:r>
      <w:r w:rsidRPr="00FA25AE">
        <w:t xml:space="preserve">, </w:t>
      </w:r>
      <w:r w:rsidRPr="00FA25AE">
        <w:rPr>
          <w:i/>
          <w:iCs/>
        </w:rPr>
        <w:t>131</w:t>
      </w:r>
      <w:r w:rsidRPr="00FA25AE">
        <w:t>(5), 986–993. https://doi.org/10.1577/1548-8659(2002)131%3C0986:IOSARR%3E2.0.CO;2</w:t>
      </w:r>
    </w:p>
    <w:p w14:paraId="3EBAB241" w14:textId="34902B14" w:rsidR="00BF42AB" w:rsidRPr="00821884" w:rsidRDefault="00836381" w:rsidP="00FA25AE">
      <w:pPr>
        <w:pStyle w:val="Bibliography"/>
        <w:rPr>
          <w:rFonts w:ascii="Garamond" w:hAnsi="Garamond"/>
        </w:rPr>
      </w:pPr>
      <w:r>
        <w:rPr>
          <w:rFonts w:ascii="Garamond" w:hAnsi="Garamond"/>
        </w:rPr>
        <w:fldChar w:fldCharType="end"/>
      </w:r>
    </w:p>
    <w:sectPr w:rsidR="00BF42AB" w:rsidRPr="00821884" w:rsidSect="004712C9">
      <w:headerReference w:type="default" r:id="rId9"/>
      <w:footerReference w:type="even" r:id="rId10"/>
      <w:footerReference w:type="default" r:id="rId11"/>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77D25" w14:textId="77777777" w:rsidR="00E63682" w:rsidRDefault="00E63682">
      <w:pPr>
        <w:spacing w:after="0" w:line="240" w:lineRule="auto"/>
      </w:pPr>
      <w:r>
        <w:separator/>
      </w:r>
    </w:p>
  </w:endnote>
  <w:endnote w:type="continuationSeparator" w:id="0">
    <w:p w14:paraId="2354B41A" w14:textId="77777777" w:rsidR="00E63682" w:rsidRDefault="00E63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B7122" w14:textId="77777777" w:rsidR="00E63682" w:rsidRDefault="00E63682">
      <w:pPr>
        <w:spacing w:after="0" w:line="240" w:lineRule="auto"/>
      </w:pPr>
      <w:r>
        <w:separator/>
      </w:r>
    </w:p>
  </w:footnote>
  <w:footnote w:type="continuationSeparator" w:id="0">
    <w:p w14:paraId="732E63CE" w14:textId="77777777" w:rsidR="00E63682" w:rsidRDefault="00E636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E1B66"/>
    <w:rsid w:val="000E5E9C"/>
    <w:rsid w:val="000F083A"/>
    <w:rsid w:val="000F27F0"/>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5DEB"/>
    <w:rsid w:val="00176511"/>
    <w:rsid w:val="001844EB"/>
    <w:rsid w:val="00186B3C"/>
    <w:rsid w:val="00190B2C"/>
    <w:rsid w:val="0019169F"/>
    <w:rsid w:val="00197965"/>
    <w:rsid w:val="001A05A3"/>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2F5388"/>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DC3"/>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B674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6B8"/>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1D91"/>
    <w:rsid w:val="00612B95"/>
    <w:rsid w:val="00617B67"/>
    <w:rsid w:val="00617C63"/>
    <w:rsid w:val="00625357"/>
    <w:rsid w:val="006314EE"/>
    <w:rsid w:val="00631AAA"/>
    <w:rsid w:val="006357BB"/>
    <w:rsid w:val="0063598A"/>
    <w:rsid w:val="0063694A"/>
    <w:rsid w:val="00636B84"/>
    <w:rsid w:val="00636BF3"/>
    <w:rsid w:val="00636C9F"/>
    <w:rsid w:val="00637562"/>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067F"/>
    <w:rsid w:val="00682611"/>
    <w:rsid w:val="00684CAF"/>
    <w:rsid w:val="00687F38"/>
    <w:rsid w:val="00691BBC"/>
    <w:rsid w:val="00691F38"/>
    <w:rsid w:val="00693A39"/>
    <w:rsid w:val="006A2A72"/>
    <w:rsid w:val="006A4011"/>
    <w:rsid w:val="006A798F"/>
    <w:rsid w:val="006B1D97"/>
    <w:rsid w:val="006B418B"/>
    <w:rsid w:val="006B5AB0"/>
    <w:rsid w:val="006B75B5"/>
    <w:rsid w:val="006C395C"/>
    <w:rsid w:val="006C531D"/>
    <w:rsid w:val="006C663B"/>
    <w:rsid w:val="006C6CB7"/>
    <w:rsid w:val="006D11D3"/>
    <w:rsid w:val="006D6AEE"/>
    <w:rsid w:val="006E1BBC"/>
    <w:rsid w:val="006E5473"/>
    <w:rsid w:val="006F5657"/>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63A3E"/>
    <w:rsid w:val="007708F4"/>
    <w:rsid w:val="00772AC1"/>
    <w:rsid w:val="00780305"/>
    <w:rsid w:val="007878C0"/>
    <w:rsid w:val="00793B30"/>
    <w:rsid w:val="007A07BC"/>
    <w:rsid w:val="007A1D0A"/>
    <w:rsid w:val="007B1069"/>
    <w:rsid w:val="007B17D6"/>
    <w:rsid w:val="007B2EDA"/>
    <w:rsid w:val="007B5F9F"/>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CF2"/>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1D8B"/>
    <w:rsid w:val="00863C27"/>
    <w:rsid w:val="008730BC"/>
    <w:rsid w:val="0087708A"/>
    <w:rsid w:val="00881286"/>
    <w:rsid w:val="0088327B"/>
    <w:rsid w:val="0088451D"/>
    <w:rsid w:val="00885296"/>
    <w:rsid w:val="0088664E"/>
    <w:rsid w:val="008872F5"/>
    <w:rsid w:val="00891B6F"/>
    <w:rsid w:val="00892B92"/>
    <w:rsid w:val="00893125"/>
    <w:rsid w:val="008948AB"/>
    <w:rsid w:val="00895ED8"/>
    <w:rsid w:val="00895FC7"/>
    <w:rsid w:val="008970CF"/>
    <w:rsid w:val="008A2F58"/>
    <w:rsid w:val="008A6C66"/>
    <w:rsid w:val="008A7376"/>
    <w:rsid w:val="008B0A5A"/>
    <w:rsid w:val="008B1FF4"/>
    <w:rsid w:val="008B3EA1"/>
    <w:rsid w:val="008B64EE"/>
    <w:rsid w:val="008B6684"/>
    <w:rsid w:val="008C03AF"/>
    <w:rsid w:val="008C378F"/>
    <w:rsid w:val="008C65D7"/>
    <w:rsid w:val="008D1422"/>
    <w:rsid w:val="008D1B8A"/>
    <w:rsid w:val="008D39D2"/>
    <w:rsid w:val="008E0323"/>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58C2"/>
    <w:rsid w:val="00B76340"/>
    <w:rsid w:val="00B8483E"/>
    <w:rsid w:val="00B857E3"/>
    <w:rsid w:val="00B90CE4"/>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E5A63"/>
    <w:rsid w:val="00BF0A1A"/>
    <w:rsid w:val="00BF0C62"/>
    <w:rsid w:val="00BF307A"/>
    <w:rsid w:val="00BF42AB"/>
    <w:rsid w:val="00C013DD"/>
    <w:rsid w:val="00C107EA"/>
    <w:rsid w:val="00C10AF2"/>
    <w:rsid w:val="00C162F5"/>
    <w:rsid w:val="00C1704A"/>
    <w:rsid w:val="00C247A1"/>
    <w:rsid w:val="00C26378"/>
    <w:rsid w:val="00C271AE"/>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72EC6"/>
    <w:rsid w:val="00C77775"/>
    <w:rsid w:val="00C83BD0"/>
    <w:rsid w:val="00C83BF2"/>
    <w:rsid w:val="00C92AB0"/>
    <w:rsid w:val="00C93CB2"/>
    <w:rsid w:val="00C93DD5"/>
    <w:rsid w:val="00C95028"/>
    <w:rsid w:val="00C9741A"/>
    <w:rsid w:val="00C97C2C"/>
    <w:rsid w:val="00CA262D"/>
    <w:rsid w:val="00CA6AF1"/>
    <w:rsid w:val="00CA7EEC"/>
    <w:rsid w:val="00CB2EEB"/>
    <w:rsid w:val="00CB3C24"/>
    <w:rsid w:val="00CB4B76"/>
    <w:rsid w:val="00CC053E"/>
    <w:rsid w:val="00CC09EC"/>
    <w:rsid w:val="00CC2AB4"/>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68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3CC0"/>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682"/>
    <w:rsid w:val="00E6389A"/>
    <w:rsid w:val="00E66931"/>
    <w:rsid w:val="00E671EF"/>
    <w:rsid w:val="00E67672"/>
    <w:rsid w:val="00E70E77"/>
    <w:rsid w:val="00E71272"/>
    <w:rsid w:val="00E719E1"/>
    <w:rsid w:val="00E76334"/>
    <w:rsid w:val="00E8171A"/>
    <w:rsid w:val="00E82540"/>
    <w:rsid w:val="00E82AC1"/>
    <w:rsid w:val="00E84029"/>
    <w:rsid w:val="00E85535"/>
    <w:rsid w:val="00E86789"/>
    <w:rsid w:val="00E86934"/>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03A6"/>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25AE"/>
    <w:rsid w:val="00FA31FC"/>
    <w:rsid w:val="00FA379B"/>
    <w:rsid w:val="00FA738D"/>
    <w:rsid w:val="00FA76AC"/>
    <w:rsid w:val="00FA7C12"/>
    <w:rsid w:val="00FB261B"/>
    <w:rsid w:val="00FB2B74"/>
    <w:rsid w:val="00FB33D7"/>
    <w:rsid w:val="00FB3E37"/>
    <w:rsid w:val="00FB565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31940</Words>
  <Characters>182061</Characters>
  <Application>Microsoft Office Word</Application>
  <DocSecurity>0</DocSecurity>
  <Lines>1517</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cp:lastPrinted>2026-03-10T22:36:00Z</cp:lastPrinted>
  <dcterms:created xsi:type="dcterms:W3CDTF">2026-07-17T21:41:00Z</dcterms:created>
  <dcterms:modified xsi:type="dcterms:W3CDTF">2026-07-17T21:42:00Z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