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1312A" w14:textId="77777777" w:rsidR="00793A52" w:rsidRPr="00793A52" w:rsidRDefault="00793A52" w:rsidP="00793A52">
      <w:r w:rsidRPr="00793A52">
        <w:t xml:space="preserve">Otolith Laser Ablation Analysis was performed over several years at the Strontium Isotope Lab, Dept. of Geology and Geophysics, University of Utah. All otoliths for a given river/year combination were analyzed together over the course of multiple months. For the most part, datasets were analyzed in corresponding temporal order; meaning sample sets were processed in the order of the year they were collected, generally a year or so after the collection occurred. </w:t>
      </w:r>
    </w:p>
    <w:p w14:paraId="4BB81E27" w14:textId="77777777" w:rsidR="00793A52" w:rsidRPr="00793A52" w:rsidRDefault="00793A52" w:rsidP="00793A52">
      <w:r w:rsidRPr="00793A52">
        <w:rPr>
          <w:vertAlign w:val="superscript"/>
        </w:rPr>
        <w:t>87</w:t>
      </w:r>
      <w:r w:rsidRPr="00793A52">
        <w:t>Sr/</w:t>
      </w:r>
      <w:r w:rsidRPr="00793A52">
        <w:rPr>
          <w:vertAlign w:val="superscript"/>
        </w:rPr>
        <w:t>86</w:t>
      </w:r>
      <w:r w:rsidRPr="00793A52">
        <w:t xml:space="preserve">Sr in otolith sections mounted on slides, about 200-300 mm thick, were measured along a transect from the core to the marine outer section using a laser ablation system (Analyte G2 until 2016, Excite, Teledyne Photon Machines thereafter) using a </w:t>
      </w:r>
      <w:proofErr w:type="spellStart"/>
      <w:r w:rsidRPr="00793A52">
        <w:t>a</w:t>
      </w:r>
      <w:proofErr w:type="spellEnd"/>
      <w:r w:rsidRPr="00793A52">
        <w:t xml:space="preserve"> laser beam size of 65 mm, a fluence of 2.82 J.cm</w:t>
      </w:r>
      <w:r w:rsidRPr="00793A52">
        <w:rPr>
          <w:vertAlign w:val="superscript"/>
        </w:rPr>
        <w:t>-2</w:t>
      </w:r>
      <w:r w:rsidRPr="00793A52">
        <w:t>, and a scanning speed of 2 mm.sec</w:t>
      </w:r>
      <w:r w:rsidRPr="00793A52">
        <w:rPr>
          <w:vertAlign w:val="superscript"/>
        </w:rPr>
        <w:t>-</w:t>
      </w:r>
      <w:proofErr w:type="gramStart"/>
      <w:r w:rsidRPr="00793A52">
        <w:rPr>
          <w:vertAlign w:val="superscript"/>
        </w:rPr>
        <w:t xml:space="preserve">1 </w:t>
      </w:r>
      <w:r w:rsidRPr="00793A52">
        <w:t>.</w:t>
      </w:r>
      <w:proofErr w:type="gramEnd"/>
      <w:r w:rsidRPr="00793A52">
        <w:t xml:space="preserve"> </w:t>
      </w:r>
      <w:r w:rsidRPr="00793A52">
        <w:rPr>
          <w:vertAlign w:val="superscript"/>
        </w:rPr>
        <w:t>87</w:t>
      </w:r>
      <w:r w:rsidRPr="00793A52">
        <w:t>Sr/</w:t>
      </w:r>
      <w:r w:rsidRPr="00793A52">
        <w:rPr>
          <w:vertAlign w:val="superscript"/>
        </w:rPr>
        <w:t>86</w:t>
      </w:r>
      <w:r w:rsidRPr="00793A52">
        <w:t xml:space="preserve">Sr ratios were measured using a </w:t>
      </w:r>
      <w:proofErr w:type="spellStart"/>
      <w:r w:rsidRPr="00793A52">
        <w:t>multicollector</w:t>
      </w:r>
      <w:proofErr w:type="spellEnd"/>
      <w:r w:rsidRPr="00793A52">
        <w:t xml:space="preserve"> inductively coupled plasma mass spectrometry (Neptune Plus, </w:t>
      </w:r>
      <w:proofErr w:type="spellStart"/>
      <w:r w:rsidRPr="00793A52">
        <w:t>Thermo</w:t>
      </w:r>
      <w:proofErr w:type="spellEnd"/>
      <w:r w:rsidRPr="00793A52">
        <w:t xml:space="preserve"> Finnigan).  </w:t>
      </w:r>
      <w:r w:rsidRPr="00793A52">
        <w:rPr>
          <w:vertAlign w:val="superscript"/>
        </w:rPr>
        <w:t>87</w:t>
      </w:r>
      <w:r w:rsidRPr="00793A52">
        <w:t>Sr/</w:t>
      </w:r>
      <w:r w:rsidRPr="00793A52">
        <w:rPr>
          <w:vertAlign w:val="superscript"/>
        </w:rPr>
        <w:t>86</w:t>
      </w:r>
      <w:r w:rsidRPr="00793A52">
        <w:t xml:space="preserve">Sr ratios were corrected for mass bias using an exponential law, normalizing to </w:t>
      </w:r>
      <w:r w:rsidRPr="00793A52">
        <w:rPr>
          <w:vertAlign w:val="superscript"/>
        </w:rPr>
        <w:t>86</w:t>
      </w:r>
      <w:r w:rsidRPr="00793A52">
        <w:t>Sr/</w:t>
      </w:r>
      <w:r w:rsidRPr="00793A52">
        <w:rPr>
          <w:vertAlign w:val="superscript"/>
        </w:rPr>
        <w:t>88</w:t>
      </w:r>
      <w:r w:rsidRPr="00793A52">
        <w:t xml:space="preserve">Sr = 0.1194 (Steiger and Jäger 1977). Isobaric interferences on the </w:t>
      </w:r>
      <w:r w:rsidRPr="00793A52">
        <w:rPr>
          <w:vertAlign w:val="superscript"/>
        </w:rPr>
        <w:t>87</w:t>
      </w:r>
      <w:r w:rsidRPr="00793A52">
        <w:t>Sr/</w:t>
      </w:r>
      <w:r w:rsidRPr="00793A52">
        <w:rPr>
          <w:vertAlign w:val="superscript"/>
        </w:rPr>
        <w:t>86</w:t>
      </w:r>
      <w:r w:rsidRPr="00793A52">
        <w:t xml:space="preserve">Sr ratios, from </w:t>
      </w:r>
      <w:r w:rsidRPr="00793A52">
        <w:rPr>
          <w:vertAlign w:val="superscript"/>
        </w:rPr>
        <w:t>87</w:t>
      </w:r>
      <w:r w:rsidRPr="00793A52">
        <w:t xml:space="preserve">Rb and </w:t>
      </w:r>
      <w:r w:rsidRPr="00793A52">
        <w:rPr>
          <w:vertAlign w:val="superscript"/>
        </w:rPr>
        <w:t>86</w:t>
      </w:r>
      <w:r w:rsidRPr="00793A52">
        <w:t xml:space="preserve">Kr, were corrected by simultaneously monitoring </w:t>
      </w:r>
      <w:r w:rsidRPr="00793A52">
        <w:rPr>
          <w:vertAlign w:val="superscript"/>
        </w:rPr>
        <w:t>85</w:t>
      </w:r>
      <w:r w:rsidRPr="00793A52">
        <w:t xml:space="preserve">Rb and </w:t>
      </w:r>
      <w:r w:rsidRPr="00793A52">
        <w:rPr>
          <w:vertAlign w:val="superscript"/>
        </w:rPr>
        <w:t>83</w:t>
      </w:r>
      <w:r w:rsidRPr="00793A52">
        <w:t xml:space="preserve">Kr using the corresponding invariant ratios of </w:t>
      </w:r>
      <w:r w:rsidRPr="00793A52">
        <w:rPr>
          <w:vertAlign w:val="superscript"/>
        </w:rPr>
        <w:t>87</w:t>
      </w:r>
      <w:r w:rsidRPr="00793A52">
        <w:t>Rb/</w:t>
      </w:r>
      <w:r w:rsidRPr="00793A52">
        <w:rPr>
          <w:vertAlign w:val="superscript"/>
        </w:rPr>
        <w:t>85</w:t>
      </w:r>
      <w:r w:rsidRPr="00793A52">
        <w:t xml:space="preserve">Rb = 0.385706 and </w:t>
      </w:r>
      <w:r w:rsidRPr="00793A52">
        <w:rPr>
          <w:vertAlign w:val="superscript"/>
        </w:rPr>
        <w:t>86</w:t>
      </w:r>
      <w:r w:rsidRPr="00793A52">
        <w:t>Kr/</w:t>
      </w:r>
      <w:r w:rsidRPr="00793A52">
        <w:rPr>
          <w:vertAlign w:val="superscript"/>
        </w:rPr>
        <w:t>83</w:t>
      </w:r>
      <w:r w:rsidRPr="00793A52">
        <w:t xml:space="preserve">Kr = 1.502522 (Steiger and Jäger 1977). A marine shell was used to verify the quality of the data. Transects around 250 mm long were performed across this shell under the same conditions used for otoliths. These tests were performed at least three times every five otoliths. Otolith analyses were accepted when </w:t>
      </w:r>
      <w:r w:rsidRPr="00793A52">
        <w:rPr>
          <w:vertAlign w:val="superscript"/>
        </w:rPr>
        <w:t>87</w:t>
      </w:r>
      <w:r w:rsidRPr="00793A52">
        <w:t>Sr/</w:t>
      </w:r>
      <w:r w:rsidRPr="00793A52">
        <w:rPr>
          <w:vertAlign w:val="superscript"/>
        </w:rPr>
        <w:t>86</w:t>
      </w:r>
      <w:r w:rsidRPr="00793A52">
        <w:t xml:space="preserve">Sr average of marine shell tests run before and after each set of five otolith was 0.70921 ± 0.00005 (1s, n&gt;5).  </w:t>
      </w:r>
    </w:p>
    <w:p w14:paraId="7169AEC8" w14:textId="77777777" w:rsidR="00793A52" w:rsidRPr="00793A52" w:rsidRDefault="00793A52" w:rsidP="00793A52">
      <w:r w:rsidRPr="00793A52">
        <w:rPr>
          <w:lang w:val="fr-FR"/>
        </w:rPr>
        <w:t xml:space="preserve">Steiger, R. H., Jager, E., 1977. </w:t>
      </w:r>
      <w:proofErr w:type="spellStart"/>
      <w:r w:rsidRPr="00793A52">
        <w:t>Subcommission</w:t>
      </w:r>
      <w:proofErr w:type="spellEnd"/>
      <w:r w:rsidRPr="00793A52">
        <w:t xml:space="preserve"> on geochronology: Convention on the use of decay constants in geo- and </w:t>
      </w:r>
      <w:proofErr w:type="spellStart"/>
      <w:r w:rsidRPr="00793A52">
        <w:t>cosmochronology</w:t>
      </w:r>
      <w:proofErr w:type="spellEnd"/>
      <w:r w:rsidRPr="00793A52">
        <w:t>. Earth Planetary Science Letters, 36, 359-362.</w:t>
      </w:r>
    </w:p>
    <w:p w14:paraId="16FD399C" w14:textId="77777777" w:rsidR="00907410" w:rsidRDefault="00907410"/>
    <w:sectPr w:rsidR="00907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18F"/>
    <w:rsid w:val="000941AF"/>
    <w:rsid w:val="001844EB"/>
    <w:rsid w:val="003642FE"/>
    <w:rsid w:val="003B0A46"/>
    <w:rsid w:val="00464971"/>
    <w:rsid w:val="005149FF"/>
    <w:rsid w:val="005E1BF1"/>
    <w:rsid w:val="00731DD4"/>
    <w:rsid w:val="00780305"/>
    <w:rsid w:val="00793A52"/>
    <w:rsid w:val="00907410"/>
    <w:rsid w:val="00A4712A"/>
    <w:rsid w:val="00A9418F"/>
    <w:rsid w:val="00C9741A"/>
    <w:rsid w:val="00E45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9D62D"/>
  <w15:chartTrackingRefBased/>
  <w15:docId w15:val="{E9FA3E2E-EB0F-464E-AE32-D6F44E3FE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4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1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1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1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1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41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1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1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1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18F"/>
    <w:rPr>
      <w:rFonts w:eastAsiaTheme="majorEastAsia" w:cstheme="majorBidi"/>
      <w:color w:val="272727" w:themeColor="text1" w:themeTint="D8"/>
    </w:rPr>
  </w:style>
  <w:style w:type="paragraph" w:styleId="Title">
    <w:name w:val="Title"/>
    <w:basedOn w:val="Normal"/>
    <w:next w:val="Normal"/>
    <w:link w:val="TitleChar"/>
    <w:uiPriority w:val="10"/>
    <w:qFormat/>
    <w:rsid w:val="00A94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18F"/>
    <w:pPr>
      <w:spacing w:before="160"/>
      <w:jc w:val="center"/>
    </w:pPr>
    <w:rPr>
      <w:i/>
      <w:iCs/>
      <w:color w:val="404040" w:themeColor="text1" w:themeTint="BF"/>
    </w:rPr>
  </w:style>
  <w:style w:type="character" w:customStyle="1" w:styleId="QuoteChar">
    <w:name w:val="Quote Char"/>
    <w:basedOn w:val="DefaultParagraphFont"/>
    <w:link w:val="Quote"/>
    <w:uiPriority w:val="29"/>
    <w:rsid w:val="00A9418F"/>
    <w:rPr>
      <w:i/>
      <w:iCs/>
      <w:color w:val="404040" w:themeColor="text1" w:themeTint="BF"/>
    </w:rPr>
  </w:style>
  <w:style w:type="paragraph" w:styleId="ListParagraph">
    <w:name w:val="List Paragraph"/>
    <w:basedOn w:val="Normal"/>
    <w:uiPriority w:val="34"/>
    <w:qFormat/>
    <w:rsid w:val="00A9418F"/>
    <w:pPr>
      <w:ind w:left="720"/>
      <w:contextualSpacing/>
    </w:pPr>
  </w:style>
  <w:style w:type="character" w:styleId="IntenseEmphasis">
    <w:name w:val="Intense Emphasis"/>
    <w:basedOn w:val="DefaultParagraphFont"/>
    <w:uiPriority w:val="21"/>
    <w:qFormat/>
    <w:rsid w:val="00A9418F"/>
    <w:rPr>
      <w:i/>
      <w:iCs/>
      <w:color w:val="0F4761" w:themeColor="accent1" w:themeShade="BF"/>
    </w:rPr>
  </w:style>
  <w:style w:type="paragraph" w:styleId="IntenseQuote">
    <w:name w:val="Intense Quote"/>
    <w:basedOn w:val="Normal"/>
    <w:next w:val="Normal"/>
    <w:link w:val="IntenseQuoteChar"/>
    <w:uiPriority w:val="30"/>
    <w:qFormat/>
    <w:rsid w:val="00A94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18F"/>
    <w:rPr>
      <w:i/>
      <w:iCs/>
      <w:color w:val="0F4761" w:themeColor="accent1" w:themeShade="BF"/>
    </w:rPr>
  </w:style>
  <w:style w:type="character" w:styleId="IntenseReference">
    <w:name w:val="Intense Reference"/>
    <w:basedOn w:val="DefaultParagraphFont"/>
    <w:uiPriority w:val="32"/>
    <w:qFormat/>
    <w:rsid w:val="00A941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282</Words>
  <Characters>1609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2</cp:revision>
  <dcterms:created xsi:type="dcterms:W3CDTF">2025-11-03T22:52:00Z</dcterms:created>
  <dcterms:modified xsi:type="dcterms:W3CDTF">2026-07-15T13:27:00Z</dcterms:modified>
</cp:coreProperties>
</file>