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77777777"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6D656101" w:rsidR="006B75B5" w:rsidRDefault="00571049" w:rsidP="00571049">
      <w:pPr>
        <w:spacing w:line="480" w:lineRule="auto"/>
        <w:rPr>
          <w:ins w:id="0"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 creating uncertainty about management impacts. Declining abundance in western Alaska watersheds has led to restrictions in subsistence harvest and challenges for upstream communities.</w:t>
      </w:r>
      <w:ins w:id="1" w:author="Benjamin J. Makhlouf" w:date="2026-06-18T19:26:00Z" w16du:dateUtc="2026-06-19T02:26:00Z">
        <w:r w:rsidR="0035364D">
          <w:rPr>
            <w:rFonts w:ascii="Garamond" w:hAnsi="Garamond"/>
            <w:sz w:val="22"/>
            <w:szCs w:val="22"/>
          </w:rPr>
          <w:t xml:space="preserve"> In the Kuskokwim River, a large salmon producing river in </w:t>
        </w:r>
      </w:ins>
      <w:ins w:id="2" w:author="Benjamin J. Makhlouf" w:date="2026-06-18T19:28:00Z" w16du:dateUtc="2026-06-19T02:28:00Z">
        <w:r w:rsidR="0035364D">
          <w:rPr>
            <w:rFonts w:ascii="Garamond" w:hAnsi="Garamond"/>
            <w:sz w:val="22"/>
            <w:szCs w:val="22"/>
          </w:rPr>
          <w:t>w</w:t>
        </w:r>
      </w:ins>
      <w:ins w:id="3" w:author="Benjamin J. Makhlouf" w:date="2026-06-18T19:26:00Z" w16du:dateUtc="2026-06-19T02:26:00Z">
        <w:r w:rsidR="0035364D">
          <w:rPr>
            <w:rFonts w:ascii="Garamond" w:hAnsi="Garamond"/>
            <w:sz w:val="22"/>
            <w:szCs w:val="22"/>
          </w:rPr>
          <w:t>estern Alaska</w:t>
        </w:r>
      </w:ins>
      <w:del w:id="4"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impacts 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5" w:author="Benjamin J. Makhlouf" w:date="2026-06-18T19:18:00Z" w16du:dateUtc="2026-06-19T02:18:00Z">
        <w:r w:rsidR="006B75B5">
          <w:rPr>
            <w:rFonts w:ascii="Garamond" w:hAnsi="Garamond"/>
            <w:sz w:val="22"/>
            <w:szCs w:val="22"/>
          </w:rPr>
          <w:t xml:space="preserve">A longer simulated closure </w:t>
        </w:r>
      </w:ins>
      <w:del w:id="6"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7" w:author="Benjamin J. Makhlouf" w:date="2026-06-18T19:19:00Z" w16du:dateUtc="2026-06-19T02:19:00Z">
        <w:r w:rsidR="006B75B5">
          <w:rPr>
            <w:rFonts w:ascii="Garamond" w:hAnsi="Garamond"/>
            <w:sz w:val="22"/>
            <w:szCs w:val="22"/>
          </w:rPr>
          <w:t>s but with a</w:t>
        </w:r>
      </w:ins>
      <w:ins w:id="8" w:author="Benjamin J. Makhlouf" w:date="2026-06-18T19:20:00Z" w16du:dateUtc="2026-06-19T02:20:00Z">
        <w:r w:rsidR="006B75B5">
          <w:rPr>
            <w:rFonts w:ascii="Garamond" w:hAnsi="Garamond"/>
            <w:sz w:val="22"/>
            <w:szCs w:val="22"/>
          </w:rPr>
          <w:t xml:space="preserve">n associated tradeoff of lost harvest opportunity. </w:t>
        </w:r>
      </w:ins>
      <w:ins w:id="9" w:author="Benjamin J. Makhlouf" w:date="2026-06-18T19:21:00Z" w16du:dateUtc="2026-06-19T02:21:00Z">
        <w:r w:rsidR="006B75B5">
          <w:rPr>
            <w:rFonts w:ascii="Garamond" w:hAnsi="Garamond"/>
            <w:sz w:val="22"/>
            <w:szCs w:val="22"/>
          </w:rPr>
          <w:t>The</w:t>
        </w:r>
      </w:ins>
      <w:ins w:id="10" w:author="Benjamin J. Makhlouf" w:date="2026-06-18T19:20:00Z" w16du:dateUtc="2026-06-19T02:20:00Z">
        <w:r w:rsidR="006B75B5">
          <w:rPr>
            <w:rFonts w:ascii="Garamond" w:hAnsi="Garamond"/>
            <w:sz w:val="22"/>
            <w:szCs w:val="22"/>
          </w:rPr>
          <w:t xml:space="preserve"> protection afforded to upper</w:t>
        </w:r>
      </w:ins>
      <w:del w:id="11" w:author="Benjamin J. Makhlouf" w:date="2026-06-18T19:19:00Z" w16du:dateUtc="2026-06-19T02:19:00Z">
        <w:r w:rsidR="006B75B5" w:rsidRPr="00571049" w:rsidDel="006B75B5">
          <w:rPr>
            <w:rFonts w:ascii="Garamond" w:hAnsi="Garamond"/>
            <w:sz w:val="22"/>
            <w:szCs w:val="22"/>
          </w:rPr>
          <w:delText xml:space="preserve">s, though </w:delText>
        </w:r>
      </w:del>
      <w:del w:id="12" w:author="Benjamin J. Makhlouf" w:date="2026-06-18T19:18:00Z" w16du:dateUtc="2026-06-19T02:18:00Z">
        <w:r w:rsidR="006B75B5" w:rsidRPr="00571049" w:rsidDel="006B75B5">
          <w:rPr>
            <w:rFonts w:ascii="Garamond" w:hAnsi="Garamond"/>
            <w:sz w:val="22"/>
            <w:szCs w:val="22"/>
          </w:rPr>
          <w:delText>conservation–harvest tradeoffs varied.</w:delText>
        </w:r>
      </w:del>
      <w:ins w:id="13" w:author="Benjamin J. Makhlouf" w:date="2026-06-18T19:20:00Z" w16du:dateUtc="2026-06-19T02:20:00Z">
        <w:r w:rsidR="006B75B5">
          <w:rPr>
            <w:rFonts w:ascii="Garamond" w:hAnsi="Garamond"/>
            <w:sz w:val="22"/>
            <w:szCs w:val="22"/>
          </w:rPr>
          <w:t xml:space="preserve"> </w:t>
        </w:r>
      </w:ins>
      <w:ins w:id="14" w:author="Benjamin J. Makhlouf" w:date="2026-06-18T19:16:00Z" w16du:dateUtc="2026-06-19T02:16:00Z">
        <w:r w:rsidR="006B75B5">
          <w:rPr>
            <w:rFonts w:ascii="Garamond" w:hAnsi="Garamond"/>
            <w:sz w:val="22"/>
            <w:szCs w:val="22"/>
          </w:rPr>
          <w:t>watershed stocks</w:t>
        </w:r>
      </w:ins>
      <w:ins w:id="15" w:author="Benjamin J. Makhlouf" w:date="2026-06-18T19:20:00Z" w16du:dateUtc="2026-06-19T02:20:00Z">
        <w:r w:rsidR="006B75B5">
          <w:rPr>
            <w:rFonts w:ascii="Garamond" w:hAnsi="Garamond"/>
            <w:sz w:val="22"/>
            <w:szCs w:val="22"/>
          </w:rPr>
          <w:t xml:space="preserve"> </w:t>
        </w:r>
      </w:ins>
      <w:ins w:id="16"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due to variable ov</w:t>
        </w:r>
      </w:ins>
      <w:ins w:id="17" w:author="Benjamin J. Makhlouf" w:date="2026-06-18T19:22:00Z" w16du:dateUtc="2026-06-19T02:22:00Z">
        <w:r w:rsidR="0035364D">
          <w:rPr>
            <w:rFonts w:ascii="Garamond" w:hAnsi="Garamond"/>
            <w:sz w:val="22"/>
            <w:szCs w:val="22"/>
          </w:rPr>
          <w:t xml:space="preserve">erall return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18" w:author="Benjamin J. Makhlouf" w:date="2026-06-18T19:22:00Z" w16du:dateUtc="2026-06-19T02:22:00Z"/>
          <w:rFonts w:ascii="Garamond" w:hAnsi="Garamond"/>
          <w:sz w:val="22"/>
          <w:szCs w:val="22"/>
        </w:rPr>
      </w:pPr>
      <w:del w:id="19" w:author="Benjamin J. Makhlouf" w:date="2026-06-18T19:17:00Z" w16du:dateUtc="2026-06-19T02:17:00Z">
        <w:r w:rsidRPr="00571049" w:rsidDel="006B75B5">
          <w:rPr>
            <w:rFonts w:ascii="Garamond" w:hAnsi="Garamond"/>
            <w:sz w:val="22"/>
            <w:szCs w:val="22"/>
          </w:rPr>
          <w:delText>This pattern was consistent across years</w:delText>
        </w:r>
      </w:del>
      <w:del w:id="20" w:author="Benjamin J. Makhlouf" w:date="2026-06-18T19:13:00Z" w16du:dateUtc="2026-06-19T02:13:00Z">
        <w:r w:rsidRPr="00571049" w:rsidDel="006B75B5">
          <w:rPr>
            <w:rFonts w:ascii="Garamond" w:hAnsi="Garamond"/>
            <w:sz w:val="22"/>
            <w:szCs w:val="22"/>
          </w:rPr>
          <w:delText>,</w:delText>
        </w:r>
      </w:del>
      <w:del w:id="21" w:author="Benjamin J. Makhlouf" w:date="2026-06-18T19:17:00Z" w16du:dateUtc="2026-06-19T02:17:00Z">
        <w:r w:rsidRPr="00571049" w:rsidDel="006B75B5">
          <w:rPr>
            <w:rFonts w:ascii="Garamond" w:hAnsi="Garamond"/>
            <w:sz w:val="22"/>
            <w:szCs w:val="22"/>
          </w:rPr>
          <w:delText xml:space="preserve"> </w:delText>
        </w:r>
      </w:del>
      <w:del w:id="22" w:author="Benjamin J. Makhlouf" w:date="2026-06-18T19:07:00Z" w16du:dateUtc="2026-06-19T02:07:00Z">
        <w:r w:rsidRPr="00571049" w:rsidDel="004D7CC1">
          <w:rPr>
            <w:rFonts w:ascii="Garamond" w:hAnsi="Garamond"/>
            <w:sz w:val="22"/>
            <w:szCs w:val="22"/>
          </w:rPr>
          <w:delText xml:space="preserve">though </w:delText>
        </w:r>
      </w:del>
      <w:del w:id="23" w:author="Benjamin J. Makhlouf" w:date="2026-06-18T19:08:00Z" w16du:dateUtc="2026-06-19T02:08:00Z">
        <w:r w:rsidRPr="00571049" w:rsidDel="004D7CC1">
          <w:rPr>
            <w:rFonts w:ascii="Garamond" w:hAnsi="Garamond"/>
            <w:sz w:val="22"/>
            <w:szCs w:val="22"/>
          </w:rPr>
          <w:delText>magnitude of contribution and run timing varied</w:delText>
        </w:r>
      </w:del>
      <w:del w:id="24" w:author="Benjamin J. Makhlouf" w:date="2026-06-18T19:14:00Z" w16du:dateUtc="2026-06-19T02:14:00Z">
        <w:r w:rsidRPr="00571049" w:rsidDel="006B75B5">
          <w:rPr>
            <w:rFonts w:ascii="Garamond" w:hAnsi="Garamond"/>
            <w:sz w:val="22"/>
            <w:szCs w:val="22"/>
          </w:rPr>
          <w:delText xml:space="preserve">, </w:delText>
        </w:r>
      </w:del>
      <w:del w:id="25"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26" w:author="Benjamin J. Makhlouf" w:date="2026-06-18T19:11:00Z" w16du:dateUtc="2026-06-19T02:11:00Z">
        <w:r w:rsidRPr="00571049" w:rsidDel="004D7CC1">
          <w:rPr>
            <w:rFonts w:ascii="Garamond" w:hAnsi="Garamond"/>
            <w:sz w:val="22"/>
            <w:szCs w:val="22"/>
          </w:rPr>
          <w:delText>processes</w:delText>
        </w:r>
      </w:del>
      <w:del w:id="27" w:author="Benjamin J. Makhlouf" w:date="2026-06-18T19:09:00Z" w16du:dateUtc="2026-06-19T02:09:00Z">
        <w:r w:rsidRPr="00571049" w:rsidDel="004D7CC1">
          <w:rPr>
            <w:rFonts w:ascii="Garamond" w:hAnsi="Garamond"/>
            <w:sz w:val="22"/>
            <w:szCs w:val="22"/>
          </w:rPr>
          <w:delText xml:space="preserve"> influencing efficacy</w:delText>
        </w:r>
      </w:del>
      <w:del w:id="28" w:author="Benjamin J. Makhlouf" w:date="2026-06-18T19:14:00Z" w16du:dateUtc="2026-06-19T02:14:00Z">
        <w:r w:rsidRPr="00571049" w:rsidDel="006B75B5">
          <w:rPr>
            <w:rFonts w:ascii="Garamond" w:hAnsi="Garamond"/>
            <w:sz w:val="22"/>
            <w:szCs w:val="22"/>
          </w:rPr>
          <w:delText>.</w:delText>
        </w:r>
      </w:del>
      <w:del w:id="29"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RDefault="00571049" w:rsidP="00BF42AB">
      <w:pPr>
        <w:suppressLineNumbers/>
        <w:spacing w:line="480" w:lineRule="auto"/>
        <w:rPr>
          <w:rFonts w:ascii="Garamond" w:hAnsi="Garamond" w:cs="Times New Roman"/>
        </w:rPr>
      </w:pPr>
    </w:p>
    <w:p w14:paraId="6FFB8AB4" w14:textId="77777777" w:rsidR="00571049" w:rsidRDefault="00571049" w:rsidP="00BF42AB">
      <w:pPr>
        <w:suppressLineNumbers/>
        <w:spacing w:line="480" w:lineRule="auto"/>
        <w:rPr>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Introduction: </w:t>
      </w:r>
      <w:r>
        <w:rPr>
          <w:rFonts w:ascii="Garamond" w:hAnsi="Garamond" w:cs="Times New Roman"/>
          <w:sz w:val="28"/>
          <w:szCs w:val="28"/>
        </w:rPr>
        <w:t xml:space="preserve"> </w:t>
      </w:r>
    </w:p>
    <w:p w14:paraId="6DA4DC8E" w14:textId="72A46846"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r>
        <w:rPr>
          <w:rFonts w:ascii="Garamond" w:hAnsi="Garamond" w:cs="Times New Roman"/>
        </w:rPr>
        <w:t xml:space="preserve"> 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a thorough understanding of 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655019F9" w14:textId="77777777" w:rsidR="00FA76AC" w:rsidRPr="008605CB" w:rsidRDefault="00FA76AC" w:rsidP="00D04B7C">
      <w:pPr>
        <w:spacing w:line="480" w:lineRule="auto"/>
        <w:ind w:firstLine="720"/>
        <w:rPr>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often comprised of multiple distinct sub-stocks (or populations) which vary in their relative abundance and life-history, but which co-migrate within overlapping temporal windows. Downstream fisheries that harvest migrating individuals therefore </w:t>
      </w:r>
      <w:r>
        <w:rPr>
          <w:rFonts w:ascii="Garamond" w:hAnsi="Garamond" w:cs="Times New Roman"/>
        </w:rPr>
        <w:lastRenderedPageBreak/>
        <w:t xml:space="preserve">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xml:space="preserve">. Populations returning to the furthest upstream portions of the watershed face particular risk of overharvest given their extended migration </w:t>
      </w:r>
      <w:r>
        <w:rPr>
          <w:rFonts w:ascii="Garamond" w:hAnsi="Garamond"/>
        </w:rPr>
        <w:t xml:space="preserve">and sequential nature of large river salmon fisheries </w:t>
      </w:r>
      <w:r>
        <w:rPr>
          <w:rFonts w:ascii="Garamond" w:hAnsi="Garamond" w:cs="Times New Roman"/>
        </w:rPr>
        <w:fldChar w:fldCharType="begin"/>
      </w:r>
      <w:r>
        <w:rPr>
          <w:rFonts w:ascii="Garamond" w:hAnsi="Garamond" w:cs="Times New Roman"/>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Pr>
          <w:rFonts w:ascii="Cambria Math" w:hAnsi="Cambria Math" w:cs="Cambria Math"/>
        </w:rPr>
        <w:instrText>‐</w:instrText>
      </w:r>
      <w:r>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Pr>
          <w:rFonts w:ascii="Garamond" w:hAnsi="Garamond" w:cs="Times New Roman"/>
        </w:rPr>
        <w:fldChar w:fldCharType="separate"/>
      </w:r>
      <w:r>
        <w:rPr>
          <w:rFonts w:ascii="Garamond" w:hAnsi="Garamond" w:cs="Times New Roman"/>
          <w:noProof/>
        </w:rPr>
        <w:t>(e.g. Hamazaki, 2008)</w:t>
      </w:r>
      <w:r>
        <w:rPr>
          <w:rFonts w:ascii="Garamond" w:hAnsi="Garamond" w:cs="Times New Roman"/>
        </w:rPr>
        <w:fldChar w:fldCharType="end"/>
      </w:r>
      <w:r>
        <w:rPr>
          <w:rFonts w:ascii="Garamond" w:hAnsi="Garamond" w:cs="Times New Roman"/>
        </w:rPr>
        <w:t xml:space="preserve">. However, the timing, yield, and duration of downstream fisheries are the result of the aggregate dynamics of these upstream components </w:t>
      </w:r>
      <w:r>
        <w:rPr>
          <w:rFonts w:ascii="Garamond" w:hAnsi="Garamond" w:cs="Times New Roman"/>
        </w:rPr>
        <w:fldChar w:fldCharType="begin"/>
      </w:r>
      <w:r>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cs="Times New Roman"/>
        </w:rPr>
        <w:fldChar w:fldCharType="separate"/>
      </w:r>
      <w:r>
        <w:rPr>
          <w:rFonts w:ascii="Garamond" w:hAnsi="Garamond" w:cs="Times New Roman"/>
          <w:noProof/>
        </w:rPr>
        <w:t>(Nesbitt &amp; Moore, 2016)</w:t>
      </w:r>
      <w:r>
        <w:rPr>
          <w:rFonts w:ascii="Garamond" w:hAnsi="Garamond" w:cs="Times New Roman"/>
        </w:rPr>
        <w:fldChar w:fldCharType="end"/>
      </w:r>
      <w:r>
        <w:rPr>
          <w:rFonts w:ascii="Garamond" w:hAnsi="Garamond" w:cs="Times New Roman"/>
        </w:rPr>
        <w:t xml:space="preserve">. Further, maintaining life history diversity across the full stock complex contributes to ecosystem resilience by distributing population level risk across space and time </w:t>
      </w:r>
      <w:r>
        <w:rPr>
          <w:rFonts w:ascii="Garamond" w:hAnsi="Garamond" w:cs="Times New Roman"/>
        </w:rPr>
        <w:fldChar w:fldCharType="begin"/>
      </w:r>
      <w:r>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(Schindler et al., 2010)</w:t>
      </w:r>
      <w:r>
        <w:rPr>
          <w:rFonts w:ascii="Garamond" w:hAnsi="Garamond" w:cs="Times New Roman"/>
        </w:rPr>
        <w:fldChar w:fldCharType="end"/>
      </w:r>
      <w:r>
        <w:rPr>
          <w:rFonts w:ascii="Garamond" w:hAnsi="Garamond" w:cs="Times New Roman"/>
        </w:rPr>
        <w:t xml:space="preserve">. Designing strategies which explicitly consider and protect this biodiversity, including vulnerable upstream populations, therefore contributes to stabilizing downstream fishery resources. </w:t>
      </w:r>
    </w:p>
    <w:p w14:paraId="53256603" w14:textId="3AB75814" w:rsidR="00507803" w:rsidRPr="008605CB" w:rsidRDefault="00720B50" w:rsidP="00FA76AC">
      <w:pPr>
        <w:spacing w:line="480" w:lineRule="auto"/>
        <w:ind w:firstLine="720"/>
        <w:rPr>
          <w:rFonts w:ascii="Garamond" w:hAnsi="Garamond" w:cs="Times New Roman"/>
        </w:rPr>
      </w:pPr>
      <w:ins w:id="30" w:author="Benjamin J. Makhlouf" w:date="2026-06-18T14:25:00Z" w16du:dateUtc="2026-06-18T21:25:00Z">
        <w:r>
          <w:rPr>
            <w:rFonts w:ascii="Garamond" w:hAnsi="Garamond" w:cs="Times New Roman"/>
          </w:rPr>
          <w:t>W</w:t>
        </w:r>
      </w:ins>
      <w:del w:id="31"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 xml:space="preserve">The region’s three major river basins, the Yukon, Kuskokwim, and Nushagak, collectively produce approximately 80% of the world’s wild Chinook salmon, making western Alaska one of the most important remaining strongholds for the species globally </w:t>
      </w:r>
      <w:r w:rsidR="00507803">
        <w:rPr>
          <w:rFonts w:ascii="Garamond" w:hAnsi="Garamond" w:cs="Times New Roman"/>
        </w:rPr>
        <w:t>(</w:t>
      </w:r>
      <w:r w:rsidR="00507803">
        <w:rPr>
          <w:rFonts w:ascii="Garamond" w:hAnsi="Garamond" w:cs="Times New Roman"/>
          <w:i/>
          <w:iCs/>
          <w:color w:val="000000" w:themeColor="text1"/>
        </w:rPr>
        <w:t>Oncorhynchus tshawytscha</w:t>
      </w:r>
      <w:r w:rsidR="00507803">
        <w:rPr>
          <w:rFonts w:ascii="Garamond" w:hAnsi="Garamond" w:cs="Times New Roman"/>
          <w:color w:val="000000" w:themeColor="text1"/>
        </w:rPr>
        <w:t xml:space="preserve">). </w:t>
      </w:r>
      <w:r w:rsidR="00507803">
        <w:rPr>
          <w:rFonts w:ascii="Garamond" w:hAnsi="Garamond" w:cs="Times New Roman"/>
        </w:rPr>
        <w:t xml:space="preserve">However, several species of Pacific salmon, including 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w:t>
      </w:r>
      <w:commentRangeStart w:id="32"/>
      <w:r w:rsidR="00507803">
        <w:rPr>
          <w:rFonts w:ascii="Garamond" w:hAnsi="Garamond" w:cs="Times New Roman"/>
        </w:rPr>
        <w:t>Subsistence</w:t>
      </w:r>
      <w:commentRangeEnd w:id="32"/>
      <w:r w:rsidR="005A4F22">
        <w:rPr>
          <w:rStyle w:val="CommentReference"/>
          <w:rFonts w:ascii="Garamond" w:hAnsi="Garamond" w:cs="Times New Roman"/>
          <w:sz w:val="24"/>
          <w:szCs w:val="24"/>
        </w:rPr>
        <w:commentReference w:id="32"/>
      </w:r>
      <w:r w:rsidR="00507803">
        <w:rPr>
          <w:rFonts w:ascii="Garamond" w:hAnsi="Garamond" w:cs="Times New Roman"/>
        </w:rPr>
        <w:t xml:space="preserve"> fisheries are the primary form of harvest in the watershed, and nearly every household 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w:t>
      </w:r>
      <w:r w:rsidR="00507803">
        <w:rPr>
          <w:rFonts w:ascii="Garamond" w:hAnsi="Garamond" w:cs="Times New Roman"/>
        </w:rPr>
        <w:lastRenderedPageBreak/>
        <w:t xml:space="preserve">Resource managers are therefore tasked with designing management strategies that allow for harvest opportunities while simultaneously rebuilding basin-wide abundance and maintaining population biodiversity across the watershed. </w:t>
      </w:r>
    </w:p>
    <w:p w14:paraId="731F456B" w14:textId="57A1CDFA" w:rsidR="005A4F22" w:rsidRDefault="00507803" w:rsidP="00617C63">
      <w:pPr>
        <w:spacing w:line="480" w:lineRule="auto"/>
        <w:ind w:firstLine="720"/>
        <w:rPr>
          <w:ins w:id="33" w:author="Benjamin J. Makhlouf" w:date="2026-06-18T14:15:00Z" w16du:dateUtc="2026-06-18T21:15:00Z"/>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 xml:space="preserve">This strategy is designed to protect early migrating fish which are assumed to be returning to spawn in the furthest upstream regions of the Kuskokwim River. This assumption is bolstered by patterns observed in other systems </w:t>
      </w:r>
      <w:r>
        <w:rPr>
          <w:rFonts w:ascii="Garamond" w:hAnsi="Garamond" w:cs="Times New Roman"/>
        </w:rPr>
        <w:fldChar w:fldCharType="begin"/>
      </w:r>
      <w:r>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rPr>
        <w:instrText>‐</w:instrText>
      </w:r>
      <w:r>
        <w:rPr>
          <w:rFonts w:ascii="Garamond" w:hAnsi="Garamond" w:cs="Times New Roman"/>
        </w:rPr>
        <w:instrText>wide effects of body size, sex, spawning location, and year on the timing of spawning</w:instrText>
      </w:r>
      <w:r>
        <w:rPr>
          <w:rFonts w:ascii="Cambria Math" w:hAnsi="Cambria Math" w:cs="Cambria Math"/>
        </w:rPr>
        <w:instrText>‐</w:instrText>
      </w:r>
      <w:r>
        <w:rPr>
          <w:rFonts w:ascii="Garamond" w:hAnsi="Garamond" w:cs="Times New Roman"/>
        </w:rPr>
        <w:instrText>run migration into the Togiak River. Migration data and spawning fate were collected using radiotelemetry and analyzed with mixed effects models to account for among</w:instrText>
      </w:r>
      <w:r>
        <w:rPr>
          <w:rFonts w:ascii="Cambria Math" w:hAnsi="Cambria Math" w:cs="Cambria Math"/>
        </w:rPr>
        <w:instrText>‐</w:instrText>
      </w:r>
      <w:r>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cs="Times New Roman"/>
        </w:rPr>
        <w:fldChar w:fldCharType="separate"/>
      </w:r>
      <w:r>
        <w:rPr>
          <w:rFonts w:ascii="Garamond" w:hAnsi="Garamond" w:cs="Times New Roman"/>
          <w:noProof/>
        </w:rPr>
        <w:t>(S. C. Clark et al., 2015)</w:t>
      </w:r>
      <w:r>
        <w:rPr>
          <w:rFonts w:ascii="Garamond" w:hAnsi="Garamond" w:cs="Times New Roman"/>
        </w:rPr>
        <w:fldChar w:fldCharType="end"/>
      </w:r>
      <w:r>
        <w:rPr>
          <w:rFonts w:ascii="Garamond" w:hAnsi="Garamond" w:cs="Times New Roman"/>
        </w:rPr>
        <w:t xml:space="preserve">, supported by telemetry data in the Kuskokwim </w:t>
      </w:r>
      <w:r>
        <w:rPr>
          <w:rFonts w:ascii="Garamond" w:hAnsi="Garamond" w:cs="Times New Roman"/>
        </w:rPr>
        <w:fldChar w:fldCharType="begin"/>
      </w:r>
      <w:r>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Pr>
          <w:rFonts w:ascii="Garamond" w:hAnsi="Garamond" w:cs="Times New Roman"/>
        </w:rPr>
        <w:fldChar w:fldCharType="separate"/>
      </w:r>
      <w:r>
        <w:rPr>
          <w:rFonts w:ascii="Garamond" w:hAnsi="Garamond" w:cs="Times New Roman"/>
          <w:noProof/>
        </w:rPr>
        <w:t>(J. N. Clark &amp; Smith, 2019; Head et al., 2017; Smith &amp; Liller, 2017a, 2017b)</w:t>
      </w:r>
      <w:r>
        <w:rPr>
          <w:rFonts w:ascii="Garamond" w:hAnsi="Garamond" w:cs="Times New Roman"/>
        </w:rPr>
        <w:fldChar w:fldCharType="end"/>
      </w:r>
      <w:r>
        <w:rPr>
          <w:rFonts w:ascii="Garamond" w:hAnsi="Garamond" w:cs="Times New Roman"/>
        </w:rPr>
        <w:t xml:space="preserve">, and further motivated by traditional and local knowledge held by Tribal citizens and stakeholders. By protecting upriver stocks, managers aim to support basin-wide escapement goals, provide more equitable harvest opportunities to upstream communities, and protect upper river stocks which are at heightened risk of overharvest but contribute disproportionately to stabilizing downstream fishery dynamics. </w:t>
      </w:r>
    </w:p>
    <w:p w14:paraId="6F7EA299" w14:textId="03E7D07E" w:rsidR="005A4F22" w:rsidRPr="00990A53" w:rsidRDefault="002B1F16" w:rsidP="00990A53">
      <w:pPr>
        <w:spacing w:line="480" w:lineRule="auto"/>
        <w:ind w:firstLine="720"/>
        <w:rPr>
          <w:rFonts w:ascii="Garamond" w:hAnsi="Garamond"/>
        </w:rPr>
      </w:pPr>
      <w:ins w:id="34" w:author="Benjamin J. Makhlouf" w:date="2026-06-18T18:33:00Z">
        <w:r w:rsidRPr="002B1F16">
          <w:rPr>
            <w:rFonts w:ascii="Garamond" w:hAnsi="Garamond" w:cs="Times New Roman"/>
          </w:rPr>
          <w:t>Despite ongoing efforts, the spatial ecology of Chinook salmon in the Kuskokwim River basin remains poorly understood at the watershed scale</w:t>
        </w:r>
      </w:ins>
      <w:ins w:id="35" w:author="Benjamin J. Makhlouf" w:date="2026-06-18T18:33:00Z" w16du:dateUtc="2026-06-19T01:33:00Z">
        <w:r>
          <w:rPr>
            <w:rFonts w:ascii="Garamond" w:hAnsi="Garamond" w:cs="Times New Roman"/>
          </w:rPr>
          <w:t>, and</w:t>
        </w:r>
      </w:ins>
      <w:ins w:id="36" w:author="Benjamin J. Makhlouf" w:date="2026-06-18T18:33:00Z">
        <w:r w:rsidRPr="002B1F16">
          <w:rPr>
            <w:rFonts w:ascii="Garamond" w:hAnsi="Garamond" w:cs="Times New Roman"/>
          </w:rPr>
          <w:t xml:space="preserve"> it remains unclear whether the interaction between population-specific migration patterns and the front-end fishery closure effectively protects upstream stocks as intended. </w:t>
        </w:r>
      </w:ins>
      <w:ins w:id="37" w:author="Benjamin J. Makhlouf" w:date="2026-06-18T18:35:00Z">
        <w:r w:rsidRPr="002B1F16">
          <w:rPr>
            <w:rFonts w:ascii="Garamond" w:hAnsi="Garamond" w:cs="Times New Roman"/>
          </w:rPr>
          <w:t>Genetic approaches, which have been widely used to investigate population structure and provenance in other Pacific salmon species, cannot be used to estimate provenance in the Kuskokwim because Chinook salmon exhibit low genetic differentiation across the basin, while ongoing telemetry studies are logistically constrained in their ability to characterize migration dynamics across such a large and remote watershed.</w:t>
        </w:r>
      </w:ins>
      <w:ins w:id="38" w:author="Benjamin J. Makhlouf" w:date="2026-06-18T18:35:00Z" w16du:dateUtc="2026-06-19T01:35:00Z">
        <w:r>
          <w:rPr>
            <w:rFonts w:ascii="Garamond" w:hAnsi="Garamond" w:cs="Times New Roman"/>
          </w:rPr>
          <w:t xml:space="preserve"> </w:t>
        </w:r>
      </w:ins>
      <w:ins w:id="39" w:author="Benjamin J. Makhlouf" w:date="2026-06-18T18:37:00Z">
        <w:r w:rsidRPr="002B1F16">
          <w:rPr>
            <w:rFonts w:ascii="Garamond" w:hAnsi="Garamond" w:cs="Times New Roman"/>
          </w:rPr>
          <w:t xml:space="preserve">Otolith microchemical approaches have emerged as an alternative tool capable of estimating sub-watershed provenance without the need for extensive field-based monitoring. </w:t>
        </w:r>
      </w:ins>
      <w:ins w:id="40" w:author="Benjamin J. Makhlouf" w:date="2026-06-18T18:42:00Z">
        <w:r w:rsidR="00990A53" w:rsidRPr="00990A53">
          <w:rPr>
            <w:rFonts w:ascii="Garamond" w:hAnsi="Garamond"/>
          </w:rPr>
          <w:t xml:space="preserve">Otolith microchemical </w:t>
        </w:r>
        <w:r w:rsidR="00990A53" w:rsidRPr="00990A53">
          <w:rPr>
            <w:rFonts w:ascii="Garamond" w:hAnsi="Garamond"/>
          </w:rPr>
          <w:lastRenderedPageBreak/>
          <w:t>approaches have emerged as an alternative tool for reconstructing spatial patterns of salmon movement and provenance.</w:t>
        </w:r>
      </w:ins>
      <w:ins w:id="41" w:author="Benjamin J. Makhlouf" w:date="2026-06-18T18:42:00Z" w16du:dateUtc="2026-06-19T01:42:00Z">
        <w:r w:rsidR="00990A53">
          <w:rPr>
            <w:rFonts w:ascii="Garamond" w:hAnsi="Garamond"/>
          </w:rPr>
          <w:t xml:space="preserve"> </w:t>
        </w:r>
      </w:ins>
      <w:ins w:id="42" w:author="Benjamin J. Makhlouf" w:date="2026-06-18T18:39:00Z">
        <w:r w:rsidRPr="002B1F16">
          <w:rPr>
            <w:rFonts w:ascii="Garamond" w:hAnsi="Garamond"/>
          </w:rPr>
          <w:t>By leveraging predictable relationships between chemical signatures recorded in</w:t>
        </w:r>
      </w:ins>
      <w:ins w:id="43" w:author="Benjamin J. Makhlouf" w:date="2026-06-18T18:43:00Z" w16du:dateUtc="2026-06-19T01:43:00Z">
        <w:r w:rsidR="00990A53">
          <w:rPr>
            <w:rFonts w:ascii="Garamond" w:hAnsi="Garamond"/>
          </w:rPr>
          <w:t xml:space="preserve"> the</w:t>
        </w:r>
      </w:ins>
      <w:ins w:id="44" w:author="Benjamin J. Makhlouf" w:date="2026-06-18T18:39:00Z">
        <w:r w:rsidRPr="002B1F16">
          <w:rPr>
            <w:rFonts w:ascii="Garamond" w:hAnsi="Garamond"/>
          </w:rPr>
          <w:t xml:space="preserve"> otolith and those measured or modeled across the landscape, </w:t>
        </w:r>
      </w:ins>
      <w:ins w:id="45" w:author="Benjamin J. Makhlouf" w:date="2026-06-18T18:43:00Z" w16du:dateUtc="2026-06-19T01:43:00Z">
        <w:r w:rsidR="00990A53">
          <w:rPr>
            <w:rFonts w:ascii="Garamond" w:hAnsi="Garamond"/>
          </w:rPr>
          <w:t>otolith-based</w:t>
        </w:r>
      </w:ins>
      <w:ins w:id="46" w:author="Benjamin J. Makhlouf" w:date="2026-06-18T18:39:00Z">
        <w:r w:rsidRPr="002B1F16">
          <w:rPr>
            <w:rFonts w:ascii="Garamond" w:hAnsi="Garamond"/>
          </w:rPr>
          <w:t xml:space="preserve"> approaches enable </w:t>
        </w:r>
      </w:ins>
      <w:ins w:id="47" w:author="Benjamin J. Makhlouf" w:date="2026-06-18T18:43:00Z" w16du:dateUtc="2026-06-19T01:43:00Z">
        <w:r w:rsidR="00990A53">
          <w:rPr>
            <w:rFonts w:ascii="Garamond" w:hAnsi="Garamond"/>
          </w:rPr>
          <w:t xml:space="preserve">the </w:t>
        </w:r>
      </w:ins>
      <w:ins w:id="48" w:author="Benjamin J. Makhlouf" w:date="2026-06-18T18:39:00Z">
        <w:r w:rsidRPr="002B1F16">
          <w:rPr>
            <w:rFonts w:ascii="Garamond" w:hAnsi="Garamond"/>
          </w:rPr>
          <w:t xml:space="preserve">reconstruction of </w:t>
        </w:r>
      </w:ins>
      <w:ins w:id="49" w:author="Benjamin J. Makhlouf" w:date="2026-06-18T18:44:00Z" w16du:dateUtc="2026-06-19T01:44:00Z">
        <w:r w:rsidR="00990A53">
          <w:rPr>
            <w:rFonts w:ascii="Garamond" w:hAnsi="Garamond"/>
          </w:rPr>
          <w:t xml:space="preserve">life history characteristics </w:t>
        </w:r>
      </w:ins>
      <w:ins w:id="50" w:author="Benjamin J. Makhlouf" w:date="2026-06-18T18:45:00Z" w16du:dateUtc="2026-06-19T01:45:00Z">
        <w:r w:rsidR="00990A53">
          <w:rPr>
            <w:rFonts w:ascii="Garamond" w:hAnsi="Garamond"/>
          </w:rPr>
          <w:t xml:space="preserve">throughout the lifetime of the individual inferred from samples easily collected from adult fish. </w:t>
        </w:r>
      </w:ins>
      <w:ins w:id="51" w:author="Benjamin J. Makhlouf" w:date="2026-06-18T18:48:00Z">
        <w:r w:rsidR="00990A53" w:rsidRPr="00990A53">
          <w:rPr>
            <w:rFonts w:ascii="Garamond" w:hAnsi="Garamond"/>
          </w:rPr>
          <w:t>As such, these methods provide an approach for estimating fine-scale patterns in salmon spatial ecology across entire watersheds without requiring extensive manual monitoring.</w:t>
        </w:r>
      </w:ins>
    </w:p>
    <w:p w14:paraId="4B48F71D" w14:textId="19905B6E" w:rsidR="00A72EBD" w:rsidRPr="008605CB" w:rsidRDefault="00A72EBD" w:rsidP="00A72EBD">
      <w:pPr>
        <w:spacing w:line="480" w:lineRule="auto"/>
        <w:ind w:firstLine="720"/>
        <w:rPr>
          <w:rFonts w:ascii="Garamond" w:hAnsi="Garamond" w:cs="Times New Roman"/>
          <w:b/>
          <w:bCs/>
        </w:rPr>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Chinook salmon returns. </w:t>
      </w:r>
      <w:del w:id="52"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r>
        <w:rPr>
          <w:rFonts w:ascii="Garamond" w:hAnsi="Garamond" w:cs="Times New Roman"/>
        </w:rPr>
        <w:t>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275DC3F3"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w:t>
      </w:r>
      <w:r>
        <w:rPr>
          <w:rFonts w:ascii="Garamond" w:hAnsi="Garamond" w:cs="Times New Roman"/>
        </w:rPr>
        <w:lastRenderedPageBreak/>
        <w:t xml:space="preserve">fisheries throughout the river. Fish caught in this fishery are a representative sample of returning stocks throughout the basin above the test fishery location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 were selected for chemical analysis in proportion to the relative CPUE throughout the season. </w:t>
      </w:r>
    </w:p>
    <w:p w14:paraId="23BCDAEA" w14:textId="0942306A" w:rsidR="00B857E3" w:rsidRPr="008605CB" w:rsidRDefault="00313CB8" w:rsidP="0082206F">
      <w:pPr>
        <w:spacing w:line="480" w:lineRule="auto"/>
        <w:ind w:firstLine="720"/>
        <w:rPr>
          <w:rFonts w:ascii="Garamond" w:eastAsia="Times New Roman" w:hAnsi="Garamond" w:cs="Times New Roman"/>
          <w:kern w:val="0"/>
          <w:sz w:val="22"/>
          <w:szCs w:val="22"/>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The resulting data represent a continuously integrated measurement of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from early development until marine entry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1998)","noteIndex":0},"citationItems":[{"id":"25Y35S3t/lIyU3UG4","uris":["http://zotero.org/users/8421274/items/IY3FLHLM"],"itemData":{"id":"dI01jIsp/qEdWN4pU","type":"article-journal","abstract":"Strontium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 Capo et al., 1998)</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From these data, the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value associated with the natal freshwater rearing period was extracted by examining patterns of change in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and Sr</w:t>
      </w:r>
      <w:r>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 xml:space="preserve"> between the core and freshwater region, morphological features of the otolith visible along the ablation path, and known distances from the core</w:t>
      </w:r>
      <w:ins w:id="53" w:author="Benjamin J. Makhlouf" w:date="2026-06-18T19:47:00Z" w16du:dateUtc="2026-06-19T02:47:00Z">
        <w:r w:rsidR="00221CA6">
          <w:rPr>
            <w:rFonts w:ascii="Garamond" w:eastAsia="Times New Roman" w:hAnsi="Garamond" w:cs="Times New Roman"/>
            <w:kern w:val="0"/>
            <w14:ligatures w14:val="none"/>
          </w:rPr>
          <w:t xml:space="preserve"> </w:t>
        </w:r>
        <w:r w:rsidR="00221CA6" w:rsidRPr="00221CA6">
          <w:rPr>
            <w:rFonts w:ascii="Garamond" w:eastAsia="Times New Roman" w:hAnsi="Garamond" w:cs="Times New Roman"/>
            <w:kern w:val="0"/>
            <w:highlight w:val="yellow"/>
            <w14:ligatures w14:val="none"/>
            <w:rPrChange w:id="54" w:author="Benjamin J. Makhlouf" w:date="2026-06-18T19:47:00Z" w16du:dateUtc="2026-06-19T02:47:00Z">
              <w:rPr>
                <w:rFonts w:ascii="Garamond" w:eastAsia="Times New Roman" w:hAnsi="Garamond" w:cs="Times New Roman"/>
                <w:kern w:val="0"/>
                <w14:ligatures w14:val="none"/>
              </w:rPr>
            </w:rPrChange>
          </w:rPr>
          <w:t>(X to Y)</w:t>
        </w:r>
      </w:ins>
      <w:r>
        <w:rPr>
          <w:rFonts w:ascii="Garamond" w:eastAsia="Times New Roman" w:hAnsi="Garamond" w:cs="Times New Roman"/>
          <w:kern w:val="0"/>
          <w14:ligatures w14:val="none"/>
        </w:rPr>
        <w:t xml:space="preserve"> to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55" w:author="Benjamin J. Makhlouf" w:date="2026-06-18T19:45:00Z" w16du:dateUtc="2026-06-19T02:45:00Z">
        <w:r w:rsidR="00221CA6">
          <w:rPr>
            <w:rFonts w:ascii="Garamond" w:eastAsia="Times New Roman" w:hAnsi="Garamond" w:cs="Times New Roman"/>
            <w:kern w:val="0"/>
            <w14:ligatures w14:val="none"/>
          </w:rPr>
          <w:t xml:space="preserve"> </w:t>
        </w:r>
      </w:ins>
      <w:ins w:id="56" w:author="Benjamin J. Makhlouf" w:date="2026-06-18T19:47:00Z" w16du:dateUtc="2026-06-19T02:47:00Z">
        <w:r w:rsidR="00221CA6">
          <w:rPr>
            <w:rFonts w:ascii="Garamond" w:eastAsia="Times New Roman" w:hAnsi="Garamond" w:cs="Times New Roman"/>
            <w:kern w:val="0"/>
            <w14:ligatures w14:val="none"/>
          </w:rPr>
          <w:t>Sr</w:t>
        </w:r>
        <w:r w:rsidR="00221CA6">
          <w:rPr>
            <w:rFonts w:ascii="Garamond" w:eastAsia="Times New Roman" w:hAnsi="Garamond" w:cs="Times New Roman"/>
            <w:kern w:val="0"/>
            <w:vertAlign w:val="superscript"/>
            <w14:ligatures w14:val="none"/>
          </w:rPr>
          <w:t>88</w:t>
        </w:r>
      </w:ins>
      <w:ins w:id="57" w:author="Benjamin J. Makhlouf" w:date="2026-06-18T19:48:00Z" w16du:dateUtc="2026-06-19T02:48:00Z">
        <w:r w:rsidR="00221CA6">
          <w:rPr>
            <w:rFonts w:ascii="Garamond" w:eastAsia="Times New Roman" w:hAnsi="Garamond" w:cs="Times New Roman"/>
            <w:kern w:val="0"/>
            <w14:ligatures w14:val="none"/>
          </w:rPr>
          <w:t xml:space="preserve"> can be used as a proxy for Sr concentration, which is expected to be much higher in the marine environment as well as the materna</w:t>
        </w:r>
      </w:ins>
      <w:ins w:id="58" w:author="Benjamin J. Makhlouf" w:date="2026-06-18T19:49:00Z" w16du:dateUtc="2026-06-19T02:49:00Z">
        <w:r w:rsidR="00221CA6">
          <w:rPr>
            <w:rFonts w:ascii="Garamond" w:eastAsia="Times New Roman" w:hAnsi="Garamond" w:cs="Times New Roman"/>
            <w:kern w:val="0"/>
            <w14:ligatures w14:val="none"/>
          </w:rPr>
          <w:t xml:space="preserve">lly influenced core. As a result, the Sr88 signal of the otolith data was used to guide manual selection of the natal origin region following depletion of the maternal signature, indicated by decreased Sr88 concentrations. </w:t>
        </w:r>
      </w:ins>
      <w:del w:id="59"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RDefault="00A10423" w:rsidP="00B857E3">
      <w:pPr>
        <w:spacing w:line="480" w:lineRule="auto"/>
        <w:rPr>
          <w:rFonts w:ascii="Garamond" w:eastAsia="Times New Roman" w:hAnsi="Garamond" w:cs="Times New Roman"/>
          <w:b/>
          <w:bCs/>
          <w:kern w:val="0"/>
          <w14:ligatures w14:val="none"/>
        </w:rPr>
      </w:pPr>
    </w:p>
    <w:p w14:paraId="696145BD" w14:textId="1982FBC3" w:rsidR="00B857E3" w:rsidRPr="008605CB" w:rsidRDefault="007C6331" w:rsidP="00B857E3">
      <w:pPr>
        <w:spacing w:line="480" w:lineRule="auto"/>
        <w:rPr>
          <w:rFonts w:ascii="Garamond" w:eastAsia="Times New Roman" w:hAnsi="Garamond" w:cs="Times New Roman"/>
          <w:b/>
          <w:bCs/>
          <w:kern w:val="0"/>
          <w14:ligatures w14:val="none"/>
        </w:rPr>
      </w:pPr>
      <w:r>
        <w:rPr>
          <w:rFonts w:ascii="Garamond" w:eastAsia="Times New Roman" w:hAnsi="Garamond" w:cs="Times New Roman"/>
          <w:b/>
          <w:bCs/>
          <w:kern w:val="0"/>
          <w14:ligatures w14:val="none"/>
        </w:rPr>
        <w:t xml:space="preserve">2.2 Natal Origin Estimation </w:t>
      </w:r>
    </w:p>
    <w:p w14:paraId="0305AF90" w14:textId="51C0A892"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A strontium isoscape of the Kuskokwim River basin (Fig. 1) was constructed by French et al. (2020) in which spatial variation in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The resulting isoscape includes estimates of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hAnsi="Garamond" w:cs="Times New Roman"/>
        </w:rPr>
        <w:t xml:space="preserve"> ratios and 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3A681D44"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This approach considers the relationship between extracted natal origin otolith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values as well as several variance generating processes including </w:t>
      </w:r>
      <w:r>
        <w:rPr>
          <w:rFonts w:ascii="Garamond" w:hAnsi="Garamond" w:cs="Times New Roman"/>
        </w:rPr>
        <w:t xml:space="preserve">analytical, within-population, and isoscape prediction errors. </w:t>
      </w:r>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w:lastRenderedPageBreak/>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t>(</w:t>
      </w:r>
      <w:r>
        <w:rPr>
          <w:rFonts w:ascii="Garamond" w:hAnsi="Garamond" w:cs="Times New Roman"/>
          <w:i/>
          <w:iCs/>
        </w:rPr>
        <w:t>r_j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443EA66B" w:rsidR="00814EE7" w:rsidRPr="008605CB" w:rsidRDefault="009110AF" w:rsidP="00814EE7">
      <w:pPr>
        <w:spacing w:line="480" w:lineRule="auto"/>
        <w:ind w:firstLine="720"/>
        <w:rPr>
          <w:rFonts w:ascii="Garamond" w:hAnsi="Garamond" w:cs="Times New Roman"/>
        </w:rPr>
      </w:pPr>
      <w:r>
        <w:rPr>
          <w:rFonts w:ascii="Garamond" w:hAnsi="Garamond" w:cs="Times New Roman"/>
        </w:rPr>
        <w:t xml:space="preserve">To estimate the spatial distribution of returns across a subset of the population, posterior probability values for all individuals in that subset were summed at each location. Before summing, only highly likely locations (the top 30% of posterior values) were retained, whereas all other values </w:t>
      </w:r>
      <w:r>
        <w:rPr>
          <w:rFonts w:ascii="Garamond" w:hAnsi="Garamond" w:cs="Times New Roman"/>
        </w:rPr>
        <w:lastRenderedPageBreak/>
        <w:t xml:space="preserve">were assigned a value of zero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60" w:author="Benjamin J. Makhlouf" w:date="2026-06-19T06:36:00Z" w16du:dateUtc="2026-06-19T13:36:00Z">
        <w:r w:rsidR="00D0057C">
          <w:rPr>
            <w:rFonts w:ascii="Garamond" w:hAnsi="Garamond" w:cs="Times New Roman"/>
          </w:rPr>
          <w:t xml:space="preserve">ranges that roughly represent quartiles of the </w:t>
        </w:r>
      </w:ins>
      <w:del w:id="61" w:author="Benjamin J. Makhlouf" w:date="2026-06-19T06:36:00Z" w16du:dateUtc="2026-06-19T13:36:00Z">
        <w:r w:rsidDel="00D0057C">
          <w:rPr>
            <w:rFonts w:ascii="Garamond" w:hAnsi="Garamond" w:cs="Times New Roman"/>
          </w:rPr>
          <w:delText>quartiles</w:delText>
        </w:r>
      </w:del>
      <w:r>
        <w:rPr>
          <w:rFonts w:ascii="Garamond" w:hAnsi="Garamond" w:cs="Times New Roman"/>
        </w:rPr>
        <w:t xml:space="preserve"> of the salmon migration season based on capture date: Q1 (run start through June 11), Q2 (June 12-21), Q3 (June 22-July 1), and Q4 (July 2 onward). These dates were chosen to roughly split the full run </w:t>
      </w:r>
      <w:ins w:id="62" w:author="Benjamin J. Makhlouf" w:date="2026-06-19T06:37:00Z" w16du:dateUtc="2026-06-19T13:37:00Z">
        <w:r w:rsidR="00D0057C">
          <w:rPr>
            <w:rFonts w:ascii="Garamond" w:hAnsi="Garamond" w:cs="Times New Roman"/>
          </w:rPr>
          <w:t>evenly into equal quartiles</w:t>
        </w:r>
      </w:ins>
      <w:del w:id="63" w:author="Benjamin J. Makhlouf" w:date="2026-06-19T06:37:00Z" w16du:dateUtc="2026-06-19T13:37:00Z">
        <w:r w:rsidDel="00D0057C">
          <w:rPr>
            <w:rFonts w:ascii="Garamond" w:hAnsi="Garamond" w:cs="Times New Roman"/>
          </w:rPr>
          <w:delText xml:space="preserve">into quartiles </w:delText>
        </w:r>
      </w:del>
      <w:r>
        <w:rPr>
          <w:rFonts w:ascii="Garamond" w:hAnsi="Garamond" w:cs="Times New Roman"/>
        </w:rPr>
        <w:t>while allowing for direct comparison among years.</w:t>
      </w:r>
      <w:ins w:id="64"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65" w:author="Benjamin J. Makhlouf" w:date="2026-06-19T06:38:00Z" w16du:dateUtc="2026-06-19T13:38:00Z">
        <w:r w:rsidR="00D0057C">
          <w:rPr>
            <w:rFonts w:ascii="Garamond" w:hAnsi="Garamond" w:cs="Times New Roman"/>
          </w:rPr>
          <w:t>.</w:t>
        </w:r>
      </w:ins>
      <w:r>
        <w:rPr>
          <w:rFonts w:ascii="Garamond" w:hAnsi="Garamond" w:cs="Times New Roman"/>
        </w:rPr>
        <w:t xml:space="preserve"> The June 11 date was chosen specifically to match the end of the ‘front end closure’ of the subsistence fishery. Estimates were also produced for the full run in each year. </w:t>
      </w:r>
    </w:p>
    <w:p w14:paraId="38A831B5" w14:textId="1C284AF9" w:rsidR="001D3E40" w:rsidRPr="008605CB" w:rsidRDefault="00D04860" w:rsidP="00961F08">
      <w:pPr>
        <w:spacing w:line="480" w:lineRule="auto"/>
        <w:ind w:firstLine="720"/>
        <w:rPr>
          <w:rFonts w:ascii="Garamond" w:hAnsi="Garamond" w:cs="Times New Roman"/>
        </w:rPr>
      </w:pPr>
      <w:ins w:id="66"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del w:id="67"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r w:rsidR="00E3555B">
        <w:rPr>
          <w:rFonts w:ascii="Garamond" w:hAnsi="Garamond" w:cs="Times New Roman"/>
        </w:rPr>
        <w:t xml:space="preserve">To identify regions of the watershed that can be distinguished based on their isotopic composition, we 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 xml:space="preserve">Sr values found in each. We then evaluated the clustering results for a range of cluster numbers (n = 2-6) using the silhouette score, which measures cluster quality by comparing within-cluster versus between-cluster distances. From this metric we selected n = 6, which maintained a high silhouette score while providing finer isotopic resolution across groups. The resulting regional groupings displayed a general pattern from upstream to downstream regions (Fig. 2b). However, K-means </w:t>
      </w:r>
      <w:r w:rsidR="00E3555B">
        <w:rPr>
          <w:rFonts w:ascii="Garamond" w:hAnsi="Garamond" w:cs="Times New Roman"/>
        </w:rPr>
        <w:lastRenderedPageBreak/>
        <w:t xml:space="preserve">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five. </w:t>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28D4A637" w14:textId="6ED1CD3A" w:rsidR="00961F08" w:rsidRPr="008605CB" w:rsidRDefault="00E352BB" w:rsidP="006B5AB0">
      <w:pPr>
        <w:spacing w:line="480" w:lineRule="auto"/>
        <w:ind w:firstLine="720"/>
        <w:rPr>
          <w:rFonts w:ascii="Garamond" w:hAnsi="Garamond" w:cs="Times New Roman"/>
        </w:rPr>
      </w:pPr>
      <w:r>
        <w:rPr>
          <w:rFonts w:ascii="Garamond" w:hAnsi="Garamond" w:cs="Times New Roman"/>
        </w:rPr>
        <w:t xml:space="preserve">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(Fig. 3). Cumulative distribution functions were constructed to examine trends in relative run timing among regional groups independent of abundance and quartile cut-off dates. For each year, the full run was split into three-day intervals and the cumulative number of returners for each group was compared to its full season contribution. To directly compare relative run timing to the temporal distribution of the full run, we used daily CPUE data collected from the BTF to calculate the cumulative proportion of the full run’s CPUE remaining for each day. This value represents the maximum potential harvest available if harvest rates are proportional to CPUE. However, this value does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 </w:t>
      </w:r>
    </w:p>
    <w:p w14:paraId="2E1403AA" w14:textId="1D1E6849" w:rsidR="00E35059" w:rsidRPr="00FC02BD" w:rsidRDefault="006E1BBC" w:rsidP="005C36CF">
      <w:pPr>
        <w:spacing w:line="480" w:lineRule="auto"/>
        <w:ind w:firstLine="720"/>
        <w:rPr>
          <w:rFonts w:ascii="Garamond" w:hAnsi="Garamond" w:cs="Times New Roman"/>
        </w:rPr>
      </w:pPr>
      <w:r>
        <w:rPr>
          <w:rFonts w:ascii="Garamond" w:hAnsi="Garamond"/>
        </w:rPr>
        <w:t>To assess the impact of the existing front-end closure, we quantified the share of each group’s total annual return that fell within the closure period (the first seasonal quartile, Q1 in our dataset). This comparison illustrates the maximum degree of protection provided to each stock group by estimating the portion of its annual run excluded from harvest</w:t>
      </w:r>
      <w:r>
        <w:rPr>
          <w:rFonts w:ascii="Garamond" w:hAnsi="Garamond" w:cs="Times New Roman"/>
        </w:rPr>
        <w:t xml:space="preserve">. We then assessed the same </w:t>
      </w:r>
      <w:r>
        <w:rPr>
          <w:rFonts w:ascii="Garamond" w:hAnsi="Garamond" w:cs="Times New Roman"/>
        </w:rPr>
        <w:lastRenderedPageBreak/>
        <w:t>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CPUE that occurred within the adjusted closure window and compared this value to the potential protection afforded to each group across all years (Fig. 6). Together, these results illustrate the tradeoff between increased protection under later closure end dates and the corresponding loss of potential harvest opportunity for stakeholders in the basin.</w:t>
      </w: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64E28138"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Across all years of our dataset (2017-2022), returns to the six regional groups exhibited a general transition from the furthest upstream to the furthest downstream as the season progressed (Fig. 3). Notably, group one, which contains the North Fork and East Fork Kuskokwim River, consistently contributed little to all years and quartiles (max: 2.9%). Early season returns (Q1: start of run through June 11, Fig. 3a.) were represented primarily by high contributions from group two (median: 42.2%), with relatively low median contribution (20% or less) from all other groups.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 Fig. 3c.),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 Fig. 3d.) exhibited a marked increase in median contribution from the furthest downstream group (group six, 17.9%), and contribution to this </w:t>
      </w:r>
      <w:r>
        <w:rPr>
          <w:rFonts w:ascii="Garamond" w:hAnsi="Garamond"/>
        </w:rPr>
        <w:lastRenderedPageBreak/>
        <w:t xml:space="preserve">quartile was largely driven by groups four and five located in the bottom of the watershed (26.9% and 25.4%, respectively). </w:t>
      </w:r>
    </w:p>
    <w:p w14:paraId="54D0CEDA" w14:textId="00326516" w:rsidR="001740E9" w:rsidRPr="00FC02BD" w:rsidRDefault="00536536" w:rsidP="00665BC1">
      <w:pPr>
        <w:pStyle w:val="whitespace-normal"/>
        <w:spacing w:line="480" w:lineRule="auto"/>
        <w:ind w:firstLine="720"/>
        <w:rPr>
          <w:rFonts w:ascii="Garamond" w:hAnsi="Garamond"/>
          <w:b/>
          <w:bCs/>
        </w:rPr>
      </w:pPr>
      <w:r>
        <w:rPr>
          <w:rFonts w:ascii="Garamond" w:hAnsi="Garamond"/>
        </w:rPr>
        <w:t>Cumulative distribution plots (Fig. 4) illustrated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099448FA" w:rsidR="00A54B4A" w:rsidRPr="00FC02BD" w:rsidRDefault="00E67672" w:rsidP="00D516D1">
      <w:pPr>
        <w:pStyle w:val="whitespace-normal"/>
        <w:spacing w:line="480" w:lineRule="auto"/>
        <w:ind w:firstLine="720"/>
        <w:rPr>
          <w:rFonts w:ascii="Garamond" w:hAnsi="Garamond"/>
        </w:rPr>
      </w:pPr>
      <w:r>
        <w:rPr>
          <w:rFonts w:ascii="Garamond" w:hAnsi="Garamond"/>
        </w:rPr>
        <w:t xml:space="preserve">Early returning upper Kuskokwim populations were afforded higher proportional protection through the implementation of a front-end closure management strategy (Fig. 5). On average, group one, comprised of the furthest upstream populations, received 22.6% of its total contribution within the front-end closure window, followed by group two at 13.5%. In contrast, populations in 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 protection across our dataset, with group two ranging from </w:t>
      </w:r>
      <w:r>
        <w:rPr>
          <w:rFonts w:ascii="Garamond" w:hAnsi="Garamond"/>
        </w:rPr>
        <w:lastRenderedPageBreak/>
        <w:t xml:space="preserve">2.4%–29.4% and group one ranging from 3%–52% of the overall return protected by the front-end closure. </w:t>
      </w:r>
    </w:p>
    <w:p w14:paraId="2A9EA7B8" w14:textId="4D587EBE" w:rsidR="00AB779D" w:rsidRPr="00D0678D" w:rsidRDefault="00BA542C" w:rsidP="00D0678D">
      <w:pPr>
        <w:pStyle w:val="whitespace-normal"/>
        <w:spacing w:line="480" w:lineRule="auto"/>
        <w:ind w:firstLine="720"/>
        <w:rPr>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68" w:name="_Hlk213834610"/>
      <w:r>
        <w:rPr>
          <w:rFonts w:ascii="Garamond" w:hAnsi="Garamond"/>
        </w:rPr>
        <w:t xml:space="preserve">17.4% and 9.1% in median protection, respectively, by extending the front-end closure three days and the same groups saw a 32.3% and 21.3% </w:t>
      </w:r>
      <w:bookmarkEnd w:id="68"/>
      <w:r>
        <w:rPr>
          <w:rFonts w:ascii="Garamond" w:hAnsi="Garamond"/>
        </w:rPr>
        <w:t>increase in protection by extending the front-end closure six days past the current closure date. Importantly, the minimum protection values in the three-day extension scenario were similar to the results of the currently implemented closure. 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minimum protection values increased more prominently to 21.9% and 14.9% for groups one and two. While a longer front-end closure provides greater protection to stocks across the basin, it also increases the share of the total return that cannot be harvested. Under the current closure duration, an average of 12% of the total CPUE fell within the closure period. Shortening the closure reduces this loss to less than 5% but offers very little protection for upstream stocks (Fig. 5). Extending the closure, by contrast, substantially increases protection for several groups; however, an average of 17% and 24%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lastRenderedPageBreak/>
        <w:t>Discussion</w:t>
      </w:r>
    </w:p>
    <w:p w14:paraId="7E471F36" w14:textId="4D5A62F6" w:rsidR="00E67672" w:rsidRPr="00FC02BD" w:rsidRDefault="004504D1" w:rsidP="00E67672">
      <w:pPr>
        <w:pStyle w:val="whitespace-normal"/>
        <w:spacing w:line="480" w:lineRule="auto"/>
        <w:ind w:firstLine="720"/>
        <w:rPr>
          <w:rFonts w:ascii="Garamond" w:hAnsi="Garamond"/>
        </w:rPr>
      </w:pPr>
      <w:r>
        <w:rPr>
          <w:rFonts w:ascii="Garamond" w:hAnsi="Garamond"/>
        </w:rPr>
        <w:t>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watersheds in the uppermost portions and the latest returning fish return to the furthest downstream portions of the watershed. This relationship was consistent throughout our multi-year dataset, emphasizing the consistency of this pattern across several generations despite variation in the overall migration timing and abundance.</w:t>
      </w:r>
    </w:p>
    <w:p w14:paraId="476F8195" w14:textId="282A7158" w:rsidR="00450ED3" w:rsidRPr="00A76A53" w:rsidRDefault="00EE2B9C" w:rsidP="00A76A53">
      <w:pPr>
        <w:pStyle w:val="whitespace-normal"/>
        <w:spacing w:line="480" w:lineRule="auto"/>
        <w:ind w:firstLine="720"/>
        <w:rPr>
          <w:rStyle w:val="Strong"/>
          <w:rFonts w:ascii="Garamond" w:eastAsiaTheme="majorEastAsia" w:hAnsi="Garamond"/>
          <w:b w:val="0"/>
          <w:bCs w:val="0"/>
        </w:rPr>
      </w:pPr>
      <w:r>
        <w:rPr>
          <w:rFonts w:ascii="Garamond" w:hAnsi="Garamond"/>
        </w:rPr>
        <w:t>A clear pattern of early-returning upriver populations supports the front-end closure’s objective of protecting these fish from downriver harvest and providing more equitable harvest opportunities</w:t>
      </w:r>
      <w:r>
        <w:rPr>
          <w:rStyle w:val="CommentReference"/>
          <w:rFonts w:asciiTheme="minorHAnsi" w:eastAsiaTheme="minorHAnsi" w:hAnsiTheme="minorHAnsi" w:cstheme="minorBidi"/>
          <w:kern w:val="2"/>
          <w14:ligatures w14:val="standardContextual"/>
        </w:rPr>
        <w:t xml:space="preserve"> </w:t>
      </w:r>
      <w:r>
        <w:rPr>
          <w:rFonts w:ascii="Garamond" w:hAnsi="Garamond"/>
        </w:rPr>
        <w:t xml:space="preserve">in the upper watershed. Upper Kuskokwim groups contributed substantially to early-season migrants (i.e. group two); however, the furthest upstream populations (group one) consistently represented only a small portion of total basin-wide returns in our dataset. Despite this variation in abundance, individuals in both upper watershed groups returned early in the migration season. As such, the front-end closure strategy as it is currently implemented provides harvest protection to upper watershed 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r>
        <w:rPr>
          <w:rStyle w:val="Strong"/>
          <w:rFonts w:ascii="Garamond" w:eastAsiaTheme="majorEastAsia" w:hAnsi="Garamond"/>
          <w:b w:val="0"/>
          <w:bCs w:val="0"/>
        </w:rPr>
        <w:t xml:space="preserve">contributes to maintaining 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690B8EFD" w14:textId="4D392B3F" w:rsidR="009C3FA5" w:rsidRPr="00BA542C" w:rsidRDefault="005312E0" w:rsidP="009C3FA5">
      <w:pPr>
        <w:pStyle w:val="whitespace-normal"/>
        <w:spacing w:line="480" w:lineRule="auto"/>
        <w:ind w:firstLine="720"/>
      </w:pPr>
      <w:r>
        <w:rPr>
          <w:rFonts w:ascii="Garamond" w:hAnsi="Garamond"/>
        </w:rPr>
        <w:lastRenderedPageBreak/>
        <w:t xml:space="preserve">Despite a consistent overall relationship between watershed position and migration timing, we observed substantial interannual variability in both the proportional contributions of regional groups to the total run and the proportional protection afforded by the front-end closure strategy. Variability in spatial patterns of production aligns with well-documented variability in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depends on both the timing (early vs. late) and duration (compressed vs. protracted) of the overall migration. Late return timing or extended run duration may result in less proportional contribution within the closure window as compared to earlier returning and less protracted run timing. As a result, both the amount and distribution of populations afforded protection depend on this interaction. When combined with natural variability in basin-wide production patterns, this may introduce substantial variability in the population-specific effect of the front-end closure. These results suggest a potential limitation of a fixed date closure and highlight the difficulty of managing for a dynamic ecosystem with fixed-duration management. A more dynamic closure which is responsive to predicted or observed run dynamics may provide more consistent protection to upstream populations. 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p>
    <w:p w14:paraId="21594D6A" w14:textId="7324AE74" w:rsidR="009C3FA5" w:rsidRPr="00FC02BD" w:rsidRDefault="009C3FA5" w:rsidP="00C162F5">
      <w:pPr>
        <w:pStyle w:val="whitespace-normal"/>
        <w:spacing w:line="480" w:lineRule="auto"/>
        <w:ind w:firstLine="720"/>
        <w:rPr>
          <w:rFonts w:ascii="Garamond" w:hAnsi="Garamond"/>
        </w:rPr>
      </w:pPr>
      <w:r>
        <w:rPr>
          <w:rFonts w:ascii="Garamond" w:hAnsi="Garamond"/>
        </w:rPr>
        <w:lastRenderedPageBreak/>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maintaining both biodiversity and harvest opportunity. As currently implemented, the front-end closure on the Kuskokwim resulted in 12% of the total potential harvest falling within the closure window. Although the three-day and six-day extensions did improve both the minimum and average protection afforded to upper watershed groups, they also resulted in an additional 6% and 14% of the potential harvest falling within the closure window. </w:t>
      </w:r>
    </w:p>
    <w:p w14:paraId="5003A478" w14:textId="593AF0CD" w:rsidR="003F1234" w:rsidRPr="00FC02BD" w:rsidRDefault="00C57048" w:rsidP="00F83731">
      <w:pPr>
        <w:pStyle w:val="NormalWeb"/>
        <w:spacing w:line="480" w:lineRule="auto"/>
        <w:ind w:firstLine="720"/>
        <w:rPr>
          <w:rFonts w:ascii="Garamond" w:hAnsi="Garamond"/>
        </w:rPr>
      </w:pPr>
      <w:r>
        <w:rPr>
          <w:rFonts w:ascii="Garamond" w:hAnsi="Garamond"/>
        </w:rPr>
        <w:t xml:space="preserve">Protecting upper Kuskokwim stocks through a front-end closure appears to be an effective strategy for maintaining biodiversity in the upper watershed while supporting basin-wide escapement goals and harvest opportunities. However, the overall effectiveness of this strategy in sustaining stock diversity and balancing conservation with harvest depends not only on the protection provided to upper-watershed stocks 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impact weak downstream stocks as compared to the same harvest pressure distributed across the full migration window, thereby degrading biodiversity. Further, the timing of the front-end closure coincides with the preferred and traditional timing of </w:t>
      </w:r>
      <w:r>
        <w:rPr>
          <w:rFonts w:ascii="Garamond" w:hAnsi="Garamond"/>
        </w:rPr>
        <w:lastRenderedPageBreak/>
        <w:t xml:space="preserve">fishing for many communities in the lower Kuskokwim. An extended duration of this closure has the potential to further disrupt traditional fishing opportunities for these communities and cause further hardship to subsistence communities in the basin. The efficacy of management strategies such as front-end closures must therefore be evaluated in the context of ecosystem, fishery, and cultural dynamics to fully understand their role in maintaining basin-wide biodiversity. </w:t>
      </w:r>
    </w:p>
    <w:p w14:paraId="3B62F4AB" w14:textId="5DE9E9DE" w:rsidR="00D04B7C" w:rsidRDefault="00E46D9E" w:rsidP="007B1069">
      <w:pPr>
        <w:pStyle w:val="whitespace-normal"/>
        <w:spacing w:line="480" w:lineRule="auto"/>
        <w:ind w:firstLine="720"/>
        <w:rPr>
          <w:rFonts w:ascii="Garamond" w:hAnsi="Garamond"/>
        </w:rPr>
      </w:pPr>
      <w:r>
        <w:rPr>
          <w:rFonts w:ascii="Garamond" w:hAnsi="Garamond"/>
        </w:rPr>
        <w:t xml:space="preserve">The accuracy of otolith-based methods has not been explicitly validated in the Kuskokwim River basin; however, they have demonstrated high assignment accuracy for Pacific salmon in similar Alaska watersheds </w:t>
      </w:r>
      <w:r>
        <w:rPr>
          <w:rFonts w:ascii="Garamond" w:hAnsi="Garamond"/>
        </w:rPr>
        <w:fldChar w:fldCharType="begin"/>
      </w:r>
      <w:r>
        <w:rPr>
          <w:rFonts w:ascii="Garamond" w:hAnsi="Garamond"/>
        </w:rPr>
        <w:instrText xml:space="preserve"> ADDIN ZOTERO_ITEM CSL_CITATION {"citationID":"tvE9voRc","properties":{"formattedCitation":"(Brennan et al., 2015)","plainCitation":"(Brennan et al., 2015)","noteIndex":0},"citationItems":[{"id":"25Y35S3t/lIyU3UG4","uris":["http://zotero.org/users/8421274/items/IY3FLHLM"],"itemData":{"id":"qdfHghSJ/KSW9LWYv","type":"article-journal","abstract":"Strontium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Pr>
          <w:rFonts w:ascii="Garamond" w:hAnsi="Garamond"/>
          <w:noProof/>
        </w:rPr>
        <w:t>(Brennan et al., 2015)</w:t>
      </w:r>
      <w:r>
        <w:rPr>
          <w:rFonts w:ascii="Garamond" w:hAnsi="Garamond"/>
        </w:rPr>
        <w:fldChar w:fldCharType="end"/>
      </w:r>
      <w:r>
        <w:rPr>
          <w:rFonts w:ascii="Garamond" w:hAnsi="Garamond"/>
        </w:rPr>
        <w:t xml:space="preserve">, and our results replicate ecological patterns which have been observed in other contexts in the basin. 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r>
        <w:rPr>
          <w:rFonts w:ascii="Garamond" w:hAnsi="Garamond"/>
        </w:rPr>
        <w:t xml:space="preserve">The data presented here demonstrate this application for population-specific run 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r>
        <w:rPr>
          <w:rStyle w:val="Strong"/>
          <w:rFonts w:ascii="Garamond" w:eastAsiaTheme="majorEastAsia" w:hAnsi="Garamond"/>
        </w:rPr>
        <w:t xml:space="preserve"> </w:t>
      </w:r>
      <w:r>
        <w:rPr>
          <w:rStyle w:val="Strong"/>
          <w:rFonts w:ascii="Garamond" w:eastAsiaTheme="majorEastAsia" w:hAnsi="Garamond"/>
          <w:b w:val="0"/>
          <w:bCs w:val="0"/>
        </w:rPr>
        <w:t>D</w:t>
      </w:r>
      <w:r>
        <w:rPr>
          <w:rFonts w:ascii="Garamond" w:hAnsi="Garamond"/>
        </w:rPr>
        <w:t>eveloping methods that explicitly consider this diversity and deploying them to better understand tradeoffs between conservation and exploitation strategies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77777777" w:rsidR="003525FA" w:rsidRPr="001A17C1" w:rsidRDefault="003525FA" w:rsidP="003525FA">
      <w:pPr>
        <w:ind w:firstLine="720"/>
        <w:rPr>
          <w:rFonts w:ascii="Garamond" w:hAnsi="Garamond" w:cs="Times New Roman"/>
        </w:rPr>
      </w:pPr>
      <w:r>
        <w:rPr>
          <w:rFonts w:ascii="Garamond" w:hAnsi="Garamond" w:cs="Times New Roman"/>
        </w:rPr>
        <w:t xml:space="preserve">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w:t>
      </w:r>
      <w:r>
        <w:rPr>
          <w:rFonts w:ascii="Garamond" w:hAnsi="Garamond" w:cs="Times New Roman"/>
        </w:rPr>
        <w:lastRenderedPageBreak/>
        <w:t xml:space="preserve">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6B50868A" w14:textId="77777777" w:rsidR="00983667" w:rsidRPr="00983667" w:rsidRDefault="00836381" w:rsidP="00983667">
      <w:pPr>
        <w:pStyle w:val="Bibliography"/>
        <w:rPr>
          <w:rFonts w:ascii="Garamond" w:hAnsi="Garamond"/>
        </w:rPr>
      </w:pPr>
      <w:r>
        <w:rPr>
          <w:rFonts w:ascii="Garamond" w:hAnsi="Garamond"/>
        </w:rPr>
        <w:fldChar w:fldCharType="begin"/>
      </w:r>
      <w:r>
        <w:rPr>
          <w:rFonts w:ascii="Garamond" w:hAnsi="Garamond"/>
        </w:rPr>
        <w:instrText xml:space="preserve"> ADDIN ZOTERO_BIBL {"uncited":[],"omitted":[],"custom":[]} CSL_BIBLIOGRAPHY </w:instrText>
      </w:r>
      <w:r>
        <w:rPr>
          <w:rFonts w:ascii="Garamond" w:hAnsi="Garamond"/>
        </w:rPr>
        <w:fldChar w:fldCharType="separate"/>
      </w:r>
      <w:r>
        <w:rPr>
          <w:rFonts w:ascii="Garamond" w:hAnsi="Garamond"/>
        </w:rPr>
        <w:t xml:space="preserve">ADFG. (2025). </w:t>
      </w:r>
      <w:r>
        <w:rPr>
          <w:rFonts w:ascii="Garamond" w:hAnsi="Garamond"/>
          <w:i/>
          <w:iCs/>
        </w:rPr>
        <w:t>Kuskokwim River Area: Subsistence Fishing</w:t>
      </w:r>
      <w:r>
        <w:rPr>
          <w:rFonts w:ascii="Garamond" w:hAnsi="Garamond"/>
        </w:rPr>
        <w:t>. https://www.adfg.alaska.gov/index.cfm?adfg=ByAreaSubsistenceKuskokwim.fishingInfo</w:t>
      </w:r>
    </w:p>
    <w:p w14:paraId="0B463E98" w14:textId="77777777" w:rsidR="00983667" w:rsidRPr="00983667" w:rsidRDefault="00983667" w:rsidP="00983667">
      <w:pPr>
        <w:pStyle w:val="Bibliography"/>
        <w:rPr>
          <w:rFonts w:ascii="Garamond" w:hAnsi="Garamond"/>
        </w:rPr>
      </w:pPr>
      <w:r>
        <w:rPr>
          <w:rFonts w:ascii="Garamond" w:hAnsi="Garamond"/>
        </w:rPr>
        <w:t xml:space="preserve">Bolnick, D. I., Amarasekare, P., Araújo, M. S., Bürger, R., Levine, J. M., Novak, M., Rudolf, V. H. W., Schreiber, S. J., Urban, M. C., &amp; Vasseur, D. A. (2011). Why intraspecific trait variation matters in community ecology. </w:t>
      </w:r>
      <w:r>
        <w:rPr>
          <w:rFonts w:ascii="Garamond" w:hAnsi="Garamond"/>
          <w:i/>
          <w:iCs/>
        </w:rPr>
        <w:t>Trends in Ecology &amp; Evolution</w:t>
      </w:r>
      <w:r>
        <w:rPr>
          <w:rFonts w:ascii="Garamond" w:hAnsi="Garamond"/>
        </w:rPr>
        <w:t xml:space="preserve">, </w:t>
      </w:r>
      <w:r>
        <w:rPr>
          <w:rFonts w:ascii="Garamond" w:hAnsi="Garamond"/>
          <w:i/>
          <w:iCs/>
        </w:rPr>
        <w:t>26</w:t>
      </w:r>
      <w:r>
        <w:rPr>
          <w:rFonts w:ascii="Garamond" w:hAnsi="Garamond"/>
        </w:rPr>
        <w:t>(4), 183–192. https://doi.org/10.1016/j.tree.2011.01.009</w:t>
      </w:r>
    </w:p>
    <w:p w14:paraId="20DBF442" w14:textId="77777777" w:rsidR="00983667" w:rsidRPr="00983667" w:rsidRDefault="00983667" w:rsidP="00983667">
      <w:pPr>
        <w:pStyle w:val="Bibliography"/>
        <w:rPr>
          <w:rFonts w:ascii="Garamond" w:hAnsi="Garamond"/>
        </w:rPr>
      </w:pPr>
      <w:r>
        <w:rPr>
          <w:rFonts w:ascii="Garamond" w:hAnsi="Garamond"/>
        </w:rPr>
        <w:t xml:space="preserve">Brennan, S. R., &amp; Schindler, D. E. (2017). Linking otolith microchemistry and dendritic isoscapes to map heterogeneous production of fish across river basins. </w:t>
      </w:r>
      <w:r>
        <w:rPr>
          <w:rFonts w:ascii="Garamond" w:hAnsi="Garamond"/>
          <w:i/>
          <w:iCs/>
        </w:rPr>
        <w:t>Ecological Applications</w:t>
      </w:r>
      <w:r>
        <w:rPr>
          <w:rFonts w:ascii="Garamond" w:hAnsi="Garamond"/>
        </w:rPr>
        <w:t xml:space="preserve">, </w:t>
      </w:r>
      <w:r>
        <w:rPr>
          <w:rFonts w:ascii="Garamond" w:hAnsi="Garamond"/>
          <w:i/>
          <w:iCs/>
        </w:rPr>
        <w:t>27</w:t>
      </w:r>
      <w:r>
        <w:rPr>
          <w:rFonts w:ascii="Garamond" w:hAnsi="Garamond"/>
        </w:rPr>
        <w:t>(2), 363–377. https://doi.org/10.1002/eap.1474</w:t>
      </w:r>
    </w:p>
    <w:p w14:paraId="313653CE" w14:textId="77777777" w:rsidR="00983667" w:rsidRPr="00983667" w:rsidRDefault="00983667" w:rsidP="00983667">
      <w:pPr>
        <w:pStyle w:val="Bibliography"/>
        <w:rPr>
          <w:rFonts w:ascii="Garamond" w:hAnsi="Garamond"/>
        </w:rPr>
      </w:pPr>
      <w:r>
        <w:rPr>
          <w:rFonts w:ascii="Garamond" w:hAnsi="Garamond"/>
        </w:rPr>
        <w:lastRenderedPageBreak/>
        <w:t xml:space="preserve">Brennan, S. R., Schindler, D. E., Cline, T. J., Walsworth, T. E., Buck, G., &amp; Fernandez, D. P. (2019). Shifting habitat mosaics and fish production across river basins. </w:t>
      </w:r>
      <w:r>
        <w:rPr>
          <w:rFonts w:ascii="Garamond" w:hAnsi="Garamond"/>
          <w:i/>
          <w:iCs/>
        </w:rPr>
        <w:t>Science</w:t>
      </w:r>
      <w:r>
        <w:rPr>
          <w:rFonts w:ascii="Garamond" w:hAnsi="Garamond"/>
        </w:rPr>
        <w:t xml:space="preserve">, </w:t>
      </w:r>
      <w:r>
        <w:rPr>
          <w:rFonts w:ascii="Garamond" w:hAnsi="Garamond"/>
          <w:i/>
          <w:iCs/>
        </w:rPr>
        <w:t>364</w:t>
      </w:r>
      <w:r>
        <w:rPr>
          <w:rFonts w:ascii="Garamond" w:hAnsi="Garamond"/>
        </w:rPr>
        <w:t>(6442), 783–786. https://doi.org/10.1126/science.aav4313</w:t>
      </w:r>
    </w:p>
    <w:p w14:paraId="0C39D8C9" w14:textId="77777777" w:rsidR="00983667" w:rsidRPr="00983667" w:rsidRDefault="00983667" w:rsidP="00983667">
      <w:pPr>
        <w:pStyle w:val="Bibliography"/>
        <w:rPr>
          <w:rFonts w:ascii="Garamond" w:hAnsi="Garamond"/>
        </w:rPr>
      </w:pPr>
      <w:r>
        <w:rPr>
          <w:rFonts w:ascii="Garamond" w:hAnsi="Garamond"/>
        </w:rPr>
        <w:t xml:space="preserve">Brennan, S. R., Torgersen, C. E., Hollenbeck, J. P., Fernandez, D. P., Jensen, C. K., &amp; Schindler, D. E. (2016). Dendritic network models: Improving isoscapes and quantifying influence of landscape and in-stream processes on strontium isotopes in rivers. </w:t>
      </w:r>
      <w:r>
        <w:rPr>
          <w:rFonts w:ascii="Garamond" w:hAnsi="Garamond"/>
          <w:i/>
          <w:iCs/>
        </w:rPr>
        <w:t>Geophysical Research Letters</w:t>
      </w:r>
      <w:r>
        <w:rPr>
          <w:rFonts w:ascii="Garamond" w:hAnsi="Garamond"/>
        </w:rPr>
        <w:t xml:space="preserve">, </w:t>
      </w:r>
      <w:r>
        <w:rPr>
          <w:rFonts w:ascii="Garamond" w:hAnsi="Garamond"/>
          <w:i/>
          <w:iCs/>
        </w:rPr>
        <w:t>43</w:t>
      </w:r>
      <w:r>
        <w:rPr>
          <w:rFonts w:ascii="Garamond" w:hAnsi="Garamond"/>
        </w:rPr>
        <w:t>(10), 5043–5051. https://doi.org/10.1002/2016GL068904</w:t>
      </w:r>
    </w:p>
    <w:p w14:paraId="223E4D6B" w14:textId="77777777" w:rsidR="00983667" w:rsidRPr="00983667" w:rsidRDefault="00983667" w:rsidP="00983667">
      <w:pPr>
        <w:pStyle w:val="Bibliography"/>
        <w:rPr>
          <w:rFonts w:ascii="Garamond" w:hAnsi="Garamond"/>
        </w:rPr>
      </w:pPr>
      <w:r>
        <w:rPr>
          <w:rFonts w:ascii="Garamond" w:hAnsi="Garamond"/>
        </w:rPr>
        <w:t xml:space="preserve">Brennan, S. R., Zimmerman, C. E., Fernandez, D. P., Cerling, T. E., McPhee, M. V., &amp; Wooller, M. J. (2015). Strontium isotopes delineate fine-scale natal origins and migration histories of Pacific salmon. </w:t>
      </w:r>
      <w:r>
        <w:rPr>
          <w:rFonts w:ascii="Garamond" w:hAnsi="Garamond"/>
          <w:i/>
          <w:iCs/>
        </w:rPr>
        <w:t>Science Advances</w:t>
      </w:r>
      <w:r>
        <w:rPr>
          <w:rFonts w:ascii="Garamond" w:hAnsi="Garamond"/>
        </w:rPr>
        <w:t xml:space="preserve">, </w:t>
      </w:r>
      <w:r>
        <w:rPr>
          <w:rFonts w:ascii="Garamond" w:hAnsi="Garamond"/>
          <w:i/>
          <w:iCs/>
        </w:rPr>
        <w:t>1</w:t>
      </w:r>
      <w:r>
        <w:rPr>
          <w:rFonts w:ascii="Garamond" w:hAnsi="Garamond"/>
        </w:rPr>
        <w:t>(4), e1400124. https://doi.org/10.1126/sciadv.1400124</w:t>
      </w:r>
    </w:p>
    <w:p w14:paraId="4B2CD6C4" w14:textId="77777777" w:rsidR="00983667" w:rsidRPr="00983667" w:rsidRDefault="00983667" w:rsidP="00983667">
      <w:pPr>
        <w:pStyle w:val="Bibliography"/>
        <w:rPr>
          <w:rFonts w:ascii="Garamond" w:hAnsi="Garamond"/>
        </w:rPr>
      </w:pPr>
      <w:r>
        <w:rPr>
          <w:rFonts w:ascii="Garamond" w:hAnsi="Garamond"/>
        </w:rPr>
        <w:t xml:space="preserve">Brown, C. L., &amp; Godduhn, A. (2015). </w:t>
      </w:r>
      <w:r>
        <w:rPr>
          <w:rFonts w:ascii="Garamond" w:hAnsi="Garamond"/>
          <w:i/>
          <w:iCs/>
        </w:rPr>
        <w:t>Socioeconomic effects of declining salmon runs on the Yukon River</w:t>
      </w:r>
      <w:r>
        <w:rPr>
          <w:rFonts w:ascii="Garamond" w:hAnsi="Garamond"/>
        </w:rPr>
        <w:t>.</w:t>
      </w:r>
    </w:p>
    <w:p w14:paraId="1237EF54" w14:textId="77777777" w:rsidR="00983667" w:rsidRPr="00983667" w:rsidRDefault="00983667" w:rsidP="00983667">
      <w:pPr>
        <w:pStyle w:val="Bibliography"/>
        <w:rPr>
          <w:rFonts w:ascii="Garamond" w:hAnsi="Garamond"/>
        </w:rPr>
      </w:pPr>
      <w:r>
        <w:rPr>
          <w:rFonts w:ascii="Garamond" w:hAnsi="Garamond"/>
        </w:rPr>
        <w:t xml:space="preserve">Campana, S. (1999). Chemistry and composition of fish otoliths:pathways, mechanisms and applications. </w:t>
      </w:r>
      <w:r>
        <w:rPr>
          <w:rFonts w:ascii="Garamond" w:hAnsi="Garamond"/>
          <w:i/>
          <w:iCs/>
        </w:rPr>
        <w:t>Marine Ecology Progress Series</w:t>
      </w:r>
      <w:r>
        <w:rPr>
          <w:rFonts w:ascii="Garamond" w:hAnsi="Garamond"/>
        </w:rPr>
        <w:t xml:space="preserve">, </w:t>
      </w:r>
      <w:r>
        <w:rPr>
          <w:rFonts w:ascii="Garamond" w:hAnsi="Garamond"/>
          <w:i/>
          <w:iCs/>
        </w:rPr>
        <w:t>188</w:t>
      </w:r>
      <w:r>
        <w:rPr>
          <w:rFonts w:ascii="Garamond" w:hAnsi="Garamond"/>
        </w:rPr>
        <w:t>, 263–297. https://doi.org/10.3354/meps188263</w:t>
      </w:r>
    </w:p>
    <w:p w14:paraId="06E51FFE" w14:textId="77777777" w:rsidR="00983667" w:rsidRPr="00983667" w:rsidRDefault="00983667" w:rsidP="00983667">
      <w:pPr>
        <w:pStyle w:val="Bibliography"/>
        <w:rPr>
          <w:rFonts w:ascii="Garamond" w:hAnsi="Garamond"/>
        </w:rPr>
      </w:pPr>
      <w:r>
        <w:rPr>
          <w:rFonts w:ascii="Garamond" w:hAnsi="Garamond"/>
        </w:rPr>
        <w:t xml:space="preserve">Capo, R. C., Stewart, B. W., &amp; Chadwick, O. A. (1998). Strontium isotopes as tracers of ecosystem processes: Theory and methods. </w:t>
      </w:r>
      <w:r>
        <w:rPr>
          <w:rFonts w:ascii="Garamond" w:hAnsi="Garamond"/>
          <w:i/>
          <w:iCs/>
        </w:rPr>
        <w:t>Geoderma</w:t>
      </w:r>
      <w:r>
        <w:rPr>
          <w:rFonts w:ascii="Garamond" w:hAnsi="Garamond"/>
        </w:rPr>
        <w:t xml:space="preserve">, </w:t>
      </w:r>
      <w:r>
        <w:rPr>
          <w:rFonts w:ascii="Garamond" w:hAnsi="Garamond"/>
          <w:i/>
          <w:iCs/>
        </w:rPr>
        <w:t>82</w:t>
      </w:r>
      <w:r>
        <w:rPr>
          <w:rFonts w:ascii="Garamond" w:hAnsi="Garamond"/>
        </w:rPr>
        <w:t>(1), 197–225. https://doi.org/10.1016/S0016-7061(97)00102-X</w:t>
      </w:r>
    </w:p>
    <w:p w14:paraId="1F0908C6" w14:textId="77777777" w:rsidR="00983667" w:rsidRPr="00983667" w:rsidRDefault="00983667" w:rsidP="00983667">
      <w:pPr>
        <w:pStyle w:val="Bibliography"/>
        <w:rPr>
          <w:rFonts w:ascii="Garamond" w:hAnsi="Garamond"/>
        </w:rPr>
      </w:pPr>
      <w:r>
        <w:rPr>
          <w:rFonts w:ascii="Garamond" w:hAnsi="Garamond"/>
        </w:rPr>
        <w:t xml:space="preserve">Chittaro, P., Hegg, J., Fuhrman, A., Robichaux, D., Doung, R., Beckman, B., Fisher, C., Vervoort, J., &amp; Kennedy, B. (2023). The incorporation of environmentally derived 87Sr/86Sr and Sr/Ca in early otolith formation of Chinook salmon. </w:t>
      </w:r>
      <w:r>
        <w:rPr>
          <w:rFonts w:ascii="Garamond" w:hAnsi="Garamond"/>
          <w:i/>
          <w:iCs/>
        </w:rPr>
        <w:t>Ecology of Freshwater Fish</w:t>
      </w:r>
      <w:r>
        <w:rPr>
          <w:rFonts w:ascii="Garamond" w:hAnsi="Garamond"/>
        </w:rPr>
        <w:t xml:space="preserve">, </w:t>
      </w:r>
      <w:r>
        <w:rPr>
          <w:rFonts w:ascii="Garamond" w:hAnsi="Garamond"/>
          <w:i/>
          <w:iCs/>
        </w:rPr>
        <w:t>32</w:t>
      </w:r>
      <w:r>
        <w:rPr>
          <w:rFonts w:ascii="Garamond" w:hAnsi="Garamond"/>
        </w:rPr>
        <w:t>(1), 107–119. https://doi.org/10.1111/eff.12673</w:t>
      </w:r>
    </w:p>
    <w:p w14:paraId="38A261EE" w14:textId="77777777" w:rsidR="00983667" w:rsidRPr="00983667" w:rsidRDefault="00983667" w:rsidP="00983667">
      <w:pPr>
        <w:pStyle w:val="Bibliography"/>
        <w:rPr>
          <w:rFonts w:ascii="Garamond" w:hAnsi="Garamond"/>
        </w:rPr>
      </w:pPr>
      <w:r>
        <w:rPr>
          <w:rFonts w:ascii="Garamond" w:hAnsi="Garamond"/>
        </w:rPr>
        <w:t xml:space="preserve">Clark, J. N., &amp; Smith, N. J. (2019). </w:t>
      </w:r>
      <w:r>
        <w:rPr>
          <w:rFonts w:ascii="Garamond" w:hAnsi="Garamond"/>
          <w:i/>
          <w:iCs/>
        </w:rPr>
        <w:t>Inriver Abundance of Kuskokwim River Chinook Salmon, 2017</w:t>
      </w:r>
      <w:r>
        <w:rPr>
          <w:rFonts w:ascii="Garamond" w:hAnsi="Garamond"/>
        </w:rPr>
        <w:t xml:space="preserve">. </w:t>
      </w:r>
      <w:r>
        <w:rPr>
          <w:rFonts w:ascii="Garamond" w:hAnsi="Garamond"/>
          <w:i/>
          <w:iCs/>
        </w:rPr>
        <w:t>Alaska Department of Fish and Game, Fishery Data Series No. 19-21, Anchorage.</w:t>
      </w:r>
    </w:p>
    <w:p w14:paraId="4893C4AC" w14:textId="77777777" w:rsidR="00983667" w:rsidRPr="00983667" w:rsidRDefault="00983667" w:rsidP="00983667">
      <w:pPr>
        <w:pStyle w:val="Bibliography"/>
        <w:rPr>
          <w:rFonts w:ascii="Garamond" w:hAnsi="Garamond"/>
        </w:rPr>
      </w:pPr>
      <w:r>
        <w:rPr>
          <w:rFonts w:ascii="Garamond" w:hAnsi="Garamond"/>
        </w:rPr>
        <w:lastRenderedPageBreak/>
        <w:t xml:space="preserve">Clark, S. C., Tanner, T. L., Sethi, S. A., Bentley, K. T., &amp; Schindler, D. E. (2015). Migration Timing of Adult Chinook Salmon into the Togiak River, Alaska, Watershed: Is There Evidence for Stock Structure? </w:t>
      </w:r>
      <w:r>
        <w:rPr>
          <w:rFonts w:ascii="Garamond" w:hAnsi="Garamond"/>
          <w:i/>
          <w:iCs/>
        </w:rPr>
        <w:t>Transactions of the American Fisheries Society</w:t>
      </w:r>
      <w:r>
        <w:rPr>
          <w:rFonts w:ascii="Garamond" w:hAnsi="Garamond"/>
        </w:rPr>
        <w:t xml:space="preserve">, </w:t>
      </w:r>
      <w:r>
        <w:rPr>
          <w:rFonts w:ascii="Garamond" w:hAnsi="Garamond"/>
          <w:i/>
          <w:iCs/>
        </w:rPr>
        <w:t>144</w:t>
      </w:r>
      <w:r>
        <w:rPr>
          <w:rFonts w:ascii="Garamond" w:hAnsi="Garamond"/>
        </w:rPr>
        <w:t>(4), 829–836. https://doi.org/10.1080/00028487.2015.1031281</w:t>
      </w:r>
    </w:p>
    <w:p w14:paraId="67ECD2D3" w14:textId="77777777" w:rsidR="00983667" w:rsidRPr="00983667" w:rsidRDefault="00983667" w:rsidP="00983667">
      <w:pPr>
        <w:pStyle w:val="Bibliography"/>
        <w:rPr>
          <w:rFonts w:ascii="Garamond" w:hAnsi="Garamond"/>
        </w:rPr>
      </w:pPr>
      <w:r>
        <w:rPr>
          <w:rFonts w:ascii="Garamond" w:hAnsi="Garamond"/>
        </w:rPr>
        <w:t xml:space="preserve">Cline, T. J., Schindler, D. E., &amp; Hilborn, R. (2017). Fisheries portfolio diversification and turnover buffer Alaskan fishing communities from abrupt resource and market changes. </w:t>
      </w:r>
      <w:r>
        <w:rPr>
          <w:rFonts w:ascii="Garamond" w:hAnsi="Garamond"/>
          <w:i/>
          <w:iCs/>
        </w:rPr>
        <w:t>Nature Communications</w:t>
      </w:r>
      <w:r>
        <w:rPr>
          <w:rFonts w:ascii="Garamond" w:hAnsi="Garamond"/>
        </w:rPr>
        <w:t xml:space="preserve">, </w:t>
      </w:r>
      <w:r>
        <w:rPr>
          <w:rFonts w:ascii="Garamond" w:hAnsi="Garamond"/>
          <w:i/>
          <w:iCs/>
        </w:rPr>
        <w:t>8</w:t>
      </w:r>
      <w:r>
        <w:rPr>
          <w:rFonts w:ascii="Garamond" w:hAnsi="Garamond"/>
        </w:rPr>
        <w:t>(1), Article 1. https://doi.org/10.1038/ncomms14042</w:t>
      </w:r>
    </w:p>
    <w:p w14:paraId="0360C86A" w14:textId="77777777" w:rsidR="00983667" w:rsidRPr="00983667" w:rsidRDefault="00983667" w:rsidP="00983667">
      <w:pPr>
        <w:pStyle w:val="Bibliography"/>
        <w:rPr>
          <w:rFonts w:ascii="Garamond" w:hAnsi="Garamond"/>
        </w:rPr>
      </w:pPr>
      <w:r>
        <w:rPr>
          <w:rFonts w:ascii="Garamond" w:hAnsi="Garamond"/>
        </w:rPr>
        <w:t xml:space="preserve">Connors, B. M., Staton, B., Coggins, L., Walters, C., Jones, M., Gwinn, D., Catalano, M., &amp; Fleischman, S. (2020). Incorporating harvest–population diversity trade-offs into harvest policy analyses of salmon management in large river basins. </w:t>
      </w:r>
      <w:r>
        <w:rPr>
          <w:rFonts w:ascii="Garamond" w:hAnsi="Garamond"/>
          <w:i/>
          <w:iCs/>
        </w:rPr>
        <w:t>Canadian Journal of Fisheries and Aquatic Sciences</w:t>
      </w:r>
      <w:r>
        <w:rPr>
          <w:rFonts w:ascii="Garamond" w:hAnsi="Garamond"/>
        </w:rPr>
        <w:t xml:space="preserve">, </w:t>
      </w:r>
      <w:r>
        <w:rPr>
          <w:rFonts w:ascii="Garamond" w:hAnsi="Garamond"/>
          <w:i/>
          <w:iCs/>
        </w:rPr>
        <w:t>77</w:t>
      </w:r>
      <w:r>
        <w:rPr>
          <w:rFonts w:ascii="Garamond" w:hAnsi="Garamond"/>
        </w:rPr>
        <w:t>(6), 1076–1089. https://doi.org/10.1139/cjfas-2019-0282</w:t>
      </w:r>
    </w:p>
    <w:p w14:paraId="32F5433B" w14:textId="77777777" w:rsidR="00983667" w:rsidRPr="00983667" w:rsidRDefault="00983667" w:rsidP="00983667">
      <w:pPr>
        <w:pStyle w:val="Bibliography"/>
        <w:rPr>
          <w:rFonts w:ascii="Garamond" w:hAnsi="Garamond"/>
        </w:rPr>
      </w:pPr>
      <w:r>
        <w:rPr>
          <w:rFonts w:ascii="Garamond" w:hAnsi="Garamond"/>
        </w:rPr>
        <w:t xml:space="preserve">Donohoe, C. J., &amp; Zimmerman, C. E. (2010). A method of mounting multiple otoliths for beam-based microchemical analyses. </w:t>
      </w:r>
      <w:r>
        <w:rPr>
          <w:rFonts w:ascii="Garamond" w:hAnsi="Garamond"/>
          <w:i/>
          <w:iCs/>
        </w:rPr>
        <w:t>Environmental Biology of Fishes</w:t>
      </w:r>
      <w:r>
        <w:rPr>
          <w:rFonts w:ascii="Garamond" w:hAnsi="Garamond"/>
        </w:rPr>
        <w:t xml:space="preserve">, </w:t>
      </w:r>
      <w:r>
        <w:rPr>
          <w:rFonts w:ascii="Garamond" w:hAnsi="Garamond"/>
          <w:i/>
          <w:iCs/>
        </w:rPr>
        <w:t>89</w:t>
      </w:r>
      <w:r>
        <w:rPr>
          <w:rFonts w:ascii="Garamond" w:hAnsi="Garamond"/>
        </w:rPr>
        <w:t>(3), 473–477. https://doi.org/10.1007/s10641-010-9680-3</w:t>
      </w:r>
    </w:p>
    <w:p w14:paraId="0620F52B" w14:textId="77777777" w:rsidR="00983667" w:rsidRPr="00983667" w:rsidRDefault="00983667" w:rsidP="00983667">
      <w:pPr>
        <w:pStyle w:val="Bibliography"/>
        <w:rPr>
          <w:rFonts w:ascii="Garamond" w:hAnsi="Garamond"/>
        </w:rPr>
      </w:pPr>
      <w:r>
        <w:rPr>
          <w:rFonts w:ascii="Garamond" w:hAnsi="Garamond"/>
        </w:rPr>
        <w:t xml:space="preserve">Falke, &amp; Paul. (2025). </w:t>
      </w:r>
      <w:r>
        <w:rPr>
          <w:rFonts w:ascii="Garamond" w:hAnsi="Garamond"/>
          <w:i/>
          <w:iCs/>
        </w:rPr>
        <w:t>Stream Attributes and Habitat Intrinsic Potential Model Results to examine Freshwater Habitat Potential for Chinook Salmon in the Yukon and Kuskokwim River Basins, Alaska</w:t>
      </w:r>
      <w:r>
        <w:rPr>
          <w:rFonts w:ascii="Garamond" w:hAnsi="Garamond"/>
        </w:rPr>
        <w:t xml:space="preserve"> [Csv,xml,shp]. U.S. Geological Survey. https://doi.org/10.5066/P95AV4JO</w:t>
      </w:r>
    </w:p>
    <w:p w14:paraId="396A3815" w14:textId="77777777" w:rsidR="00983667" w:rsidRPr="00983667" w:rsidRDefault="00983667" w:rsidP="00983667">
      <w:pPr>
        <w:pStyle w:val="Bibliography"/>
        <w:rPr>
          <w:rFonts w:ascii="Garamond" w:hAnsi="Garamond"/>
        </w:rPr>
      </w:pPr>
      <w:r>
        <w:rPr>
          <w:rFonts w:ascii="Garamond" w:hAnsi="Garamond"/>
        </w:rPr>
        <w:t xml:space="preserve">French, D. W., Schindler, D. E., Brennan, S. R., &amp; Whited, D. (2020). Headwater Catchments Govern Biogeochemistry in America’s Largest Free-Flowing River Network. </w:t>
      </w:r>
      <w:r>
        <w:rPr>
          <w:rFonts w:ascii="Garamond" w:hAnsi="Garamond"/>
          <w:i/>
          <w:iCs/>
        </w:rPr>
        <w:t>Journal of Geophysical Research: Biogeosciences</w:t>
      </w:r>
      <w:r>
        <w:rPr>
          <w:rFonts w:ascii="Garamond" w:hAnsi="Garamond"/>
        </w:rPr>
        <w:t xml:space="preserve">, </w:t>
      </w:r>
      <w:r>
        <w:rPr>
          <w:rFonts w:ascii="Garamond" w:hAnsi="Garamond"/>
          <w:i/>
          <w:iCs/>
        </w:rPr>
        <w:t>125</w:t>
      </w:r>
      <w:r>
        <w:rPr>
          <w:rFonts w:ascii="Garamond" w:hAnsi="Garamond"/>
        </w:rPr>
        <w:t>(12), e2020JG005851. https://doi.org/10.1029/2020JG005851</w:t>
      </w:r>
    </w:p>
    <w:p w14:paraId="3AF63FB7" w14:textId="77777777" w:rsidR="00983667" w:rsidRPr="00983667" w:rsidRDefault="00983667" w:rsidP="00983667">
      <w:pPr>
        <w:pStyle w:val="Bibliography"/>
        <w:rPr>
          <w:rFonts w:ascii="Garamond" w:hAnsi="Garamond"/>
        </w:rPr>
      </w:pPr>
      <w:r>
        <w:rPr>
          <w:rFonts w:ascii="Garamond" w:hAnsi="Garamond"/>
        </w:rPr>
        <w:t xml:space="preserve">Griffiths, J. R., Schindler, D. E., Armstrong, J. B., Scheuerell, M. D., Whited, D. C., Clark, R. A., Hilborn, R., Holt, C. A., Lindley, S. T., Stanford, J. A., &amp; Volk, E. C. (2014). Performance of </w:t>
      </w:r>
      <w:r>
        <w:rPr>
          <w:rFonts w:ascii="Garamond" w:hAnsi="Garamond"/>
        </w:rPr>
        <w:lastRenderedPageBreak/>
        <w:t xml:space="preserve">salmon fishery portfolios across western North America. </w:t>
      </w:r>
      <w:r>
        <w:rPr>
          <w:rFonts w:ascii="Garamond" w:hAnsi="Garamond"/>
          <w:i/>
          <w:iCs/>
        </w:rPr>
        <w:t>Biological Conservation</w:t>
      </w:r>
      <w:r>
        <w:rPr>
          <w:rFonts w:ascii="Garamond" w:hAnsi="Garamond"/>
        </w:rPr>
        <w:t xml:space="preserve">, </w:t>
      </w:r>
      <w:r>
        <w:rPr>
          <w:rFonts w:ascii="Garamond" w:hAnsi="Garamond"/>
          <w:i/>
          <w:iCs/>
        </w:rPr>
        <w:t>51</w:t>
      </w:r>
      <w:r>
        <w:rPr>
          <w:rFonts w:ascii="Garamond" w:hAnsi="Garamond"/>
        </w:rPr>
        <w:t>(6), 1554–1563. https://doi.org/10.1111/1365-2664.12341</w:t>
      </w:r>
    </w:p>
    <w:p w14:paraId="13F73144" w14:textId="77777777" w:rsidR="00983667" w:rsidRPr="00983667" w:rsidRDefault="00983667" w:rsidP="00983667">
      <w:pPr>
        <w:pStyle w:val="Bibliography"/>
        <w:rPr>
          <w:rFonts w:ascii="Garamond" w:hAnsi="Garamond"/>
        </w:rPr>
      </w:pPr>
      <w:r>
        <w:rPr>
          <w:rFonts w:ascii="Garamond" w:hAnsi="Garamond"/>
        </w:rPr>
        <w:t xml:space="preserve">Hamazaki, T. (2008). “When people argue about fish, the fish disappear.” </w:t>
      </w:r>
      <w:r>
        <w:rPr>
          <w:rFonts w:ascii="Garamond" w:hAnsi="Garamond"/>
          <w:i/>
          <w:iCs/>
        </w:rPr>
        <w:t>Fisheries</w:t>
      </w:r>
      <w:r>
        <w:rPr>
          <w:rFonts w:ascii="Garamond" w:hAnsi="Garamond"/>
        </w:rPr>
        <w:t xml:space="preserve">, </w:t>
      </w:r>
      <w:r>
        <w:rPr>
          <w:rFonts w:ascii="Garamond" w:hAnsi="Garamond"/>
          <w:i/>
          <w:iCs/>
        </w:rPr>
        <w:t>33</w:t>
      </w:r>
      <w:r>
        <w:rPr>
          <w:rFonts w:ascii="Garamond" w:hAnsi="Garamond"/>
        </w:rPr>
        <w:t>(10), 495–501. https://doi.org/10.1577/1548-8446-33.10.495</w:t>
      </w:r>
    </w:p>
    <w:p w14:paraId="0D29B2C1" w14:textId="77777777" w:rsidR="00983667" w:rsidRPr="00983667" w:rsidRDefault="00983667" w:rsidP="00983667">
      <w:pPr>
        <w:pStyle w:val="Bibliography"/>
        <w:rPr>
          <w:rFonts w:ascii="Garamond" w:hAnsi="Garamond"/>
        </w:rPr>
      </w:pPr>
      <w:r>
        <w:rPr>
          <w:rFonts w:ascii="Garamond" w:hAnsi="Garamond"/>
        </w:rPr>
        <w:t xml:space="preserve">Head, J. M., Smith, N. J., &amp; Liller, Z. W. (2017). </w:t>
      </w:r>
      <w:r>
        <w:rPr>
          <w:rFonts w:ascii="Garamond" w:hAnsi="Garamond"/>
          <w:i/>
          <w:iCs/>
        </w:rPr>
        <w:t>Inriver abundance of Kuskokwim River Chinook salmon, 2014.</w:t>
      </w:r>
      <w:r>
        <w:rPr>
          <w:rFonts w:ascii="Garamond" w:hAnsi="Garamond"/>
        </w:rPr>
        <w:t xml:space="preserve"> (Alaska Department of Fish and Game, Fishery Data Series No. 17-23, Anchorage.).</w:t>
      </w:r>
    </w:p>
    <w:p w14:paraId="13BB60AC" w14:textId="77777777" w:rsidR="00983667" w:rsidRPr="00983667" w:rsidRDefault="00983667" w:rsidP="00983667">
      <w:pPr>
        <w:pStyle w:val="Bibliography"/>
        <w:rPr>
          <w:rFonts w:ascii="Garamond" w:hAnsi="Garamond"/>
        </w:rPr>
      </w:pPr>
      <w:r>
        <w:rPr>
          <w:rFonts w:ascii="Garamond" w:hAnsi="Garamond"/>
        </w:rPr>
        <w:t xml:space="preserve">Hilborn, R., Quinn, T. P., Schindler, D. E., &amp; Rogers, D. E. (2003). Biocomplexity and fisheries sustainability. </w:t>
      </w:r>
      <w:r>
        <w:rPr>
          <w:rFonts w:ascii="Garamond" w:hAnsi="Garamond"/>
          <w:i/>
          <w:iCs/>
        </w:rPr>
        <w:t>Proceedings of the National Academy of Sciences</w:t>
      </w:r>
      <w:r>
        <w:rPr>
          <w:rFonts w:ascii="Garamond" w:hAnsi="Garamond"/>
        </w:rPr>
        <w:t xml:space="preserve">, </w:t>
      </w:r>
      <w:r>
        <w:rPr>
          <w:rFonts w:ascii="Garamond" w:hAnsi="Garamond"/>
          <w:i/>
          <w:iCs/>
        </w:rPr>
        <w:t>100</w:t>
      </w:r>
      <w:r>
        <w:rPr>
          <w:rFonts w:ascii="Garamond" w:hAnsi="Garamond"/>
        </w:rPr>
        <w:t>(11), 6564–6568. https://doi.org/10.1073/pnas.1037274100</w:t>
      </w:r>
    </w:p>
    <w:p w14:paraId="16784FB3" w14:textId="77777777" w:rsidR="00983667" w:rsidRPr="00983667" w:rsidRDefault="00983667" w:rsidP="00983667">
      <w:pPr>
        <w:pStyle w:val="Bibliography"/>
        <w:rPr>
          <w:rFonts w:ascii="Garamond" w:hAnsi="Garamond"/>
        </w:rPr>
      </w:pPr>
      <w:r>
        <w:rPr>
          <w:rFonts w:ascii="Garamond" w:hAnsi="Garamond"/>
        </w:rPr>
        <w:t xml:space="preserve">KRITFC. (2024). </w:t>
      </w:r>
      <w:r>
        <w:rPr>
          <w:rFonts w:ascii="Garamond" w:hAnsi="Garamond"/>
          <w:i/>
          <w:iCs/>
        </w:rPr>
        <w:t>Kuskokwim River Salmon Situation Report</w:t>
      </w:r>
      <w:r>
        <w:rPr>
          <w:rFonts w:ascii="Garamond" w:hAnsi="Garamond"/>
        </w:rPr>
        <w:t>. https://static1.squarespace.com/static/5afdc3d5e74940913f78773d/t/66e4bb2dfcc5d24880434ff7/1726266166559/2023+Kusko+Situation+Report_4.19.24+final.pdf</w:t>
      </w:r>
    </w:p>
    <w:p w14:paraId="209635C2" w14:textId="77777777" w:rsidR="00983667" w:rsidRPr="00983667" w:rsidRDefault="00983667" w:rsidP="00983667">
      <w:pPr>
        <w:pStyle w:val="Bibliography"/>
        <w:rPr>
          <w:rFonts w:ascii="Garamond" w:hAnsi="Garamond"/>
        </w:rPr>
      </w:pPr>
      <w:r>
        <w:rPr>
          <w:rFonts w:ascii="Garamond" w:hAnsi="Garamond"/>
        </w:rPr>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Pr>
          <w:rFonts w:ascii="Garamond" w:hAnsi="Garamond"/>
          <w:i/>
          <w:iCs/>
        </w:rPr>
        <w:t>Fish and Fisheries</w:t>
      </w:r>
      <w:r>
        <w:rPr>
          <w:rFonts w:ascii="Garamond" w:hAnsi="Garamond"/>
        </w:rPr>
        <w:t xml:space="preserve">, </w:t>
      </w:r>
      <w:r>
        <w:rPr>
          <w:rFonts w:ascii="Garamond" w:hAnsi="Garamond"/>
          <w:i/>
          <w:iCs/>
        </w:rPr>
        <w:t>26</w:t>
      </w:r>
      <w:r>
        <w:rPr>
          <w:rFonts w:ascii="Garamond" w:hAnsi="Garamond"/>
        </w:rPr>
        <w:t>(4), 520–532. https://doi.org/10.1111/faf.12895</w:t>
      </w:r>
    </w:p>
    <w:p w14:paraId="36BA41A0" w14:textId="77777777" w:rsidR="00983667" w:rsidRPr="00983667" w:rsidRDefault="00983667" w:rsidP="00983667">
      <w:pPr>
        <w:pStyle w:val="Bibliography"/>
        <w:rPr>
          <w:rFonts w:ascii="Garamond" w:hAnsi="Garamond"/>
        </w:rPr>
      </w:pPr>
      <w:r>
        <w:rPr>
          <w:rFonts w:ascii="Garamond" w:hAnsi="Garamond"/>
        </w:rPr>
        <w:t xml:space="preserve">Lipka, C., &amp; Elison, T. (2015). </w:t>
      </w:r>
      <w:r>
        <w:rPr>
          <w:rFonts w:ascii="Garamond" w:hAnsi="Garamond"/>
          <w:i/>
          <w:iCs/>
        </w:rPr>
        <w:t>Characterization of the 2012 and 2013 salmon runs in the Kuskokwim River based on the test fishery at Bethel.</w:t>
      </w:r>
      <w:r>
        <w:rPr>
          <w:rFonts w:ascii="Garamond" w:hAnsi="Garamond"/>
        </w:rPr>
        <w:t xml:space="preserve"> (Fishery Data Series No. 16-06 Anchorage). Alaska Department of Fish and Game.</w:t>
      </w:r>
    </w:p>
    <w:p w14:paraId="227478FC" w14:textId="77777777" w:rsidR="00983667" w:rsidRPr="00983667" w:rsidRDefault="00983667" w:rsidP="00983667">
      <w:pPr>
        <w:pStyle w:val="Bibliography"/>
        <w:rPr>
          <w:rFonts w:ascii="Garamond" w:hAnsi="Garamond"/>
        </w:rPr>
      </w:pPr>
      <w:r>
        <w:rPr>
          <w:rFonts w:ascii="Garamond" w:hAnsi="Garamond"/>
        </w:rPr>
        <w:t xml:space="preserve">Luck, G., Daily, G., &amp; Ehrlich, P. (2003). Population diversity and ecosystem services. </w:t>
      </w:r>
      <w:r>
        <w:rPr>
          <w:rFonts w:ascii="Garamond" w:hAnsi="Garamond"/>
          <w:i/>
          <w:iCs/>
        </w:rPr>
        <w:t>Trends in Ecology &amp; Evolution</w:t>
      </w:r>
      <w:r>
        <w:rPr>
          <w:rFonts w:ascii="Garamond" w:hAnsi="Garamond"/>
        </w:rPr>
        <w:t xml:space="preserve">, </w:t>
      </w:r>
      <w:r>
        <w:rPr>
          <w:rFonts w:ascii="Garamond" w:hAnsi="Garamond"/>
          <w:i/>
          <w:iCs/>
        </w:rPr>
        <w:t>18</w:t>
      </w:r>
      <w:r>
        <w:rPr>
          <w:rFonts w:ascii="Garamond" w:hAnsi="Garamond"/>
        </w:rPr>
        <w:t>, 331–336. https://doi.org/10.1016/S0169-5347(03)00100-9</w:t>
      </w:r>
    </w:p>
    <w:p w14:paraId="69521790" w14:textId="77777777" w:rsidR="00983667" w:rsidRPr="00983667" w:rsidRDefault="00983667" w:rsidP="00983667">
      <w:pPr>
        <w:pStyle w:val="Bibliography"/>
        <w:rPr>
          <w:rFonts w:ascii="Garamond" w:hAnsi="Garamond"/>
        </w:rPr>
      </w:pPr>
      <w:r>
        <w:rPr>
          <w:rFonts w:ascii="Garamond" w:hAnsi="Garamond"/>
        </w:rPr>
        <w:t xml:space="preserve">Makhlouf, B., Cline, T. J., Fernandez, D., Seeb, L., Lee, E., Gilk-Baumer, S., Whited, D., Zimmerman, C. E., &amp; Schindler, D. E. (2025). Combining genetic and isotope frameworks </w:t>
      </w:r>
      <w:r>
        <w:rPr>
          <w:rFonts w:ascii="Garamond" w:hAnsi="Garamond"/>
        </w:rPr>
        <w:lastRenderedPageBreak/>
        <w:t xml:space="preserve">improves reconstruction of fish provenance across riverscapes. </w:t>
      </w:r>
      <w:r>
        <w:rPr>
          <w:rFonts w:ascii="Garamond" w:hAnsi="Garamond"/>
          <w:i/>
          <w:iCs/>
        </w:rPr>
        <w:t>Limnology and Oceanography Letters</w:t>
      </w:r>
      <w:r>
        <w:rPr>
          <w:rFonts w:ascii="Garamond" w:hAnsi="Garamond"/>
        </w:rPr>
        <w:t xml:space="preserve">, </w:t>
      </w:r>
      <w:r>
        <w:rPr>
          <w:rFonts w:ascii="Garamond" w:hAnsi="Garamond"/>
          <w:i/>
          <w:iCs/>
        </w:rPr>
        <w:t>n/a</w:t>
      </w:r>
      <w:r>
        <w:rPr>
          <w:rFonts w:ascii="Garamond" w:hAnsi="Garamond"/>
        </w:rPr>
        <w:t>(n/a). https://doi.org/10.1002/lol2.70025</w:t>
      </w:r>
    </w:p>
    <w:p w14:paraId="0D5EDC1D" w14:textId="77777777" w:rsidR="00983667" w:rsidRPr="00983667" w:rsidRDefault="00983667" w:rsidP="00983667">
      <w:pPr>
        <w:pStyle w:val="Bibliography"/>
        <w:rPr>
          <w:rFonts w:ascii="Garamond" w:hAnsi="Garamond"/>
        </w:rPr>
      </w:pPr>
      <w:r>
        <w:rPr>
          <w:rFonts w:ascii="Garamond" w:hAnsi="Garamond"/>
        </w:rPr>
        <w:t xml:space="preserve">Moore, J. W., Connors, B. M., &amp; Hodgson, E. E. (2021). Conservation risks and portfolio effects in mixed-stock fisheries. </w:t>
      </w:r>
      <w:r>
        <w:rPr>
          <w:rFonts w:ascii="Garamond" w:hAnsi="Garamond"/>
          <w:i/>
          <w:iCs/>
        </w:rPr>
        <w:t>Fish and Fisheries</w:t>
      </w:r>
      <w:r>
        <w:rPr>
          <w:rFonts w:ascii="Garamond" w:hAnsi="Garamond"/>
        </w:rPr>
        <w:t xml:space="preserve">, </w:t>
      </w:r>
      <w:r>
        <w:rPr>
          <w:rFonts w:ascii="Garamond" w:hAnsi="Garamond"/>
          <w:i/>
          <w:iCs/>
        </w:rPr>
        <w:t>22</w:t>
      </w:r>
      <w:r>
        <w:rPr>
          <w:rFonts w:ascii="Garamond" w:hAnsi="Garamond"/>
        </w:rPr>
        <w:t>(5), 1024–1040. https://doi.org/10.1111/faf.12567</w:t>
      </w:r>
    </w:p>
    <w:p w14:paraId="0B2EEE20" w14:textId="77777777" w:rsidR="00983667" w:rsidRPr="00983667" w:rsidRDefault="00983667" w:rsidP="00983667">
      <w:pPr>
        <w:pStyle w:val="Bibliography"/>
        <w:rPr>
          <w:rFonts w:ascii="Garamond" w:hAnsi="Garamond"/>
        </w:rPr>
      </w:pPr>
      <w:r>
        <w:rPr>
          <w:rFonts w:ascii="Garamond" w:hAnsi="Garamond"/>
        </w:rPr>
        <w:t xml:space="preserve">Mundy, P. R. (1982). Computation of Migratory Timing Statistics for Adult Chinook Salmon in the Yukon River, Alaska, and Their Relevance to Fisheries Management. </w:t>
      </w:r>
      <w:r>
        <w:rPr>
          <w:rFonts w:ascii="Garamond" w:hAnsi="Garamond"/>
          <w:i/>
          <w:iCs/>
        </w:rPr>
        <w:t>North American Journal of Fisheries Management</w:t>
      </w:r>
      <w:r>
        <w:rPr>
          <w:rFonts w:ascii="Garamond" w:hAnsi="Garamond"/>
        </w:rPr>
        <w:t xml:space="preserve">, </w:t>
      </w:r>
      <w:r>
        <w:rPr>
          <w:rFonts w:ascii="Garamond" w:hAnsi="Garamond"/>
          <w:i/>
          <w:iCs/>
        </w:rPr>
        <w:t>2</w:t>
      </w:r>
      <w:r>
        <w:rPr>
          <w:rFonts w:ascii="Garamond" w:hAnsi="Garamond"/>
        </w:rPr>
        <w:t>(4), 359–370. https://doi.org/10.1577/1548-8659(1982)2%253C359:COMTSF%253E2.0.CO;2</w:t>
      </w:r>
    </w:p>
    <w:p w14:paraId="2271EDD6" w14:textId="77777777" w:rsidR="00983667" w:rsidRPr="00983667" w:rsidRDefault="00983667" w:rsidP="00983667">
      <w:pPr>
        <w:pStyle w:val="Bibliography"/>
        <w:rPr>
          <w:rFonts w:ascii="Garamond" w:hAnsi="Garamond"/>
        </w:rPr>
      </w:pPr>
      <w:r>
        <w:rPr>
          <w:rFonts w:ascii="Garamond" w:hAnsi="Garamond"/>
        </w:rPr>
        <w:t xml:space="preserve">Nesbitt, H. K., &amp; Moore, J. W. (2016). Species and population diversity in Pacific salmon fisheries underpin indigenous food security. </w:t>
      </w:r>
      <w:r>
        <w:rPr>
          <w:rFonts w:ascii="Garamond" w:hAnsi="Garamond"/>
          <w:i/>
          <w:iCs/>
        </w:rPr>
        <w:t>Journal of Applied Ecology</w:t>
      </w:r>
      <w:r>
        <w:rPr>
          <w:rFonts w:ascii="Garamond" w:hAnsi="Garamond"/>
        </w:rPr>
        <w:t xml:space="preserve">, </w:t>
      </w:r>
      <w:r>
        <w:rPr>
          <w:rFonts w:ascii="Garamond" w:hAnsi="Garamond"/>
          <w:i/>
          <w:iCs/>
        </w:rPr>
        <w:t>53</w:t>
      </w:r>
      <w:r>
        <w:rPr>
          <w:rFonts w:ascii="Garamond" w:hAnsi="Garamond"/>
        </w:rPr>
        <w:t>(5), 1489–1499. https://doi.org/10.1111/1365-2664.12717</w:t>
      </w:r>
    </w:p>
    <w:p w14:paraId="07BDE4AA" w14:textId="77777777" w:rsidR="00983667" w:rsidRPr="00983667" w:rsidRDefault="00983667" w:rsidP="00983667">
      <w:pPr>
        <w:pStyle w:val="Bibliography"/>
        <w:rPr>
          <w:rFonts w:ascii="Garamond" w:hAnsi="Garamond"/>
        </w:rPr>
      </w:pPr>
      <w:r>
        <w:rPr>
          <w:rFonts w:ascii="Garamond" w:hAnsi="Garamond"/>
        </w:rPr>
        <w:t xml:space="preserve">Ohlberger, J., Ward, E. J., Schindler, D. E., &amp; Lewis, B. (2018). Demographic changes in Chinook salmon across the Northeast Pacific Ocean. </w:t>
      </w:r>
      <w:r>
        <w:rPr>
          <w:rFonts w:ascii="Garamond" w:hAnsi="Garamond"/>
          <w:i/>
          <w:iCs/>
        </w:rPr>
        <w:t>Fish and Fisheries</w:t>
      </w:r>
      <w:r>
        <w:rPr>
          <w:rFonts w:ascii="Garamond" w:hAnsi="Garamond"/>
        </w:rPr>
        <w:t xml:space="preserve">, </w:t>
      </w:r>
      <w:r>
        <w:rPr>
          <w:rFonts w:ascii="Garamond" w:hAnsi="Garamond"/>
          <w:i/>
          <w:iCs/>
        </w:rPr>
        <w:t>19</w:t>
      </w:r>
      <w:r>
        <w:rPr>
          <w:rFonts w:ascii="Garamond" w:hAnsi="Garamond"/>
        </w:rPr>
        <w:t>(3), 533–546. https://doi.org/10.1111/faf.12272</w:t>
      </w:r>
    </w:p>
    <w:p w14:paraId="1AFA10E5" w14:textId="77777777" w:rsidR="00983667" w:rsidRPr="00983667" w:rsidRDefault="00983667" w:rsidP="00983667">
      <w:pPr>
        <w:pStyle w:val="Bibliography"/>
        <w:rPr>
          <w:rFonts w:ascii="Garamond" w:hAnsi="Garamond"/>
        </w:rPr>
      </w:pPr>
      <w:r>
        <w:rPr>
          <w:rFonts w:ascii="Garamond" w:hAnsi="Garamond"/>
        </w:rPr>
        <w:t xml:space="preserve">Quinn, T. P. (2018). </w:t>
      </w:r>
      <w:r>
        <w:rPr>
          <w:rFonts w:ascii="Garamond" w:hAnsi="Garamond"/>
          <w:i/>
          <w:iCs/>
        </w:rPr>
        <w:t>The Behavior and Ecology of Pacific Salmon and Trout</w:t>
      </w:r>
      <w:r>
        <w:rPr>
          <w:rFonts w:ascii="Garamond" w:hAnsi="Garamond"/>
        </w:rPr>
        <w:t>. American Fisheries Society, University of Washington Press.</w:t>
      </w:r>
    </w:p>
    <w:p w14:paraId="0666F172" w14:textId="77777777" w:rsidR="00983667" w:rsidRPr="00983667" w:rsidRDefault="00983667" w:rsidP="00983667">
      <w:pPr>
        <w:pStyle w:val="Bibliography"/>
        <w:rPr>
          <w:rFonts w:ascii="Garamond" w:hAnsi="Garamond"/>
        </w:rPr>
      </w:pPr>
      <w:r>
        <w:rPr>
          <w:rFonts w:ascii="Garamond" w:hAnsi="Garamond"/>
        </w:rPr>
        <w:t xml:space="preserve">Schindler, D. E., Armstrong, J. B., &amp; Reed, T. E. (2015). The portfolio concept in ecology and evolution. </w:t>
      </w:r>
      <w:r>
        <w:rPr>
          <w:rFonts w:ascii="Garamond" w:hAnsi="Garamond"/>
          <w:i/>
          <w:iCs/>
        </w:rPr>
        <w:t>Frontiers in Ecology and the Environment</w:t>
      </w:r>
      <w:r>
        <w:rPr>
          <w:rFonts w:ascii="Garamond" w:hAnsi="Garamond"/>
        </w:rPr>
        <w:t xml:space="preserve">, </w:t>
      </w:r>
      <w:r>
        <w:rPr>
          <w:rFonts w:ascii="Garamond" w:hAnsi="Garamond"/>
          <w:i/>
          <w:iCs/>
        </w:rPr>
        <w:t>13</w:t>
      </w:r>
      <w:r>
        <w:rPr>
          <w:rFonts w:ascii="Garamond" w:hAnsi="Garamond"/>
        </w:rPr>
        <w:t>(5), 257–263.</w:t>
      </w:r>
    </w:p>
    <w:p w14:paraId="36494422" w14:textId="77777777" w:rsidR="00983667" w:rsidRPr="005A4F22" w:rsidRDefault="00983667" w:rsidP="00983667">
      <w:pPr>
        <w:pStyle w:val="Bibliography"/>
        <w:rPr>
          <w:rFonts w:ascii="Garamond" w:hAnsi="Garamond"/>
          <w:lang w:val="fr-FR"/>
        </w:rPr>
      </w:pPr>
      <w:r>
        <w:rPr>
          <w:rFonts w:ascii="Garamond" w:hAnsi="Garamond"/>
        </w:rPr>
        <w:t xml:space="preserve">Schindler, D. E., Hilborn, R., Chasco, B., Boatright, C. P., Quinn, T. P., Rogers, L. A., &amp; Webster, M. S. (2010). Population diversity and the portfolio effect in an exploited species. </w:t>
      </w:r>
      <w:r w:rsidRPr="005A4F22">
        <w:rPr>
          <w:rFonts w:ascii="Garamond" w:hAnsi="Garamond"/>
          <w:i/>
          <w:iCs/>
          <w:lang w:val="fr-FR"/>
        </w:rPr>
        <w:t>Nature</w:t>
      </w:r>
      <w:r w:rsidRPr="005A4F22">
        <w:rPr>
          <w:rFonts w:ascii="Garamond" w:hAnsi="Garamond"/>
          <w:lang w:val="fr-FR"/>
        </w:rPr>
        <w:t xml:space="preserve">, </w:t>
      </w:r>
      <w:r w:rsidRPr="005A4F22">
        <w:rPr>
          <w:rFonts w:ascii="Garamond" w:hAnsi="Garamond"/>
          <w:i/>
          <w:iCs/>
          <w:lang w:val="fr-FR"/>
        </w:rPr>
        <w:t>465</w:t>
      </w:r>
      <w:r w:rsidRPr="005A4F22">
        <w:rPr>
          <w:rFonts w:ascii="Garamond" w:hAnsi="Garamond"/>
          <w:lang w:val="fr-FR"/>
        </w:rPr>
        <w:t>(7298). https://doi-org.prox.lib.ncsu.edu/10.1038/nature09060</w:t>
      </w:r>
    </w:p>
    <w:p w14:paraId="33C79C27" w14:textId="77777777" w:rsidR="00983667" w:rsidRPr="00983667" w:rsidRDefault="00983667" w:rsidP="00983667">
      <w:pPr>
        <w:pStyle w:val="Bibliography"/>
        <w:rPr>
          <w:rFonts w:ascii="Garamond" w:hAnsi="Garamond"/>
        </w:rPr>
      </w:pPr>
      <w:r w:rsidRPr="005A4F22">
        <w:rPr>
          <w:rFonts w:ascii="Garamond" w:hAnsi="Garamond"/>
          <w:lang w:val="fr-FR"/>
        </w:rPr>
        <w:lastRenderedPageBreak/>
        <w:t xml:space="preserve">Smith, N. J., &amp; Liller, Z. W. (2017a). </w:t>
      </w:r>
      <w:r>
        <w:rPr>
          <w:rFonts w:ascii="Garamond" w:hAnsi="Garamond"/>
          <w:i/>
          <w:iCs/>
        </w:rPr>
        <w:t>Inriver abundance and migration characteristics of Kuskokwim River Chinook salmon, 2015.</w:t>
      </w:r>
      <w:r>
        <w:rPr>
          <w:rFonts w:ascii="Garamond" w:hAnsi="Garamond"/>
        </w:rPr>
        <w:t xml:space="preserve"> (Alaska Department of Fish and Game, Fishery Data Series No. 17-22, Anchorage.).</w:t>
      </w:r>
    </w:p>
    <w:p w14:paraId="0BBE48CE" w14:textId="77777777" w:rsidR="00983667" w:rsidRPr="00983667" w:rsidRDefault="00983667" w:rsidP="00983667">
      <w:pPr>
        <w:pStyle w:val="Bibliography"/>
        <w:rPr>
          <w:rFonts w:ascii="Garamond" w:hAnsi="Garamond"/>
        </w:rPr>
      </w:pPr>
      <w:r>
        <w:rPr>
          <w:rFonts w:ascii="Garamond" w:hAnsi="Garamond"/>
        </w:rPr>
        <w:t xml:space="preserve">Smith, N. J., &amp; Liller, Z. W. (2017b). </w:t>
      </w:r>
      <w:r>
        <w:rPr>
          <w:rFonts w:ascii="Garamond" w:hAnsi="Garamond"/>
          <w:i/>
          <w:iCs/>
        </w:rPr>
        <w:t>Inriver abundance and migration characteristics of Kuskokwim River Chinook salmon, 2016.</w:t>
      </w:r>
      <w:r>
        <w:rPr>
          <w:rFonts w:ascii="Garamond" w:hAnsi="Garamond"/>
        </w:rPr>
        <w:t xml:space="preserve"> </w:t>
      </w:r>
      <w:r>
        <w:rPr>
          <w:rFonts w:ascii="Garamond" w:hAnsi="Garamond"/>
          <w:i/>
          <w:iCs/>
        </w:rPr>
        <w:t>Alaska Department of Fish and Game, Fishery Data Series No. 17-47, Anchorage.</w:t>
      </w:r>
    </w:p>
    <w:p w14:paraId="1DFBC900" w14:textId="77777777" w:rsidR="00983667" w:rsidRPr="00983667" w:rsidRDefault="00983667" w:rsidP="00983667">
      <w:pPr>
        <w:pStyle w:val="Bibliography"/>
        <w:rPr>
          <w:rFonts w:ascii="Garamond" w:hAnsi="Garamond"/>
        </w:rPr>
      </w:pPr>
      <w:r w:rsidRPr="005A4F22">
        <w:rPr>
          <w:rFonts w:ascii="Garamond" w:hAnsi="Garamond"/>
          <w:lang w:val="es-ES"/>
        </w:rPr>
        <w:t xml:space="preserve">Staton, B. A., Catalano, M. J., Farmer, T. M., Abebe, A., &amp; Dobson, F. S. (2017). </w:t>
      </w:r>
      <w:r>
        <w:rPr>
          <w:rFonts w:ascii="Garamond" w:hAnsi="Garamond"/>
        </w:rPr>
        <w:t xml:space="preserve">Development and evaluation of a migration timing forecast model for Kuskokwim River Chinook salmon. </w:t>
      </w:r>
      <w:r>
        <w:rPr>
          <w:rFonts w:ascii="Garamond" w:hAnsi="Garamond"/>
          <w:i/>
          <w:iCs/>
        </w:rPr>
        <w:t>Fisheries Research</w:t>
      </w:r>
      <w:r>
        <w:rPr>
          <w:rFonts w:ascii="Garamond" w:hAnsi="Garamond"/>
        </w:rPr>
        <w:t xml:space="preserve">, </w:t>
      </w:r>
      <w:r>
        <w:rPr>
          <w:rFonts w:ascii="Garamond" w:hAnsi="Garamond"/>
          <w:i/>
          <w:iCs/>
        </w:rPr>
        <w:t>194</w:t>
      </w:r>
      <w:r>
        <w:rPr>
          <w:rFonts w:ascii="Garamond" w:hAnsi="Garamond"/>
        </w:rPr>
        <w:t>, 9–21. https://doi.org/10.1016/j.fishres.2017.05.003</w:t>
      </w:r>
    </w:p>
    <w:p w14:paraId="5F5AC763" w14:textId="77777777" w:rsidR="00983667" w:rsidRPr="00983667" w:rsidRDefault="00983667" w:rsidP="00983667">
      <w:pPr>
        <w:pStyle w:val="Bibliography"/>
        <w:rPr>
          <w:rFonts w:ascii="Garamond" w:hAnsi="Garamond"/>
        </w:rPr>
      </w:pPr>
      <w:r>
        <w:rPr>
          <w:rFonts w:ascii="Garamond" w:hAnsi="Garamond"/>
        </w:rPr>
        <w:t xml:space="preserve">Tilman, D., Polasky, S., &amp; Lehman, C. (2005). Diversity, productivity and temporal stability in the economies of humans and nature. </w:t>
      </w:r>
      <w:r>
        <w:rPr>
          <w:rFonts w:ascii="Garamond" w:hAnsi="Garamond"/>
          <w:i/>
          <w:iCs/>
        </w:rPr>
        <w:t>Journal of Environmental Economics and Management</w:t>
      </w:r>
      <w:r>
        <w:rPr>
          <w:rFonts w:ascii="Garamond" w:hAnsi="Garamond"/>
        </w:rPr>
        <w:t xml:space="preserve">, </w:t>
      </w:r>
      <w:r>
        <w:rPr>
          <w:rFonts w:ascii="Garamond" w:hAnsi="Garamond"/>
          <w:i/>
          <w:iCs/>
        </w:rPr>
        <w:t>49</w:t>
      </w:r>
      <w:r>
        <w:rPr>
          <w:rFonts w:ascii="Garamond" w:hAnsi="Garamond"/>
        </w:rPr>
        <w:t>(3), 405–426. https://doi.org/10.1016/j.jeem.2004.03.008</w:t>
      </w:r>
    </w:p>
    <w:p w14:paraId="389FF842" w14:textId="77777777" w:rsidR="00983667" w:rsidRPr="00983667" w:rsidRDefault="00983667" w:rsidP="00983667">
      <w:pPr>
        <w:pStyle w:val="Bibliography"/>
        <w:rPr>
          <w:rFonts w:ascii="Garamond" w:hAnsi="Garamond"/>
        </w:rPr>
      </w:pPr>
      <w:r>
        <w:rPr>
          <w:rFonts w:ascii="Garamond" w:hAnsi="Garamond"/>
        </w:rPr>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Pr>
          <w:rFonts w:ascii="Garamond" w:hAnsi="Garamond"/>
          <w:i/>
          <w:iCs/>
        </w:rPr>
        <w:t>Ecological Applications</w:t>
      </w:r>
      <w:r>
        <w:rPr>
          <w:rFonts w:ascii="Garamond" w:hAnsi="Garamond"/>
        </w:rPr>
        <w:t xml:space="preserve">, </w:t>
      </w:r>
      <w:r>
        <w:rPr>
          <w:rFonts w:ascii="Garamond" w:hAnsi="Garamond"/>
          <w:i/>
          <w:iCs/>
        </w:rPr>
        <w:t>25</w:t>
      </w:r>
      <w:r>
        <w:rPr>
          <w:rFonts w:ascii="Garamond" w:hAnsi="Garamond"/>
        </w:rPr>
        <w:t>(2), 320–335. https://doi.org/10.1890/14-0581.1</w:t>
      </w:r>
    </w:p>
    <w:p w14:paraId="6C03C6E7" w14:textId="77777777" w:rsidR="00983667" w:rsidRPr="00983667" w:rsidRDefault="00983667" w:rsidP="00983667">
      <w:pPr>
        <w:pStyle w:val="Bibliography"/>
        <w:rPr>
          <w:rFonts w:ascii="Garamond" w:hAnsi="Garamond"/>
        </w:rPr>
      </w:pPr>
      <w:r>
        <w:rPr>
          <w:rFonts w:ascii="Garamond" w:hAnsi="Garamond"/>
        </w:rPr>
        <w:t xml:space="preserve">Ver Hoef, J. M., &amp; Peterson, E. E. (2010). A Moving Average Approach for Spatial Statistical Models of Stream Networks. </w:t>
      </w:r>
      <w:r>
        <w:rPr>
          <w:rFonts w:ascii="Garamond" w:hAnsi="Garamond"/>
          <w:i/>
          <w:iCs/>
        </w:rPr>
        <w:t>Journal of the American Statistical Association</w:t>
      </w:r>
      <w:r>
        <w:rPr>
          <w:rFonts w:ascii="Garamond" w:hAnsi="Garamond"/>
        </w:rPr>
        <w:t xml:space="preserve">, </w:t>
      </w:r>
      <w:r>
        <w:rPr>
          <w:rFonts w:ascii="Garamond" w:hAnsi="Garamond"/>
          <w:i/>
          <w:iCs/>
        </w:rPr>
        <w:t>105</w:t>
      </w:r>
      <w:r>
        <w:rPr>
          <w:rFonts w:ascii="Garamond" w:hAnsi="Garamond"/>
        </w:rPr>
        <w:t>(489), 6–18. https://doi.org/10.1198/jasa.2009.ap08248</w:t>
      </w:r>
    </w:p>
    <w:p w14:paraId="67F27E55" w14:textId="77777777" w:rsidR="00983667" w:rsidRPr="00983667" w:rsidRDefault="00983667" w:rsidP="00983667">
      <w:pPr>
        <w:pStyle w:val="Bibliography"/>
        <w:rPr>
          <w:rFonts w:ascii="Garamond" w:hAnsi="Garamond"/>
        </w:rPr>
      </w:pPr>
      <w:r>
        <w:rPr>
          <w:rFonts w:ascii="Garamond" w:hAnsi="Garamond"/>
        </w:rPr>
        <w:t xml:space="preserve">Wunder, M. B. (2010). Using Isoscapes to Model Probability Surfaces for Determining Geographic Origins. In J. B. West, G. J. Bowen, T. E. Dawson, &amp; K. P. Tu (Eds.), </w:t>
      </w:r>
      <w:r>
        <w:rPr>
          <w:rFonts w:ascii="Garamond" w:hAnsi="Garamond"/>
          <w:i/>
          <w:iCs/>
        </w:rPr>
        <w:t>Isoscapes</w:t>
      </w:r>
      <w:r>
        <w:rPr>
          <w:rFonts w:ascii="Garamond" w:hAnsi="Garamond"/>
        </w:rPr>
        <w:t xml:space="preserve"> (pp. 251–270). Springer Netherlands. https://doi.org/10.1007/978-90-481-3354-3_12</w:t>
      </w:r>
    </w:p>
    <w:p w14:paraId="5CE56ACE" w14:textId="77777777" w:rsidR="00983667" w:rsidRPr="00983667" w:rsidRDefault="00983667" w:rsidP="00983667">
      <w:pPr>
        <w:pStyle w:val="Bibliography"/>
        <w:rPr>
          <w:rFonts w:ascii="Garamond" w:hAnsi="Garamond"/>
        </w:rPr>
      </w:pPr>
      <w:r>
        <w:rPr>
          <w:rFonts w:ascii="Garamond" w:hAnsi="Garamond"/>
        </w:rPr>
        <w:lastRenderedPageBreak/>
        <w:t xml:space="preserve">Zimmerman, C. E., &amp; Reeves, G. H. (2002). Identification of Steelhead and Resident Rainbow Trout Progeny in the Deschutes River, Oregon, Revealed with Otolith Microchemistry. </w:t>
      </w:r>
      <w:r>
        <w:rPr>
          <w:rFonts w:ascii="Garamond" w:hAnsi="Garamond"/>
          <w:i/>
          <w:iCs/>
        </w:rPr>
        <w:t>Transactions of the American Fisheries Society</w:t>
      </w:r>
      <w:r>
        <w:rPr>
          <w:rFonts w:ascii="Garamond" w:hAnsi="Garamond"/>
        </w:rPr>
        <w:t xml:space="preserve">, </w:t>
      </w:r>
      <w:r>
        <w:rPr>
          <w:rFonts w:ascii="Garamond" w:hAnsi="Garamond"/>
          <w:i/>
          <w:iCs/>
        </w:rPr>
        <w:t>131</w:t>
      </w:r>
      <w:r>
        <w:rPr>
          <w:rFonts w:ascii="Garamond" w:hAnsi="Garamond"/>
        </w:rPr>
        <w:t>(5), 986–993. https://doi.org/10.1577/1548-8659(2002)131%253C0986:IOSARR%253E2.0.CO;2</w:t>
      </w:r>
    </w:p>
    <w:p w14:paraId="3EBAB241" w14:textId="013C2159" w:rsidR="00BF42AB" w:rsidRPr="00821884" w:rsidRDefault="00836381" w:rsidP="00821884">
      <w:pPr>
        <w:pStyle w:val="Bibliography"/>
        <w:ind w:left="0" w:firstLine="0"/>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Benjamin J. Makhlouf" w:date="2026-06-18T14:12:00Z" w:initials="BM">
    <w:p w14:paraId="5E58D307" w14:textId="77777777" w:rsidR="005A4F22" w:rsidRDefault="005A4F22" w:rsidP="005A4F22">
      <w:pPr>
        <w:pStyle w:val="CommentText"/>
      </w:pPr>
      <w:r>
        <w:rPr>
          <w:rStyle w:val="CommentReference"/>
        </w:rPr>
        <w:annotationRef/>
      </w:r>
      <w:r>
        <w:t xml:space="preserve">Add here description of the relative abundance of upper/middle/lower river spawning populations and the proportion of communities that rely on upper river populations exclusively.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8D3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4396B8" w16cex:dateUtc="2026-06-18T21: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8D307" w16cid:durableId="404396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1B7CC" w14:textId="77777777" w:rsidR="00D30B89" w:rsidRDefault="00D30B89">
      <w:pPr>
        <w:spacing w:after="0" w:line="240" w:lineRule="auto"/>
      </w:pPr>
      <w:r>
        <w:separator/>
      </w:r>
    </w:p>
  </w:endnote>
  <w:endnote w:type="continuationSeparator" w:id="0">
    <w:p w14:paraId="3811BC72" w14:textId="77777777" w:rsidR="00D30B89" w:rsidRDefault="00D30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0DCF1" w14:textId="77777777" w:rsidR="00D30B89" w:rsidRDefault="00D30B89">
      <w:pPr>
        <w:spacing w:after="0" w:line="240" w:lineRule="auto"/>
      </w:pPr>
      <w:r>
        <w:separator/>
      </w:r>
    </w:p>
  </w:footnote>
  <w:footnote w:type="continuationSeparator" w:id="0">
    <w:p w14:paraId="1DA18C81" w14:textId="77777777" w:rsidR="00D30B89" w:rsidRDefault="00D30B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11A0E"/>
    <w:rsid w:val="000259EB"/>
    <w:rsid w:val="00033E6D"/>
    <w:rsid w:val="00040237"/>
    <w:rsid w:val="0004196B"/>
    <w:rsid w:val="00044401"/>
    <w:rsid w:val="000566CD"/>
    <w:rsid w:val="00060FEB"/>
    <w:rsid w:val="00065DC6"/>
    <w:rsid w:val="00066D9D"/>
    <w:rsid w:val="00071218"/>
    <w:rsid w:val="00072056"/>
    <w:rsid w:val="00083A7A"/>
    <w:rsid w:val="00085380"/>
    <w:rsid w:val="000854BE"/>
    <w:rsid w:val="00093841"/>
    <w:rsid w:val="000941AF"/>
    <w:rsid w:val="000979CB"/>
    <w:rsid w:val="000A55A6"/>
    <w:rsid w:val="000B5639"/>
    <w:rsid w:val="000B7514"/>
    <w:rsid w:val="000C0406"/>
    <w:rsid w:val="000C2C96"/>
    <w:rsid w:val="000C384D"/>
    <w:rsid w:val="000C429D"/>
    <w:rsid w:val="000C6898"/>
    <w:rsid w:val="000D511B"/>
    <w:rsid w:val="000D6E8E"/>
    <w:rsid w:val="000E1B66"/>
    <w:rsid w:val="000E5E9C"/>
    <w:rsid w:val="000F083A"/>
    <w:rsid w:val="000F3B6C"/>
    <w:rsid w:val="001000CB"/>
    <w:rsid w:val="001008AF"/>
    <w:rsid w:val="001018D7"/>
    <w:rsid w:val="001025C9"/>
    <w:rsid w:val="001028F4"/>
    <w:rsid w:val="00103582"/>
    <w:rsid w:val="001058B8"/>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30A9"/>
    <w:rsid w:val="00143768"/>
    <w:rsid w:val="00151C49"/>
    <w:rsid w:val="00152000"/>
    <w:rsid w:val="001538CD"/>
    <w:rsid w:val="0015783A"/>
    <w:rsid w:val="00162958"/>
    <w:rsid w:val="0016395C"/>
    <w:rsid w:val="00163D3A"/>
    <w:rsid w:val="001679D4"/>
    <w:rsid w:val="00171632"/>
    <w:rsid w:val="0017389D"/>
    <w:rsid w:val="001740E9"/>
    <w:rsid w:val="00176511"/>
    <w:rsid w:val="001844EB"/>
    <w:rsid w:val="00190B2C"/>
    <w:rsid w:val="0019169F"/>
    <w:rsid w:val="00197965"/>
    <w:rsid w:val="001A07DD"/>
    <w:rsid w:val="001B0AC6"/>
    <w:rsid w:val="001C3B8F"/>
    <w:rsid w:val="001C6B33"/>
    <w:rsid w:val="001D3E40"/>
    <w:rsid w:val="001D6D0B"/>
    <w:rsid w:val="001D71C8"/>
    <w:rsid w:val="001E0D88"/>
    <w:rsid w:val="001F2097"/>
    <w:rsid w:val="0020053D"/>
    <w:rsid w:val="002006A2"/>
    <w:rsid w:val="0020187E"/>
    <w:rsid w:val="00206F6C"/>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53057"/>
    <w:rsid w:val="002549E1"/>
    <w:rsid w:val="0025573D"/>
    <w:rsid w:val="002574F7"/>
    <w:rsid w:val="0026256C"/>
    <w:rsid w:val="00270862"/>
    <w:rsid w:val="002768BC"/>
    <w:rsid w:val="002769C2"/>
    <w:rsid w:val="00276AFF"/>
    <w:rsid w:val="002811E4"/>
    <w:rsid w:val="002948A2"/>
    <w:rsid w:val="002A3FE3"/>
    <w:rsid w:val="002B1F16"/>
    <w:rsid w:val="002B597E"/>
    <w:rsid w:val="002C1C99"/>
    <w:rsid w:val="002C21B7"/>
    <w:rsid w:val="002C2F48"/>
    <w:rsid w:val="002C3375"/>
    <w:rsid w:val="002C6F1E"/>
    <w:rsid w:val="002D12FE"/>
    <w:rsid w:val="002D2CBF"/>
    <w:rsid w:val="002E45E7"/>
    <w:rsid w:val="002E5716"/>
    <w:rsid w:val="002F0A2B"/>
    <w:rsid w:val="003031E8"/>
    <w:rsid w:val="00304260"/>
    <w:rsid w:val="00306D21"/>
    <w:rsid w:val="003071D2"/>
    <w:rsid w:val="00310A9F"/>
    <w:rsid w:val="00312FC9"/>
    <w:rsid w:val="00313CB8"/>
    <w:rsid w:val="003157C4"/>
    <w:rsid w:val="00320DDA"/>
    <w:rsid w:val="0033106A"/>
    <w:rsid w:val="0033540B"/>
    <w:rsid w:val="00343C0B"/>
    <w:rsid w:val="003442B4"/>
    <w:rsid w:val="003474F0"/>
    <w:rsid w:val="003505B6"/>
    <w:rsid w:val="003508BF"/>
    <w:rsid w:val="003525FA"/>
    <w:rsid w:val="0035364D"/>
    <w:rsid w:val="00354EC0"/>
    <w:rsid w:val="00356F8B"/>
    <w:rsid w:val="0036019D"/>
    <w:rsid w:val="003610A6"/>
    <w:rsid w:val="00362078"/>
    <w:rsid w:val="003642FE"/>
    <w:rsid w:val="00367B6D"/>
    <w:rsid w:val="003717DB"/>
    <w:rsid w:val="00371AC6"/>
    <w:rsid w:val="00372BCA"/>
    <w:rsid w:val="00374558"/>
    <w:rsid w:val="003760FD"/>
    <w:rsid w:val="00383B9A"/>
    <w:rsid w:val="00385F28"/>
    <w:rsid w:val="0038700D"/>
    <w:rsid w:val="0039598A"/>
    <w:rsid w:val="0039711B"/>
    <w:rsid w:val="00397AF1"/>
    <w:rsid w:val="00397FF6"/>
    <w:rsid w:val="003A1EB0"/>
    <w:rsid w:val="003A53E2"/>
    <w:rsid w:val="003A58F7"/>
    <w:rsid w:val="003B0A46"/>
    <w:rsid w:val="003B38AA"/>
    <w:rsid w:val="003C2A7E"/>
    <w:rsid w:val="003C6E87"/>
    <w:rsid w:val="003D0402"/>
    <w:rsid w:val="003D30C7"/>
    <w:rsid w:val="003D7E04"/>
    <w:rsid w:val="003F0E0F"/>
    <w:rsid w:val="003F1234"/>
    <w:rsid w:val="003F6161"/>
    <w:rsid w:val="00400339"/>
    <w:rsid w:val="00400CBB"/>
    <w:rsid w:val="00401EE2"/>
    <w:rsid w:val="004025DD"/>
    <w:rsid w:val="004025ED"/>
    <w:rsid w:val="0040355B"/>
    <w:rsid w:val="00403B68"/>
    <w:rsid w:val="00416B2E"/>
    <w:rsid w:val="00417AE1"/>
    <w:rsid w:val="00424DB6"/>
    <w:rsid w:val="004261EE"/>
    <w:rsid w:val="00431422"/>
    <w:rsid w:val="00433B90"/>
    <w:rsid w:val="00437729"/>
    <w:rsid w:val="00441FFD"/>
    <w:rsid w:val="00442120"/>
    <w:rsid w:val="004504D1"/>
    <w:rsid w:val="00450591"/>
    <w:rsid w:val="00450ED3"/>
    <w:rsid w:val="00454FB2"/>
    <w:rsid w:val="00455535"/>
    <w:rsid w:val="00455561"/>
    <w:rsid w:val="00460AE8"/>
    <w:rsid w:val="00464971"/>
    <w:rsid w:val="0046614E"/>
    <w:rsid w:val="004665BB"/>
    <w:rsid w:val="00467885"/>
    <w:rsid w:val="00470C70"/>
    <w:rsid w:val="004712C9"/>
    <w:rsid w:val="0047513B"/>
    <w:rsid w:val="00477415"/>
    <w:rsid w:val="00481088"/>
    <w:rsid w:val="00491C12"/>
    <w:rsid w:val="004A0003"/>
    <w:rsid w:val="004A072A"/>
    <w:rsid w:val="004A6CF4"/>
    <w:rsid w:val="004B1488"/>
    <w:rsid w:val="004B1829"/>
    <w:rsid w:val="004B19B1"/>
    <w:rsid w:val="004B2F94"/>
    <w:rsid w:val="004B5E0E"/>
    <w:rsid w:val="004B7BC4"/>
    <w:rsid w:val="004C2230"/>
    <w:rsid w:val="004C3939"/>
    <w:rsid w:val="004C58FF"/>
    <w:rsid w:val="004C5CB5"/>
    <w:rsid w:val="004C6CE6"/>
    <w:rsid w:val="004D0AA2"/>
    <w:rsid w:val="004D6874"/>
    <w:rsid w:val="004D6C38"/>
    <w:rsid w:val="004D7CC1"/>
    <w:rsid w:val="004E3592"/>
    <w:rsid w:val="004E7138"/>
    <w:rsid w:val="004E7B3B"/>
    <w:rsid w:val="004F0045"/>
    <w:rsid w:val="004F04C2"/>
    <w:rsid w:val="004F0E72"/>
    <w:rsid w:val="004F1ACA"/>
    <w:rsid w:val="004F324B"/>
    <w:rsid w:val="004F3972"/>
    <w:rsid w:val="004F4EF3"/>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16E6"/>
    <w:rsid w:val="005463B2"/>
    <w:rsid w:val="00551911"/>
    <w:rsid w:val="005554D7"/>
    <w:rsid w:val="00557194"/>
    <w:rsid w:val="00571049"/>
    <w:rsid w:val="00572EF0"/>
    <w:rsid w:val="0057720D"/>
    <w:rsid w:val="005805EB"/>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2B95"/>
    <w:rsid w:val="00617B67"/>
    <w:rsid w:val="00617C63"/>
    <w:rsid w:val="00625357"/>
    <w:rsid w:val="006314EE"/>
    <w:rsid w:val="00631AAA"/>
    <w:rsid w:val="006357BB"/>
    <w:rsid w:val="0063598A"/>
    <w:rsid w:val="0063694A"/>
    <w:rsid w:val="00636B84"/>
    <w:rsid w:val="00636C9F"/>
    <w:rsid w:val="00642B65"/>
    <w:rsid w:val="00643AC4"/>
    <w:rsid w:val="00645EF1"/>
    <w:rsid w:val="00651133"/>
    <w:rsid w:val="00653AE8"/>
    <w:rsid w:val="00653AF7"/>
    <w:rsid w:val="006540BC"/>
    <w:rsid w:val="0065535A"/>
    <w:rsid w:val="00655F63"/>
    <w:rsid w:val="00656B48"/>
    <w:rsid w:val="006617C0"/>
    <w:rsid w:val="0066241A"/>
    <w:rsid w:val="00663FC6"/>
    <w:rsid w:val="00665BC1"/>
    <w:rsid w:val="00673B3C"/>
    <w:rsid w:val="006762C3"/>
    <w:rsid w:val="00676513"/>
    <w:rsid w:val="00682611"/>
    <w:rsid w:val="00687F38"/>
    <w:rsid w:val="00691BBC"/>
    <w:rsid w:val="00691F38"/>
    <w:rsid w:val="00693A39"/>
    <w:rsid w:val="006A2A72"/>
    <w:rsid w:val="006A4011"/>
    <w:rsid w:val="006A798F"/>
    <w:rsid w:val="006B1D97"/>
    <w:rsid w:val="006B418B"/>
    <w:rsid w:val="006B5AB0"/>
    <w:rsid w:val="006B75B5"/>
    <w:rsid w:val="006C531D"/>
    <w:rsid w:val="006C663B"/>
    <w:rsid w:val="006C6CB7"/>
    <w:rsid w:val="006D11D3"/>
    <w:rsid w:val="006D6AEE"/>
    <w:rsid w:val="006E1BBC"/>
    <w:rsid w:val="006E5473"/>
    <w:rsid w:val="0070135F"/>
    <w:rsid w:val="0070647C"/>
    <w:rsid w:val="007072E7"/>
    <w:rsid w:val="00711069"/>
    <w:rsid w:val="0071220D"/>
    <w:rsid w:val="0071320D"/>
    <w:rsid w:val="00715F4A"/>
    <w:rsid w:val="00717761"/>
    <w:rsid w:val="00717B12"/>
    <w:rsid w:val="00720B50"/>
    <w:rsid w:val="0072380C"/>
    <w:rsid w:val="00724D0B"/>
    <w:rsid w:val="007266BC"/>
    <w:rsid w:val="00730A88"/>
    <w:rsid w:val="00731FB9"/>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71BB"/>
    <w:rsid w:val="007C0A61"/>
    <w:rsid w:val="007C1050"/>
    <w:rsid w:val="007C2267"/>
    <w:rsid w:val="007C2373"/>
    <w:rsid w:val="007C6331"/>
    <w:rsid w:val="007C6D95"/>
    <w:rsid w:val="007D1726"/>
    <w:rsid w:val="007D2894"/>
    <w:rsid w:val="007D630A"/>
    <w:rsid w:val="007D7981"/>
    <w:rsid w:val="007E1736"/>
    <w:rsid w:val="007E3A31"/>
    <w:rsid w:val="007F098D"/>
    <w:rsid w:val="007F32DE"/>
    <w:rsid w:val="007F35F9"/>
    <w:rsid w:val="007F37AE"/>
    <w:rsid w:val="007F4A77"/>
    <w:rsid w:val="007F66C5"/>
    <w:rsid w:val="007F7231"/>
    <w:rsid w:val="007F747D"/>
    <w:rsid w:val="007F75D5"/>
    <w:rsid w:val="00800CBA"/>
    <w:rsid w:val="008050C3"/>
    <w:rsid w:val="00807290"/>
    <w:rsid w:val="00811477"/>
    <w:rsid w:val="00811B88"/>
    <w:rsid w:val="00814EE7"/>
    <w:rsid w:val="00816626"/>
    <w:rsid w:val="00820E08"/>
    <w:rsid w:val="00821884"/>
    <w:rsid w:val="0082206F"/>
    <w:rsid w:val="008277E3"/>
    <w:rsid w:val="00832815"/>
    <w:rsid w:val="00836381"/>
    <w:rsid w:val="00841435"/>
    <w:rsid w:val="00843258"/>
    <w:rsid w:val="0084410D"/>
    <w:rsid w:val="00845E76"/>
    <w:rsid w:val="00856168"/>
    <w:rsid w:val="008605CB"/>
    <w:rsid w:val="00863C27"/>
    <w:rsid w:val="008730BC"/>
    <w:rsid w:val="0087708A"/>
    <w:rsid w:val="00881286"/>
    <w:rsid w:val="0088327B"/>
    <w:rsid w:val="0088451D"/>
    <w:rsid w:val="00885296"/>
    <w:rsid w:val="0088664E"/>
    <w:rsid w:val="008872F5"/>
    <w:rsid w:val="00891B6F"/>
    <w:rsid w:val="00893125"/>
    <w:rsid w:val="008948AB"/>
    <w:rsid w:val="00895ED8"/>
    <w:rsid w:val="00895FC7"/>
    <w:rsid w:val="008970CF"/>
    <w:rsid w:val="008A7376"/>
    <w:rsid w:val="008B0A5A"/>
    <w:rsid w:val="008B3EA1"/>
    <w:rsid w:val="008B64EE"/>
    <w:rsid w:val="008B6684"/>
    <w:rsid w:val="008C03AF"/>
    <w:rsid w:val="008C378F"/>
    <w:rsid w:val="008C65D7"/>
    <w:rsid w:val="008D1422"/>
    <w:rsid w:val="008D1B8A"/>
    <w:rsid w:val="008E3428"/>
    <w:rsid w:val="008E4C82"/>
    <w:rsid w:val="008F2118"/>
    <w:rsid w:val="008F26BA"/>
    <w:rsid w:val="00900DF4"/>
    <w:rsid w:val="0090107F"/>
    <w:rsid w:val="00901ACE"/>
    <w:rsid w:val="00907410"/>
    <w:rsid w:val="009076B8"/>
    <w:rsid w:val="009110AF"/>
    <w:rsid w:val="0091492C"/>
    <w:rsid w:val="00915EEE"/>
    <w:rsid w:val="00916EE1"/>
    <w:rsid w:val="00917026"/>
    <w:rsid w:val="00922435"/>
    <w:rsid w:val="00925A21"/>
    <w:rsid w:val="009263B7"/>
    <w:rsid w:val="00932FBC"/>
    <w:rsid w:val="00933D52"/>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79F"/>
    <w:rsid w:val="009C2F92"/>
    <w:rsid w:val="009C308C"/>
    <w:rsid w:val="009C3C93"/>
    <w:rsid w:val="009C3FA5"/>
    <w:rsid w:val="009C42BD"/>
    <w:rsid w:val="009D0427"/>
    <w:rsid w:val="009D3148"/>
    <w:rsid w:val="009D66DA"/>
    <w:rsid w:val="009E68C7"/>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A1798"/>
    <w:rsid w:val="00AA26A1"/>
    <w:rsid w:val="00AA6EC2"/>
    <w:rsid w:val="00AB074C"/>
    <w:rsid w:val="00AB2317"/>
    <w:rsid w:val="00AB3DBB"/>
    <w:rsid w:val="00AB779D"/>
    <w:rsid w:val="00AC7C2D"/>
    <w:rsid w:val="00AD1910"/>
    <w:rsid w:val="00AD484F"/>
    <w:rsid w:val="00AD4BE1"/>
    <w:rsid w:val="00AD7B82"/>
    <w:rsid w:val="00AF0D4C"/>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7C48"/>
    <w:rsid w:val="00BD0803"/>
    <w:rsid w:val="00BD2F8F"/>
    <w:rsid w:val="00BF0C62"/>
    <w:rsid w:val="00BF307A"/>
    <w:rsid w:val="00BF42AB"/>
    <w:rsid w:val="00C013DD"/>
    <w:rsid w:val="00C107EA"/>
    <w:rsid w:val="00C10AF2"/>
    <w:rsid w:val="00C162F5"/>
    <w:rsid w:val="00C1704A"/>
    <w:rsid w:val="00C26378"/>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83BD0"/>
    <w:rsid w:val="00C83BF2"/>
    <w:rsid w:val="00C92AB0"/>
    <w:rsid w:val="00C93DD5"/>
    <w:rsid w:val="00C95028"/>
    <w:rsid w:val="00C9741A"/>
    <w:rsid w:val="00C97C2C"/>
    <w:rsid w:val="00CA262D"/>
    <w:rsid w:val="00CA6AF1"/>
    <w:rsid w:val="00CA7EEC"/>
    <w:rsid w:val="00CB2EEB"/>
    <w:rsid w:val="00CB3C24"/>
    <w:rsid w:val="00CB4B76"/>
    <w:rsid w:val="00CC053E"/>
    <w:rsid w:val="00CC09EC"/>
    <w:rsid w:val="00CC472B"/>
    <w:rsid w:val="00CC7CEE"/>
    <w:rsid w:val="00CD3038"/>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0B89"/>
    <w:rsid w:val="00D3134F"/>
    <w:rsid w:val="00D36A10"/>
    <w:rsid w:val="00D409CC"/>
    <w:rsid w:val="00D43F43"/>
    <w:rsid w:val="00D47703"/>
    <w:rsid w:val="00D47FB2"/>
    <w:rsid w:val="00D516D1"/>
    <w:rsid w:val="00D53B0E"/>
    <w:rsid w:val="00D5400B"/>
    <w:rsid w:val="00D554ED"/>
    <w:rsid w:val="00D57D37"/>
    <w:rsid w:val="00D625F2"/>
    <w:rsid w:val="00D71360"/>
    <w:rsid w:val="00D80B0D"/>
    <w:rsid w:val="00D86CD4"/>
    <w:rsid w:val="00D90980"/>
    <w:rsid w:val="00D91D5D"/>
    <w:rsid w:val="00D96066"/>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6D9D"/>
    <w:rsid w:val="00E347D9"/>
    <w:rsid w:val="00E35059"/>
    <w:rsid w:val="00E352BB"/>
    <w:rsid w:val="00E3555B"/>
    <w:rsid w:val="00E355B2"/>
    <w:rsid w:val="00E35FA9"/>
    <w:rsid w:val="00E454BB"/>
    <w:rsid w:val="00E45959"/>
    <w:rsid w:val="00E45D57"/>
    <w:rsid w:val="00E46D9E"/>
    <w:rsid w:val="00E46ECD"/>
    <w:rsid w:val="00E471DA"/>
    <w:rsid w:val="00E61436"/>
    <w:rsid w:val="00E6389A"/>
    <w:rsid w:val="00E66931"/>
    <w:rsid w:val="00E671EF"/>
    <w:rsid w:val="00E67672"/>
    <w:rsid w:val="00E71272"/>
    <w:rsid w:val="00E719E1"/>
    <w:rsid w:val="00E8171A"/>
    <w:rsid w:val="00E82540"/>
    <w:rsid w:val="00E82AC1"/>
    <w:rsid w:val="00E84029"/>
    <w:rsid w:val="00E85535"/>
    <w:rsid w:val="00E86789"/>
    <w:rsid w:val="00E90573"/>
    <w:rsid w:val="00E92DA4"/>
    <w:rsid w:val="00E94ABC"/>
    <w:rsid w:val="00E95A9F"/>
    <w:rsid w:val="00EA0134"/>
    <w:rsid w:val="00EA4FC4"/>
    <w:rsid w:val="00EB2149"/>
    <w:rsid w:val="00EB21A5"/>
    <w:rsid w:val="00EB2EDF"/>
    <w:rsid w:val="00EB713C"/>
    <w:rsid w:val="00EB7C81"/>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15A1"/>
    <w:rsid w:val="00F31BF9"/>
    <w:rsid w:val="00F335F2"/>
    <w:rsid w:val="00F3538C"/>
    <w:rsid w:val="00F36BD9"/>
    <w:rsid w:val="00F3736F"/>
    <w:rsid w:val="00F40CAD"/>
    <w:rsid w:val="00F41CBE"/>
    <w:rsid w:val="00F41FAF"/>
    <w:rsid w:val="00F432BD"/>
    <w:rsid w:val="00F44448"/>
    <w:rsid w:val="00F4698F"/>
    <w:rsid w:val="00F51DB9"/>
    <w:rsid w:val="00F552CD"/>
    <w:rsid w:val="00F55974"/>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33D7"/>
    <w:rsid w:val="00FB3E37"/>
    <w:rsid w:val="00FC02BD"/>
    <w:rsid w:val="00FC42A0"/>
    <w:rsid w:val="00FC630E"/>
    <w:rsid w:val="00FD1F7F"/>
    <w:rsid w:val="00FD557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25</Pages>
  <Words>24029</Words>
  <Characters>136970</Characters>
  <Application>Microsoft Office Word</Application>
  <DocSecurity>0</DocSecurity>
  <Lines>1141</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18</cp:revision>
  <cp:lastPrinted>2026-03-10T22:36:00Z</cp:lastPrinted>
  <dcterms:created xsi:type="dcterms:W3CDTF">2026-03-10T22:36:00Z</dcterms:created>
  <dcterms:modified xsi:type="dcterms:W3CDTF">2026-06-19T14:18:00Z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id="25Y35S3t"/&gt;&lt;style id="http://www.zotero.org/styles/journal-of-applied-ecology" hasBibliography="1" bibliographyStyleHasBeenSet="1"/&gt;&lt;prefs&gt;&lt;pref name="fieldType" value="Field"/&gt;&lt;/prefs&gt;&lt;/data&gt;</vt:lpwstr>
  </property>
</Properties>
</file>