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Default="007F5F83" w:rsidP="007F5F83">
      <w:pPr>
        <w:jc w:val="center"/>
      </w:pPr>
      <w:r>
        <w:t>Response to Reviewers</w:t>
      </w:r>
    </w:p>
    <w:p w14:paraId="186E26E3" w14:textId="4A9A360F" w:rsidR="007F5F83" w:rsidRDefault="007F5F83" w:rsidP="007F5F83">
      <w:pPr>
        <w:jc w:val="center"/>
      </w:pPr>
      <w:r>
        <w:t xml:space="preserve">Ben Makhlouf </w:t>
      </w:r>
    </w:p>
    <w:p w14:paraId="631450E0" w14:textId="77777777" w:rsidR="007F5F83" w:rsidRDefault="007F5F83" w:rsidP="007F5F83">
      <w:pPr>
        <w:jc w:val="center"/>
      </w:pPr>
    </w:p>
    <w:p w14:paraId="59245B29" w14:textId="0FF5B4CF" w:rsidR="007F5F83" w:rsidRPr="00A6390C" w:rsidRDefault="007F5F83" w:rsidP="007F5F83">
      <w:pPr>
        <w:pStyle w:val="Title"/>
        <w:rPr>
          <w:rFonts w:ascii="Garamond" w:hAnsi="Garamond"/>
        </w:rPr>
      </w:pPr>
      <w:r w:rsidRPr="00A6390C">
        <w:rPr>
          <w:rFonts w:ascii="Garamond" w:hAnsi="Garamond"/>
        </w:rPr>
        <w:t xml:space="preserve">Reviewer 1: </w:t>
      </w:r>
    </w:p>
    <w:p w14:paraId="5D9570CC" w14:textId="2BC27FD1" w:rsidR="007F5F83" w:rsidRPr="00A6390C" w:rsidRDefault="007F5F83" w:rsidP="007F5F83">
      <w:pPr>
        <w:rPr>
          <w:rFonts w:ascii="Garamond" w:hAnsi="Garamond"/>
          <w:b/>
          <w:bCs/>
          <w:sz w:val="22"/>
          <w:szCs w:val="22"/>
        </w:rPr>
      </w:pPr>
      <w:r w:rsidRPr="00A6390C">
        <w:rPr>
          <w:rFonts w:ascii="Garamond" w:hAnsi="Garamond"/>
        </w:rPr>
        <w:t>Major Comments</w:t>
      </w:r>
    </w:p>
    <w:p w14:paraId="482E15C8" w14:textId="07B59EB0" w:rsidR="007F5F83" w:rsidRPr="004959F1" w:rsidRDefault="007F5F83" w:rsidP="007F5F83">
      <w:pPr>
        <w:rPr>
          <w:rFonts w:ascii="Times New Roman" w:hAnsi="Times New Roman" w:cs="Times New Roman"/>
          <w:b/>
          <w:bCs/>
          <w:sz w:val="22"/>
          <w:szCs w:val="22"/>
        </w:rPr>
      </w:pPr>
      <w:r w:rsidRPr="004959F1">
        <w:rPr>
          <w:rFonts w:ascii="Times New Roman" w:hAnsi="Times New Roman" w:cs="Times New Roman"/>
          <w:b/>
          <w:bCs/>
          <w:sz w:val="22"/>
          <w:szCs w:val="22"/>
        </w:rPr>
        <w:t xml:space="preserve">I really appreciate the author teams’ succinct presentation of their findings (less than 20 pages excluding references makes for a much easier lift!); </w:t>
      </w:r>
      <w:proofErr w:type="gramStart"/>
      <w:r w:rsidRPr="004959F1">
        <w:rPr>
          <w:rFonts w:ascii="Times New Roman" w:hAnsi="Times New Roman" w:cs="Times New Roman"/>
          <w:b/>
          <w:bCs/>
          <w:sz w:val="22"/>
          <w:szCs w:val="22"/>
        </w:rPr>
        <w:t>however</w:t>
      </w:r>
      <w:proofErr w:type="gramEnd"/>
      <w:r w:rsidRPr="004959F1">
        <w:rPr>
          <w:rFonts w:ascii="Times New Roman" w:hAnsi="Times New Roman" w:cs="Times New Roman"/>
          <w:b/>
          <w:bCs/>
          <w:sz w:val="22"/>
          <w:szCs w:val="22"/>
        </w:rPr>
        <w:t xml:space="preserve">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w:t>
      </w:r>
      <w:proofErr w:type="gramStart"/>
      <w:r w:rsidRPr="004959F1">
        <w:rPr>
          <w:rFonts w:ascii="Times New Roman" w:hAnsi="Times New Roman" w:cs="Times New Roman"/>
          <w:b/>
          <w:bCs/>
          <w:sz w:val="22"/>
          <w:szCs w:val="22"/>
        </w:rPr>
        <w:t>basin</w:t>
      </w:r>
      <w:proofErr w:type="gramEnd"/>
      <w:r w:rsidRPr="004959F1">
        <w:rPr>
          <w:rFonts w:ascii="Times New Roman" w:hAnsi="Times New Roman" w:cs="Times New Roman"/>
          <w:b/>
          <w:bCs/>
          <w:sz w:val="22"/>
          <w:szCs w:val="22"/>
        </w:rPr>
        <w:t xml:space="preserve"> that rely on access to upper river populations exclusively would provide important context. 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70DE0E0C" w14:textId="5FAE380F" w:rsidR="001267A1" w:rsidRPr="004959F1" w:rsidRDefault="001267A1" w:rsidP="00A6390C">
      <w:pPr>
        <w:ind w:left="720"/>
        <w:rPr>
          <w:rFonts w:ascii="Times New Roman" w:hAnsi="Times New Roman" w:cs="Times New Roman"/>
          <w:sz w:val="22"/>
          <w:szCs w:val="22"/>
        </w:rPr>
      </w:pPr>
      <w:r w:rsidRPr="004959F1">
        <w:rPr>
          <w:rFonts w:ascii="Times New Roman" w:hAnsi="Times New Roman" w:cs="Times New Roman"/>
          <w:sz w:val="22"/>
          <w:szCs w:val="22"/>
        </w:rPr>
        <w:t xml:space="preserve">To improve </w:t>
      </w:r>
      <w:proofErr w:type="gramStart"/>
      <w:r w:rsidRPr="004959F1">
        <w:rPr>
          <w:rFonts w:ascii="Times New Roman" w:hAnsi="Times New Roman" w:cs="Times New Roman"/>
          <w:sz w:val="22"/>
          <w:szCs w:val="22"/>
        </w:rPr>
        <w:t>readability</w:t>
      </w:r>
      <w:proofErr w:type="gramEnd"/>
      <w:r w:rsidRPr="004959F1">
        <w:rPr>
          <w:rFonts w:ascii="Times New Roman" w:hAnsi="Times New Roman" w:cs="Times New Roman"/>
          <w:sz w:val="22"/>
          <w:szCs w:val="22"/>
        </w:rPr>
        <w:t xml:space="preserve"> we added a penultimate paragraph per the reviewer’s suggestion expanding on the limitation for estimating basin-scale patterns currently as well as highlighting the unique ability of otolith microchemistry to address these limitations. In addition, we added a few sentences expanding on… </w:t>
      </w:r>
    </w:p>
    <w:p w14:paraId="4633C13B" w14:textId="47F8F467" w:rsidR="001267A1" w:rsidRPr="004959F1" w:rsidRDefault="001267A1" w:rsidP="007F5F83">
      <w:pPr>
        <w:rPr>
          <w:rFonts w:ascii="Times New Roman" w:hAnsi="Times New Roman" w:cs="Times New Roman"/>
          <w:sz w:val="22"/>
          <w:szCs w:val="22"/>
        </w:rPr>
      </w:pPr>
      <w:r w:rsidRPr="004959F1">
        <w:rPr>
          <w:rFonts w:ascii="Times New Roman" w:hAnsi="Times New Roman" w:cs="Times New Roman"/>
          <w:sz w:val="22"/>
          <w:szCs w:val="22"/>
          <w:highlight w:val="yellow"/>
        </w:rPr>
        <w:t>** Add a few more sentences on Chinook salmon distribution etc. **</w:t>
      </w:r>
      <w:r w:rsidRPr="004959F1">
        <w:rPr>
          <w:rFonts w:ascii="Times New Roman" w:hAnsi="Times New Roman" w:cs="Times New Roman"/>
          <w:sz w:val="22"/>
          <w:szCs w:val="22"/>
        </w:rPr>
        <w:t xml:space="preserve"> </w:t>
      </w:r>
    </w:p>
    <w:p w14:paraId="38BBC3E5" w14:textId="77777777" w:rsidR="00A6390C" w:rsidRPr="004959F1" w:rsidRDefault="007F5F83" w:rsidP="007F5F83">
      <w:pPr>
        <w:rPr>
          <w:rFonts w:ascii="Times New Roman" w:hAnsi="Times New Roman" w:cs="Times New Roman"/>
          <w:b/>
          <w:bCs/>
          <w:sz w:val="22"/>
          <w:szCs w:val="22"/>
        </w:rPr>
      </w:pPr>
      <w:r w:rsidRPr="00531BBB">
        <w:br/>
      </w:r>
      <w:r w:rsidRPr="00531BBB">
        <w:br/>
      </w:r>
      <w:proofErr w:type="gramStart"/>
      <w:r w:rsidRPr="004959F1">
        <w:rPr>
          <w:rFonts w:ascii="Times New Roman" w:hAnsi="Times New Roman" w:cs="Times New Roman"/>
          <w:b/>
          <w:bCs/>
          <w:sz w:val="22"/>
          <w:szCs w:val="22"/>
        </w:rPr>
        <w:t>Similarly</w:t>
      </w:r>
      <w:proofErr w:type="gramEnd"/>
      <w:r w:rsidRPr="004959F1">
        <w:rPr>
          <w:rFonts w:ascii="Times New Roman" w:hAnsi="Times New Roman" w:cs="Times New Roman"/>
          <w:b/>
          <w:bCs/>
          <w:sz w:val="22"/>
          <w:szCs w:val="22"/>
        </w:rPr>
        <w:t xml:space="preserve"> a large portion of the methods </w:t>
      </w:r>
      <w:proofErr w:type="gramStart"/>
      <w:r w:rsidRPr="004959F1">
        <w:rPr>
          <w:rFonts w:ascii="Times New Roman" w:hAnsi="Times New Roman" w:cs="Times New Roman"/>
          <w:b/>
          <w:bCs/>
          <w:sz w:val="22"/>
          <w:szCs w:val="22"/>
        </w:rPr>
        <w:t>focuses</w:t>
      </w:r>
      <w:proofErr w:type="gramEnd"/>
      <w:r w:rsidRPr="004959F1">
        <w:rPr>
          <w:rFonts w:ascii="Times New Roman" w:hAnsi="Times New Roman" w:cs="Times New Roman"/>
          <w:b/>
          <w:bCs/>
          <w:sz w:val="22"/>
          <w:szCs w:val="22"/>
        </w:rPr>
        <w:t xml:space="preserve">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w:t>
      </w:r>
      <w:proofErr w:type="gramStart"/>
      <w:r w:rsidRPr="004959F1">
        <w:rPr>
          <w:rFonts w:ascii="Times New Roman" w:hAnsi="Times New Roman" w:cs="Times New Roman"/>
          <w:b/>
          <w:bCs/>
          <w:sz w:val="22"/>
          <w:szCs w:val="22"/>
        </w:rPr>
        <w:t>Similarly</w:t>
      </w:r>
      <w:proofErr w:type="gramEnd"/>
      <w:r w:rsidRPr="004959F1">
        <w:rPr>
          <w:rFonts w:ascii="Times New Roman" w:hAnsi="Times New Roman" w:cs="Times New Roman"/>
          <w:b/>
          <w:bCs/>
          <w:sz w:val="22"/>
          <w:szCs w:val="22"/>
        </w:rPr>
        <w:t xml:space="preserve"> I think some material in the discussion about how well the regional groupings conform to </w:t>
      </w:r>
      <w:proofErr w:type="gramStart"/>
      <w:r w:rsidRPr="004959F1">
        <w:rPr>
          <w:rFonts w:ascii="Times New Roman" w:hAnsi="Times New Roman" w:cs="Times New Roman"/>
          <w:b/>
          <w:bCs/>
          <w:sz w:val="22"/>
          <w:szCs w:val="22"/>
        </w:rPr>
        <w:t>any a</w:t>
      </w:r>
      <w:proofErr w:type="gramEnd"/>
      <w:r w:rsidRPr="004959F1">
        <w:rPr>
          <w:rFonts w:ascii="Times New Roman" w:hAnsi="Times New Roman" w:cs="Times New Roman"/>
          <w:b/>
          <w:bCs/>
          <w:sz w:val="22"/>
          <w:szCs w:val="22"/>
        </w:rPr>
        <w:t xml:space="preserve"> priori predictions about population structure that were derived from traditional ecological knowledge would be of interest to readers.</w:t>
      </w:r>
      <w:r w:rsidRPr="004959F1">
        <w:rPr>
          <w:rFonts w:ascii="Times New Roman" w:hAnsi="Times New Roman" w:cs="Times New Roman"/>
          <w:b/>
          <w:bCs/>
          <w:sz w:val="22"/>
          <w:szCs w:val="22"/>
        </w:rPr>
        <w:br/>
      </w:r>
    </w:p>
    <w:p w14:paraId="6F781A4F" w14:textId="617E1307" w:rsidR="00A6390C" w:rsidRPr="00A6390C" w:rsidRDefault="00A6390C" w:rsidP="007F5F83">
      <w:pPr>
        <w:rPr>
          <w:rFonts w:ascii="Garamond" w:hAnsi="Garamond"/>
          <w:b/>
          <w:bCs/>
        </w:rPr>
      </w:pPr>
      <w:r w:rsidRPr="00A6390C">
        <w:rPr>
          <w:rFonts w:ascii="Garamond" w:hAnsi="Garamond"/>
          <w:b/>
          <w:bCs/>
        </w:rPr>
        <w:t xml:space="preserve">** Move some description of the clustering, including histogram of the isotopic composition per group** </w:t>
      </w:r>
    </w:p>
    <w:p w14:paraId="5129C267" w14:textId="77777777" w:rsidR="00A6390C" w:rsidRPr="00A6390C" w:rsidRDefault="00A6390C" w:rsidP="007F5F83">
      <w:pPr>
        <w:rPr>
          <w:rFonts w:ascii="Garamond" w:hAnsi="Garamond"/>
          <w:b/>
          <w:bCs/>
        </w:rPr>
      </w:pPr>
    </w:p>
    <w:p w14:paraId="768F261B" w14:textId="77777777" w:rsidR="00A6390C" w:rsidRPr="00A6390C" w:rsidRDefault="00A6390C" w:rsidP="007F5F83">
      <w:pPr>
        <w:rPr>
          <w:rFonts w:ascii="Garamond" w:hAnsi="Garamond"/>
          <w:b/>
          <w:bCs/>
        </w:rPr>
      </w:pPr>
    </w:p>
    <w:p w14:paraId="233B5CFD" w14:textId="2402C238" w:rsidR="00A6390C" w:rsidRPr="00A6390C" w:rsidRDefault="007F5F83" w:rsidP="007F5F83">
      <w:pPr>
        <w:rPr>
          <w:rFonts w:ascii="Garamond" w:hAnsi="Garamond"/>
          <w:b/>
          <w:bCs/>
        </w:rPr>
      </w:pPr>
      <w:r w:rsidRPr="00A6390C">
        <w:rPr>
          <w:rFonts w:ascii="Garamond" w:hAnsi="Garamond"/>
          <w:b/>
          <w:bCs/>
        </w:rPr>
        <w:lastRenderedPageBreak/>
        <w:br/>
        <w:t xml:space="preserve">I appreciated the </w:t>
      </w:r>
      <w:proofErr w:type="gramStart"/>
      <w:r w:rsidRPr="00A6390C">
        <w:rPr>
          <w:rFonts w:ascii="Garamond" w:hAnsi="Garamond"/>
          <w:b/>
          <w:bCs/>
        </w:rPr>
        <w:t>authors’</w:t>
      </w:r>
      <w:proofErr w:type="gramEnd"/>
      <w:r w:rsidRPr="00A6390C">
        <w:rPr>
          <w:rFonts w:ascii="Garamond" w:hAnsi="Garamond"/>
          <w:b/>
          <w:bCs/>
        </w:rPr>
        <w:t xml:space="preserve"> attempt to account for multiple sources of </w:t>
      </w:r>
      <w:proofErr w:type="gramStart"/>
      <w:r w:rsidRPr="00A6390C">
        <w:rPr>
          <w:rFonts w:ascii="Garamond" w:hAnsi="Garamond"/>
          <w:b/>
          <w:bCs/>
        </w:rPr>
        <w:t>uncertainty, but</w:t>
      </w:r>
      <w:proofErr w:type="gramEnd"/>
      <w:r w:rsidRPr="00A6390C">
        <w:rPr>
          <w:rFonts w:ascii="Garamond" w:hAnsi="Garamond"/>
          <w:b/>
          <w:bCs/>
        </w:rPr>
        <w:t xml:space="preserve"> found the section on natal origin estimation difficult to parse. What does within-population error represent in this case? Would it be informative to present the relative magnitude of each of these variance parameters? </w:t>
      </w:r>
    </w:p>
    <w:p w14:paraId="24F9850B" w14:textId="77777777" w:rsidR="00A6390C" w:rsidRPr="00A6390C" w:rsidRDefault="00A6390C" w:rsidP="007F5F83">
      <w:pPr>
        <w:rPr>
          <w:rFonts w:ascii="Garamond" w:hAnsi="Garamond"/>
          <w:b/>
          <w:bCs/>
        </w:rPr>
      </w:pPr>
    </w:p>
    <w:p w14:paraId="0DA812F9" w14:textId="77777777" w:rsidR="00A6390C" w:rsidRPr="00A6390C" w:rsidRDefault="007F5F83" w:rsidP="007F5F83">
      <w:pPr>
        <w:rPr>
          <w:rFonts w:ascii="Garamond" w:hAnsi="Garamond"/>
          <w:b/>
          <w:bCs/>
        </w:rPr>
      </w:pPr>
      <w:proofErr w:type="gramStart"/>
      <w:r w:rsidRPr="00A6390C">
        <w:rPr>
          <w:rFonts w:ascii="Garamond" w:hAnsi="Garamond"/>
          <w:b/>
          <w:bCs/>
        </w:rPr>
        <w:t>Similarly</w:t>
      </w:r>
      <w:proofErr w:type="gramEnd"/>
      <w:r w:rsidRPr="00A6390C">
        <w:rPr>
          <w:rFonts w:ascii="Garamond" w:hAnsi="Garamond"/>
          <w:b/>
          <w:bCs/>
        </w:rPr>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p>
    <w:p w14:paraId="26330E4F" w14:textId="77777777" w:rsidR="00A6390C" w:rsidRPr="00A6390C" w:rsidRDefault="007F5F83" w:rsidP="007F5F83">
      <w:pPr>
        <w:rPr>
          <w:rFonts w:ascii="Garamond" w:hAnsi="Garamond"/>
          <w:b/>
          <w:bCs/>
        </w:rPr>
      </w:pPr>
      <w:r w:rsidRPr="00A6390C">
        <w:rPr>
          <w:rFonts w:ascii="Garamond" w:hAnsi="Garamond"/>
          <w:b/>
          <w:bCs/>
        </w:rPr>
        <w:br/>
      </w:r>
      <w:r w:rsidRPr="00A6390C">
        <w:rPr>
          <w:rFonts w:ascii="Garamond" w:hAnsi="Garamond"/>
          <w:b/>
          <w:bCs/>
        </w:rPr>
        <w:br/>
        <w:t>Finally,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summing the posterior estimates among all groups makes sense and I think would propagate this assignment uncertainty, but not if only a subset of (i.e. top 30%) of posterior estimate was used.</w:t>
      </w:r>
      <w:r w:rsidRPr="00A6390C">
        <w:rPr>
          <w:rFonts w:ascii="Garamond" w:hAnsi="Garamond"/>
          <w:b/>
          <w:bCs/>
        </w:rPr>
        <w:br/>
      </w:r>
    </w:p>
    <w:p w14:paraId="74F1A412" w14:textId="77777777" w:rsidR="00491217" w:rsidRDefault="007F5F83" w:rsidP="007F5F83">
      <w:pPr>
        <w:rPr>
          <w:rFonts w:ascii="Garamond" w:hAnsi="Garamond"/>
          <w:b/>
          <w:bCs/>
        </w:rPr>
      </w:pPr>
      <w:r w:rsidRPr="00A6390C">
        <w:rPr>
          <w:rFonts w:ascii="Garamond" w:hAnsi="Garamond"/>
          <w:b/>
          <w:bCs/>
        </w:rPr>
        <w:br/>
        <w:t>Interannual Variability in Migration Phenology of Upstream Components</w:t>
      </w:r>
      <w:r w:rsidRPr="00A6390C">
        <w:rPr>
          <w:rFonts w:ascii="Garamond" w:hAnsi="Garamond"/>
          <w:b/>
          <w:bCs/>
        </w:rPr>
        <w:br/>
        <w:t xml:space="preserve">At least to my eye from Fig 4, it seems as though groups 1 and 2 have much greater interannual variability in run timing. I would recommend testing for this quantitatively (e.g. the CV of 50% passage date among years by group). It’s not only of ecological </w:t>
      </w:r>
      <w:proofErr w:type="gramStart"/>
      <w:r w:rsidRPr="00A6390C">
        <w:rPr>
          <w:rFonts w:ascii="Garamond" w:hAnsi="Garamond"/>
          <w:b/>
          <w:bCs/>
        </w:rPr>
        <w:t>interest, but</w:t>
      </w:r>
      <w:proofErr w:type="gramEnd"/>
      <w:r w:rsidRPr="00A6390C">
        <w:rPr>
          <w:rFonts w:ascii="Garamond" w:hAnsi="Garamond"/>
          <w:b/>
          <w:bCs/>
        </w:rPr>
        <w:t xml:space="preserve"> presumably is driving the effects seen in Fig 5 and strongly constrains the performance of a harvest control rule based on a fixed temporal window.</w:t>
      </w:r>
    </w:p>
    <w:p w14:paraId="542B85FB" w14:textId="77777777" w:rsidR="00491217" w:rsidRDefault="00491217" w:rsidP="007F5F83">
      <w:pPr>
        <w:rPr>
          <w:rFonts w:ascii="Garamond" w:hAnsi="Garamond"/>
          <w:b/>
          <w:bCs/>
        </w:rPr>
      </w:pPr>
    </w:p>
    <w:p w14:paraId="2D9FFD86" w14:textId="77777777" w:rsidR="00491217" w:rsidRDefault="00491217" w:rsidP="007F5F83">
      <w:pPr>
        <w:rPr>
          <w:rFonts w:ascii="Garamond" w:hAnsi="Garamond"/>
          <w:b/>
          <w:bCs/>
        </w:rPr>
      </w:pPr>
      <w:r>
        <w:rPr>
          <w:rFonts w:ascii="Garamond" w:hAnsi="Garamond"/>
          <w:b/>
          <w:bCs/>
        </w:rPr>
        <w:t xml:space="preserve">Editorial comments </w:t>
      </w:r>
    </w:p>
    <w:p w14:paraId="29EA81DF" w14:textId="77777777" w:rsidR="00491217" w:rsidRDefault="00491217" w:rsidP="007F5F83">
      <w:r w:rsidRPr="00531BBB">
        <w:t xml:space="preserve">Lines 12-14: I think spatiotemporal dynamics of migrating Chinook are relatively well understood in some systems (e.g. Fraser, Columbia, Central Valley), especially compared to most other commercially exploited species. Perhaps </w:t>
      </w:r>
      <w:proofErr w:type="gramStart"/>
      <w:r w:rsidRPr="00531BBB">
        <w:t>best</w:t>
      </w:r>
      <w:proofErr w:type="gramEnd"/>
      <w:r w:rsidRPr="00531BBB">
        <w:t xml:space="preserve"> to qualify?</w:t>
      </w:r>
    </w:p>
    <w:p w14:paraId="53395093" w14:textId="77777777" w:rsidR="00491217" w:rsidRDefault="00491217" w:rsidP="007F5F83">
      <w:r w:rsidRPr="00531BBB">
        <w:lastRenderedPageBreak/>
        <w:t>Line 45-47: May also be worth highlighting that interior populations are often more likely to at low abundance (e.g. Atlas et al. 2023)</w:t>
      </w:r>
    </w:p>
    <w:p w14:paraId="7D00E024" w14:textId="77777777" w:rsidR="00491217" w:rsidRDefault="00491217" w:rsidP="007F5F83">
      <w:r w:rsidRPr="00531BBB">
        <w:br/>
        <w:t xml:space="preserve">Line 47-49: This sentence is unclear to me. Is the point simply that because downstream fisheries harvest upstream components their performance is linked to upstream dynamics? This seems </w:t>
      </w:r>
      <w:proofErr w:type="spellStart"/>
      <w:proofErr w:type="gramStart"/>
      <w:r w:rsidRPr="00531BBB">
        <w:t>self evident</w:t>
      </w:r>
      <w:proofErr w:type="spellEnd"/>
      <w:proofErr w:type="gramEnd"/>
      <w:r w:rsidRPr="00531BBB">
        <w:t>. I think it might be better to emphasize that because these fisheries are often mixed stock, there are socioeconomic benefits associated with maintaining diversity (</w:t>
      </w:r>
      <w:proofErr w:type="gramStart"/>
      <w:r w:rsidRPr="00531BBB">
        <w:t>most commonly reduced</w:t>
      </w:r>
      <w:proofErr w:type="gramEnd"/>
      <w:r w:rsidRPr="00531BBB">
        <w:t xml:space="preserve"> interannual variability in catch).</w:t>
      </w:r>
    </w:p>
    <w:p w14:paraId="13C65015" w14:textId="77777777" w:rsidR="00491217" w:rsidRDefault="00491217" w:rsidP="007F5F83">
      <w:r w:rsidRPr="00531BBB">
        <w:br/>
        <w:t xml:space="preserve">Lines 77-81: This para quickly pivots to upstream Kuskokwim, which implies to me these stocks are more imperiled. </w:t>
      </w:r>
      <w:proofErr w:type="gramStart"/>
      <w:r w:rsidRPr="00531BBB">
        <w:t>However</w:t>
      </w:r>
      <w:proofErr w:type="gramEnd"/>
      <w:r w:rsidRPr="00531BBB">
        <w:t xml:space="preserve">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p>
    <w:p w14:paraId="6C0988BE" w14:textId="77777777" w:rsidR="00491217" w:rsidRDefault="00491217" w:rsidP="007F5F83">
      <w:r w:rsidRPr="00531BBB">
        <w:br/>
        <w:t>Line 82-84: I think this could be simplified by removing “the interaction between population-specific migration patterns and”</w:t>
      </w:r>
    </w:p>
    <w:p w14:paraId="73C4397A" w14:textId="77777777" w:rsidR="00491217" w:rsidRDefault="00491217" w:rsidP="007F5F83">
      <w:r w:rsidRPr="00531BBB">
        <w:br/>
        <w:t>Line 85: Recommend adding a paragraph about stock ID and its limitations in this context with bridge to novel approach of using isotope markers to identify spawning locations</w:t>
      </w:r>
    </w:p>
    <w:p w14:paraId="0955FC0D" w14:textId="44CFD251" w:rsidR="00491217" w:rsidRDefault="00491217" w:rsidP="007F5F83">
      <w:r w:rsidRPr="00531BBB">
        <w:br/>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p>
    <w:p w14:paraId="63AF65BE" w14:textId="77777777" w:rsidR="007D21BA" w:rsidRDefault="007D21BA" w:rsidP="007F5F83"/>
    <w:p w14:paraId="38AF8671" w14:textId="40C565F5" w:rsidR="007D21BA" w:rsidRDefault="007D21BA" w:rsidP="007F5F83">
      <w:r w:rsidRPr="00531BBB">
        <w:t xml:space="preserve">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On that note I assumed this was a gillnet </w:t>
      </w:r>
      <w:proofErr w:type="gramStart"/>
      <w:r w:rsidRPr="00531BBB">
        <w:t>fishery, but</w:t>
      </w:r>
      <w:proofErr w:type="gramEnd"/>
      <w:r w:rsidRPr="00531BBB">
        <w:t xml:space="preserve"> might be worth specifying the gear type.</w:t>
      </w:r>
    </w:p>
    <w:p w14:paraId="5295F192" w14:textId="5D615091" w:rsidR="007D21BA" w:rsidRDefault="007D21BA" w:rsidP="007F5F83">
      <w:r w:rsidRPr="00531BBB">
        <w:lastRenderedPageBreak/>
        <w:t>Line 105: Presumably 250 per year?</w:t>
      </w:r>
      <w:r w:rsidRPr="00531BBB">
        <w:br/>
        <w:t>Line 127-131: This is a little unclear to me, does it mean that fish could only be assigned to river portions with uncertainty values greater than 0.0006?</w:t>
      </w:r>
      <w:r w:rsidRPr="00531BBB">
        <w:br/>
        <w:t xml:space="preserve">Line 135: Analytical (presumably measurement error?) and </w:t>
      </w:r>
      <w:proofErr w:type="spellStart"/>
      <w:r w:rsidRPr="00531BBB">
        <w:t>isoscape</w:t>
      </w:r>
      <w:proofErr w:type="spellEnd"/>
      <w:r w:rsidRPr="00531BBB">
        <w:t xml:space="preserve"> prediction errors are fairly intuitive, but what does the within-population variance estimate represent and where does it originate from? Might be helpful to add a few sentences defining each of these in the context of the Brennan et al. analysis.</w:t>
      </w:r>
      <w:r w:rsidRPr="00531BBB">
        <w:br/>
        <w:t>Line 157-159: elegant approach</w:t>
      </w:r>
      <w:r w:rsidRPr="00531BBB">
        <w:br/>
        <w:t xml:space="preserve">Line 160: does subset refer to </w:t>
      </w:r>
      <w:proofErr w:type="spellStart"/>
      <w:r w:rsidRPr="00531BBB">
        <w:t>substocks</w:t>
      </w:r>
      <w:proofErr w:type="spellEnd"/>
      <w:r w:rsidRPr="00531BBB">
        <w:t>, temporal quartiles, sampling events, or something else?</w:t>
      </w:r>
      <w:r w:rsidRPr="00531BBB">
        <w:br/>
        <w:t xml:space="preserve">Line 161-163: So this results in each individual being assigned to a single regional group with 100% certainty? This seems like an important assumption. Why couldn’t the entire assignment probability vector for </w:t>
      </w:r>
      <w:proofErr w:type="gramStart"/>
      <w:r w:rsidRPr="00531BBB">
        <w:t>each individual</w:t>
      </w:r>
      <w:proofErr w:type="gramEnd"/>
      <w:r w:rsidRPr="00531BBB">
        <w:t xml:space="preserve">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r w:rsidRPr="00531BBB">
        <w:br/>
        <w:t>Lines 170-186: This seems better suited to the results than the methods, but I defer to the authors and editorial team. It would also be beneficial to summarize how these groups cross walk to management objectives. For example, does group 1 represent “the furthest upstream region of the Kuskokwim River” or is this group 1, 2 and 3? Basically I’m wondering how these groups relate to upstream communities that seem to be most at-risk of compromised food security.</w:t>
      </w:r>
      <w:r w:rsidRPr="00531BBB">
        <w:br/>
        <w:t>Line 184-186: does this mean that there’s a risk that fish with that isotopic signature will be misassigned to lower watershed?</w:t>
      </w:r>
      <w:r w:rsidRPr="00531BBB">
        <w:br/>
        <w:t>Line 194-196: Is this based on the sum of daily CPUE data or something more nuanced?</w:t>
      </w:r>
    </w:p>
    <w:p w14:paraId="2F7CAF66" w14:textId="5D619EAA" w:rsidR="007D21BA" w:rsidRDefault="007D21BA" w:rsidP="007F5F83">
      <w:r w:rsidRPr="00531BBB">
        <w:t xml:space="preserve">Lines 216-255: In my opinion it’s tough to resolve the claim from lines 216-218 using Figure 3 due to strong differences among stocks in the proportional contribution, which minimizes contrast among the quartiles. Would it be better to </w:t>
      </w:r>
      <w:proofErr w:type="gramStart"/>
      <w:r w:rsidRPr="00531BBB">
        <w:t>facet by</w:t>
      </w:r>
      <w:proofErr w:type="gramEnd"/>
      <w:r w:rsidRPr="00531BBB">
        <w:t xml:space="preserve">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r w:rsidRPr="00531BBB">
        <w:br/>
      </w:r>
      <w:proofErr w:type="spellStart"/>
      <w:r w:rsidRPr="00531BBB">
        <w:t>LIne</w:t>
      </w:r>
      <w:proofErr w:type="spellEnd"/>
      <w:r w:rsidRPr="00531BBB">
        <w:t xml:space="preserve"> 230: Suggest specifying interannual variation</w:t>
      </w:r>
      <w:r w:rsidRPr="00531BBB">
        <w:br/>
      </w:r>
      <w:r w:rsidRPr="00531BBB">
        <w:lastRenderedPageBreak/>
        <w:t xml:space="preserve">Lines 233-234: Might be worth defining parenthetically which </w:t>
      </w:r>
      <w:proofErr w:type="spellStart"/>
      <w:r w:rsidRPr="00531BBB">
        <w:t>numerics</w:t>
      </w:r>
      <w:proofErr w:type="spellEnd"/>
      <w:r w:rsidRPr="00531BBB">
        <w:t xml:space="preserve"> represent middle/lower (i.e. is it 1-5, 2-4?)</w:t>
      </w:r>
      <w:r w:rsidRPr="00531BBB">
        <w:br/>
        <w:t xml:space="preserve">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w:t>
      </w:r>
      <w:proofErr w:type="spellStart"/>
      <w:r w:rsidRPr="00531BBB">
        <w:t>behaviour</w:t>
      </w:r>
      <w:proofErr w:type="spellEnd"/>
      <w:r w:rsidRPr="00531BBB">
        <w:t xml:space="preserve"> among groups.</w:t>
      </w:r>
      <w:r w:rsidRPr="00531BBB">
        <w:br/>
        <w:t>Line 261: By minimum protection values I’m assuming the authors are referring to the year with the observed lowest proportion protected?</w:t>
      </w:r>
      <w:r w:rsidRPr="00531BBB">
        <w:br/>
        <w:t xml:space="preserve">Line 266-268: This is a really important component of the work and I’m glad it was included. Did the authors consider inverting the x-axis </w:t>
      </w:r>
      <w:proofErr w:type="gramStart"/>
      <w:r w:rsidRPr="00531BBB">
        <w:t>on</w:t>
      </w:r>
      <w:proofErr w:type="gramEnd"/>
      <w:r w:rsidRPr="00531BBB">
        <w:t xml:space="preserve">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r w:rsidRPr="00531BBB">
        <w:br/>
      </w:r>
      <w:r w:rsidRPr="00531BBB">
        <w:br/>
        <w:t>Discussion</w:t>
      </w:r>
      <w:r w:rsidRPr="00531BBB">
        <w:br/>
        <w:t>Line 277-279: Nitpicky but this sentence refers to multiple smaller upstream watersheds but then uses “watershed” to also refer to the entire basin.</w:t>
      </w:r>
      <w:r w:rsidRPr="00531BBB">
        <w:br/>
        <w:t>Lines 279-281: Wording’s a little clunky.</w:t>
      </w:r>
      <w:r w:rsidRPr="00531BBB">
        <w:br/>
        <w:t>Line 282: Here would be a good place to insert a paragraph describing how regional stock groupings correspond, or not, to a priori assumptions about stock structure, as well as summarizing any existing knowledge on ecological differences (besides migration timing) between upper/middle/lower populations. Then pivot to management implications and efficacy.</w:t>
      </w:r>
      <w:r w:rsidRPr="00531BBB">
        <w:br/>
        <w:t>Line 298: Is proportional protection driven by relative abundance or variability in timing?</w:t>
      </w:r>
      <w:r w:rsidRPr="00531BBB">
        <w:br/>
        <w:t xml:space="preserve">Lines 303-310: The authors explicitly state that this is a function of the timing and duration of the overall migration, but I think this is where a discussion on differences in the degree of variability among regional groups could be interesting. Fundamentally it’s easier to design static closures for stocks with more consistent timing than for those with variable timing. </w:t>
      </w:r>
      <w:proofErr w:type="gramStart"/>
      <w:r w:rsidRPr="00531BBB">
        <w:t>Unfortunately</w:t>
      </w:r>
      <w:proofErr w:type="gramEnd"/>
      <w:r w:rsidRPr="00531BBB">
        <w:t xml:space="preserve"> the upper Kuskokwim populations seem to fall in the latter category.</w:t>
      </w:r>
      <w:r w:rsidRPr="00531BBB">
        <w:b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r w:rsidRPr="00531BBB">
        <w:br/>
        <w:t xml:space="preserve">Lines 347-348: Somewhat vague. See previous comment requesting additional detail on </w:t>
      </w:r>
      <w:r w:rsidRPr="00531BBB">
        <w:lastRenderedPageBreak/>
        <w:t>information on within basin dynamics.</w:t>
      </w:r>
      <w:r w:rsidRPr="00531BBB">
        <w:br/>
      </w:r>
    </w:p>
    <w:p w14:paraId="3296D9F8" w14:textId="2A521488" w:rsidR="007F5F83" w:rsidRPr="00A6390C" w:rsidRDefault="007F5F83" w:rsidP="007F5F83">
      <w:pPr>
        <w:rPr>
          <w:rFonts w:ascii="Garamond" w:hAnsi="Garamond"/>
          <w:b/>
          <w:bCs/>
        </w:rPr>
      </w:pPr>
      <w:r w:rsidRPr="00A6390C">
        <w:rPr>
          <w:rFonts w:ascii="Garamond" w:hAnsi="Garamond"/>
          <w:b/>
          <w:bCs/>
        </w:rPr>
        <w:br/>
      </w:r>
    </w:p>
    <w:p w14:paraId="03A34CDB" w14:textId="77777777" w:rsidR="00491217" w:rsidRDefault="00491217" w:rsidP="00A6390C">
      <w:pPr>
        <w:pStyle w:val="Title"/>
        <w:rPr>
          <w:rFonts w:ascii="Garamond" w:hAnsi="Garamond"/>
        </w:rPr>
      </w:pPr>
    </w:p>
    <w:p w14:paraId="57EDA75E" w14:textId="77777777" w:rsidR="00491217" w:rsidRDefault="00491217" w:rsidP="00A6390C">
      <w:pPr>
        <w:pStyle w:val="Title"/>
        <w:rPr>
          <w:rFonts w:ascii="Garamond" w:hAnsi="Garamond"/>
        </w:rPr>
      </w:pPr>
    </w:p>
    <w:p w14:paraId="0ADFC782" w14:textId="77777777" w:rsidR="00491217" w:rsidRDefault="00491217" w:rsidP="00A6390C">
      <w:pPr>
        <w:pStyle w:val="Title"/>
        <w:rPr>
          <w:rFonts w:ascii="Garamond" w:hAnsi="Garamond"/>
        </w:rPr>
      </w:pPr>
    </w:p>
    <w:p w14:paraId="03C141F6" w14:textId="533A9E82" w:rsidR="00A6390C" w:rsidRDefault="00A6390C" w:rsidP="00A6390C">
      <w:pPr>
        <w:pStyle w:val="Title"/>
        <w:rPr>
          <w:rFonts w:ascii="Garamond" w:hAnsi="Garamond"/>
        </w:rPr>
      </w:pPr>
      <w:r w:rsidRPr="00A6390C">
        <w:rPr>
          <w:rFonts w:ascii="Garamond" w:hAnsi="Garamond"/>
        </w:rPr>
        <w:t xml:space="preserve">Reviewer </w:t>
      </w:r>
      <w:r>
        <w:rPr>
          <w:rFonts w:ascii="Garamond" w:hAnsi="Garamond"/>
        </w:rPr>
        <w:t>2</w:t>
      </w:r>
      <w:r w:rsidRPr="00A6390C">
        <w:rPr>
          <w:rFonts w:ascii="Garamond" w:hAnsi="Garamond"/>
        </w:rPr>
        <w:t xml:space="preserve">: </w:t>
      </w:r>
    </w:p>
    <w:p w14:paraId="1AF50157" w14:textId="1F542DB0" w:rsidR="00A6390C" w:rsidRDefault="00A6390C" w:rsidP="00A6390C">
      <w:r>
        <w:t xml:space="preserve">General Comments </w:t>
      </w:r>
    </w:p>
    <w:p w14:paraId="58AA414B" w14:textId="597DB26E" w:rsidR="00A6390C" w:rsidRPr="00733A9B" w:rsidRDefault="005052B4" w:rsidP="00A6390C">
      <w:pPr>
        <w:rPr>
          <w:rFonts w:ascii="Garamond" w:hAnsi="Garamond"/>
          <w:b/>
          <w:bCs/>
        </w:rPr>
      </w:pPr>
      <w:r w:rsidRPr="00733A9B">
        <w:rPr>
          <w:rFonts w:ascii="Garamond" w:hAnsi="Garamond"/>
          <w:b/>
          <w:bCs/>
        </w:rPr>
        <w:t>From the title I didn’t think “multi-year otolith isotope study”. I am also not sure “balance” is the right word and a more pointed title about the upper-watershed fish may be more appropriate.</w:t>
      </w:r>
    </w:p>
    <w:p w14:paraId="5959770B" w14:textId="041BEF7C" w:rsidR="005052B4" w:rsidRPr="00733A9B" w:rsidRDefault="005052B4" w:rsidP="00733A9B">
      <w:pPr>
        <w:ind w:left="720"/>
        <w:rPr>
          <w:rFonts w:ascii="Garamond" w:hAnsi="Garamond"/>
        </w:rPr>
      </w:pPr>
      <w:r w:rsidRPr="00733A9B">
        <w:rPr>
          <w:rFonts w:ascii="Garamond" w:hAnsi="Garamond"/>
        </w:rPr>
        <w:t xml:space="preserve">Although we agree that the title does not lead the reader to the conclusion that this is an otolith-based study, we believe that the key take home message here is assessing how the strategic closure can balance the dual goals of opportunity and stock diversity when provided with sufficient spatial resolution (achieved via the otolith chemistry). For this </w:t>
      </w:r>
      <w:proofErr w:type="gramStart"/>
      <w:r w:rsidRPr="00733A9B">
        <w:rPr>
          <w:rFonts w:ascii="Garamond" w:hAnsi="Garamond"/>
        </w:rPr>
        <w:t>reason</w:t>
      </w:r>
      <w:proofErr w:type="gramEnd"/>
      <w:r w:rsidRPr="00733A9B">
        <w:rPr>
          <w:rFonts w:ascii="Garamond" w:hAnsi="Garamond"/>
        </w:rPr>
        <w:t xml:space="preserve"> we have opted to keep the title the same. </w:t>
      </w:r>
    </w:p>
    <w:p w14:paraId="3D8A9FEC" w14:textId="77777777" w:rsidR="005052B4" w:rsidRPr="00A6390C" w:rsidRDefault="005052B4" w:rsidP="00A6390C"/>
    <w:p w14:paraId="0A8E7970" w14:textId="4176A926" w:rsidR="007F5F83" w:rsidRDefault="005052B4">
      <w:pPr>
        <w:rPr>
          <w:b/>
          <w:bCs/>
        </w:rPr>
      </w:pPr>
      <w:r w:rsidRPr="005052B4">
        <w:rPr>
          <w:b/>
          <w:bCs/>
        </w:rPr>
        <w:t>Throughout the entire manuscript text and figures change Sr87/Sr86 to 87Sr/86Sr.</w:t>
      </w:r>
    </w:p>
    <w:p w14:paraId="23FAEEFF" w14:textId="6ABCF2B7" w:rsidR="005052B4" w:rsidRDefault="005052B4">
      <w:pPr>
        <w:rPr>
          <w:b/>
          <w:bCs/>
        </w:rPr>
      </w:pPr>
      <w:r w:rsidRPr="005052B4">
        <w:rPr>
          <w:b/>
          <w:bCs/>
          <w:highlight w:val="yellow"/>
        </w:rPr>
        <w:t>** Change throughout **</w:t>
      </w:r>
      <w:r>
        <w:rPr>
          <w:b/>
          <w:bCs/>
        </w:rPr>
        <w:t xml:space="preserve"> </w:t>
      </w:r>
    </w:p>
    <w:p w14:paraId="4F4D7E03" w14:textId="77777777" w:rsidR="005052B4" w:rsidRDefault="005052B4"/>
    <w:p w14:paraId="63229207" w14:textId="77777777" w:rsidR="005052B4" w:rsidRDefault="005052B4"/>
    <w:p w14:paraId="23317A3B" w14:textId="6AE80C08" w:rsidR="005052B4" w:rsidRPr="00733A9B" w:rsidRDefault="005052B4">
      <w:pPr>
        <w:rPr>
          <w:b/>
          <w:bCs/>
        </w:rPr>
      </w:pPr>
      <w:r w:rsidRPr="00733A9B">
        <w:rPr>
          <w:b/>
          <w:bCs/>
        </w:rPr>
        <w:t xml:space="preserve">The abstract does a good job of introducing the problem and research objectives. However, without reading the rest of the paper the last two sentences don’t make a lot of sense to me. What are magnitudes of run-timing? And </w:t>
      </w:r>
      <w:proofErr w:type="gramStart"/>
      <w:r w:rsidRPr="00733A9B">
        <w:rPr>
          <w:b/>
          <w:bCs/>
        </w:rPr>
        <w:t>efficacy</w:t>
      </w:r>
      <w:proofErr w:type="gramEnd"/>
      <w:r w:rsidRPr="00733A9B">
        <w:rPr>
          <w:b/>
          <w:bCs/>
        </w:rPr>
        <w:t xml:space="preserve"> of what? (I assume the closure-dates?) Finally, how are simulated closure end dates providing greater protection (I assume </w:t>
      </w:r>
      <w:proofErr w:type="gramStart"/>
      <w:r w:rsidRPr="00733A9B">
        <w:rPr>
          <w:b/>
          <w:bCs/>
        </w:rPr>
        <w:t>its</w:t>
      </w:r>
      <w:proofErr w:type="gramEnd"/>
      <w:r w:rsidRPr="00733A9B">
        <w:rPr>
          <w:b/>
          <w:bCs/>
        </w:rPr>
        <w:t xml:space="preserve"> specific for simulated later closure end dates). I am sure this will become clear when reading the rest of the manuscript but ideally the abstract stands by itself. Maybe strategic rewording of these sentences will make this </w:t>
      </w:r>
      <w:proofErr w:type="gramStart"/>
      <w:r w:rsidRPr="00733A9B">
        <w:rPr>
          <w:b/>
          <w:bCs/>
        </w:rPr>
        <w:t>more clear</w:t>
      </w:r>
      <w:proofErr w:type="gramEnd"/>
      <w:r w:rsidRPr="00733A9B">
        <w:rPr>
          <w:b/>
          <w:bCs/>
        </w:rPr>
        <w:t>.</w:t>
      </w:r>
    </w:p>
    <w:p w14:paraId="31594003" w14:textId="77777777" w:rsidR="00733A9B" w:rsidRDefault="00733A9B"/>
    <w:p w14:paraId="43E47D48" w14:textId="47F98BBB" w:rsidR="005052B4" w:rsidRPr="00733A9B" w:rsidRDefault="005052B4" w:rsidP="00733A9B">
      <w:pPr>
        <w:ind w:firstLine="720"/>
        <w:rPr>
          <w:rFonts w:ascii="Garamond" w:hAnsi="Garamond"/>
        </w:rPr>
      </w:pPr>
      <w:r w:rsidRPr="00733A9B">
        <w:rPr>
          <w:rFonts w:ascii="Garamond" w:hAnsi="Garamond"/>
        </w:rPr>
        <w:t xml:space="preserve">To </w:t>
      </w:r>
      <w:r w:rsidR="00733A9B" w:rsidRPr="00733A9B">
        <w:rPr>
          <w:rFonts w:ascii="Garamond" w:hAnsi="Garamond"/>
        </w:rPr>
        <w:t xml:space="preserve">clarify the abstract for the reader we re-worded to read: </w:t>
      </w:r>
    </w:p>
    <w:p w14:paraId="22DF3D39" w14:textId="7FEB4058" w:rsidR="005052B4" w:rsidRDefault="00A32532" w:rsidP="00733A9B">
      <w:pPr>
        <w:ind w:left="720"/>
        <w:rPr>
          <w:rFonts w:ascii="Garamond" w:hAnsi="Garamond"/>
        </w:rPr>
      </w:pPr>
      <w:proofErr w:type="gramStart"/>
      <w:r w:rsidRPr="00733A9B">
        <w:rPr>
          <w:rFonts w:ascii="Garamond" w:hAnsi="Garamond"/>
        </w:rPr>
        <w:t xml:space="preserve">“ </w:t>
      </w:r>
      <w:r w:rsidR="00733A9B" w:rsidRPr="00733A9B">
        <w:rPr>
          <w:rFonts w:ascii="Garamond" w:hAnsi="Garamond"/>
          <w:sz w:val="22"/>
          <w:szCs w:val="22"/>
        </w:rPr>
        <w:t>A</w:t>
      </w:r>
      <w:proofErr w:type="gramEnd"/>
      <w:r w:rsidR="00733A9B" w:rsidRPr="00733A9B">
        <w:rPr>
          <w:rFonts w:ascii="Garamond" w:hAnsi="Garamond"/>
          <w:sz w:val="22"/>
          <w:szCs w:val="22"/>
        </w:rPr>
        <w:t xml:space="preserve"> longer simulated closure </w:t>
      </w:r>
      <w:r w:rsidR="00733A9B" w:rsidRPr="00733A9B">
        <w:rPr>
          <w:rFonts w:ascii="Garamond" w:hAnsi="Garamond"/>
          <w:sz w:val="22"/>
          <w:szCs w:val="22"/>
        </w:rPr>
        <w:t>provided greater protection for upper watershed stock</w:t>
      </w:r>
      <w:r w:rsidR="00733A9B" w:rsidRPr="00733A9B">
        <w:rPr>
          <w:rFonts w:ascii="Garamond" w:hAnsi="Garamond"/>
          <w:sz w:val="22"/>
          <w:szCs w:val="22"/>
        </w:rPr>
        <w:t>s but with an associated tradeoff of lost harvest opportunity. The protection afforded to upper</w:t>
      </w:r>
      <w:r w:rsidR="00733A9B" w:rsidRPr="00733A9B">
        <w:rPr>
          <w:rFonts w:ascii="Garamond" w:hAnsi="Garamond"/>
          <w:sz w:val="22"/>
          <w:szCs w:val="22"/>
        </w:rPr>
        <w:t xml:space="preserve"> watershed stocks varied substantially among years due to variable overall return migration timing, highlighting the interaction between a fixed closure strategy and dynamic ecological processes that impact </w:t>
      </w:r>
      <w:proofErr w:type="gramStart"/>
      <w:r w:rsidR="00733A9B" w:rsidRPr="00733A9B">
        <w:rPr>
          <w:rFonts w:ascii="Garamond" w:hAnsi="Garamond"/>
          <w:sz w:val="22"/>
          <w:szCs w:val="22"/>
        </w:rPr>
        <w:t>it’s</w:t>
      </w:r>
      <w:proofErr w:type="gramEnd"/>
      <w:r w:rsidR="00733A9B" w:rsidRPr="00733A9B">
        <w:rPr>
          <w:rFonts w:ascii="Garamond" w:hAnsi="Garamond"/>
          <w:sz w:val="22"/>
          <w:szCs w:val="22"/>
        </w:rPr>
        <w:t xml:space="preserve"> overall efficacy.</w:t>
      </w:r>
      <w:r w:rsidR="00733A9B" w:rsidRPr="00733A9B">
        <w:rPr>
          <w:rFonts w:ascii="Garamond" w:hAnsi="Garamond"/>
        </w:rPr>
        <w:t xml:space="preserve">” </w:t>
      </w:r>
    </w:p>
    <w:p w14:paraId="6847D43C" w14:textId="77777777" w:rsidR="00733A9B" w:rsidRDefault="00733A9B" w:rsidP="00733A9B">
      <w:pPr>
        <w:rPr>
          <w:rFonts w:ascii="Garamond" w:hAnsi="Garamond"/>
        </w:rPr>
      </w:pPr>
    </w:p>
    <w:p w14:paraId="47C79846" w14:textId="4F29836E" w:rsidR="00733A9B" w:rsidRPr="00733A9B" w:rsidRDefault="00733A9B" w:rsidP="00733A9B">
      <w:pPr>
        <w:rPr>
          <w:rFonts w:ascii="Garamond" w:hAnsi="Garamond"/>
          <w:b/>
          <w:bCs/>
        </w:rPr>
      </w:pPr>
      <w:r w:rsidRPr="00733A9B">
        <w:rPr>
          <w:rFonts w:ascii="Garamond" w:hAnsi="Garamond"/>
          <w:b/>
          <w:bCs/>
        </w:rPr>
        <w:t xml:space="preserve">Most CJFAS readers are likely familiar with the importance of the </w:t>
      </w:r>
      <w:proofErr w:type="gramStart"/>
      <w:r w:rsidRPr="00733A9B">
        <w:rPr>
          <w:rFonts w:ascii="Garamond" w:hAnsi="Garamond"/>
          <w:b/>
          <w:bCs/>
        </w:rPr>
        <w:t>Kuskokwim river</w:t>
      </w:r>
      <w:proofErr w:type="gramEnd"/>
      <w:r w:rsidRPr="00733A9B">
        <w:rPr>
          <w:rFonts w:ascii="Garamond" w:hAnsi="Garamond"/>
          <w:b/>
          <w:bCs/>
        </w:rPr>
        <w:t xml:space="preserve"> but for international readers it would be beneficial to add a qualifier like “major Pacific salmon producing river” or “</w:t>
      </w:r>
      <w:proofErr w:type="gramStart"/>
      <w:r w:rsidRPr="00733A9B">
        <w:rPr>
          <w:rFonts w:ascii="Garamond" w:hAnsi="Garamond"/>
          <w:b/>
          <w:bCs/>
        </w:rPr>
        <w:t>a  large</w:t>
      </w:r>
      <w:proofErr w:type="gramEnd"/>
      <w:r w:rsidRPr="00733A9B">
        <w:rPr>
          <w:rFonts w:ascii="Garamond" w:hAnsi="Garamond"/>
          <w:b/>
          <w:bCs/>
        </w:rPr>
        <w:t xml:space="preserve"> and remote Chinook salmon watershed” or something similar.</w:t>
      </w:r>
    </w:p>
    <w:p w14:paraId="086EFF69" w14:textId="67FF9780" w:rsidR="00733A9B" w:rsidRDefault="00733A9B" w:rsidP="00733A9B">
      <w:pPr>
        <w:ind w:left="720"/>
        <w:rPr>
          <w:rFonts w:ascii="Garamond" w:hAnsi="Garamond"/>
        </w:rPr>
      </w:pPr>
      <w:r w:rsidRPr="00733A9B">
        <w:rPr>
          <w:rFonts w:ascii="Garamond" w:hAnsi="Garamond"/>
        </w:rPr>
        <w:t xml:space="preserve">We added a clearer introduction of the Kuskokwim as a salmon producing river in western Alaska. </w:t>
      </w:r>
    </w:p>
    <w:p w14:paraId="65632E51" w14:textId="77777777" w:rsidR="00733A9B" w:rsidRDefault="00733A9B" w:rsidP="00733A9B">
      <w:pPr>
        <w:rPr>
          <w:rFonts w:ascii="Garamond" w:hAnsi="Garamond"/>
        </w:rPr>
      </w:pPr>
    </w:p>
    <w:p w14:paraId="77288623" w14:textId="68AEEE44" w:rsidR="00733A9B" w:rsidRPr="00733A9B" w:rsidRDefault="00733A9B" w:rsidP="00733A9B">
      <w:pPr>
        <w:rPr>
          <w:b/>
          <w:bCs/>
        </w:rPr>
      </w:pPr>
      <w:r w:rsidRPr="00733A9B">
        <w:rPr>
          <w:b/>
          <w:bCs/>
        </w:rPr>
        <w:t xml:space="preserve">Line 47-49 “However, the timing, yield, and duration of downstream fisheries are the result of the aggregate dynamics of these upstream components (Nesbitt &amp; Moore, 2016).” I am not sure I fully understand what </w:t>
      </w:r>
      <w:proofErr w:type="gramStart"/>
      <w:r w:rsidRPr="00733A9B">
        <w:rPr>
          <w:b/>
          <w:bCs/>
        </w:rPr>
        <w:t>is</w:t>
      </w:r>
      <w:proofErr w:type="gramEnd"/>
      <w:r w:rsidRPr="00733A9B">
        <w:rPr>
          <w:b/>
          <w:bCs/>
        </w:rPr>
        <w:t xml:space="preserve"> </w:t>
      </w:r>
      <w:proofErr w:type="gramStart"/>
      <w:r w:rsidRPr="00733A9B">
        <w:rPr>
          <w:b/>
          <w:bCs/>
        </w:rPr>
        <w:t>meant</w:t>
      </w:r>
      <w:proofErr w:type="gramEnd"/>
      <w:r w:rsidRPr="00733A9B">
        <w:rPr>
          <w:b/>
          <w:bCs/>
        </w:rPr>
        <w:t xml:space="preserve"> here. </w:t>
      </w:r>
      <w:proofErr w:type="gramStart"/>
      <w:r w:rsidRPr="00733A9B">
        <w:rPr>
          <w:b/>
          <w:bCs/>
        </w:rPr>
        <w:t>So</w:t>
      </w:r>
      <w:proofErr w:type="gramEnd"/>
      <w:r w:rsidRPr="00733A9B">
        <w:rPr>
          <w:b/>
          <w:bCs/>
        </w:rPr>
        <w:t xml:space="preserve"> the duration and yield of downstream fisheries are impacted by the dynamics of the salmon in the upper watersheds?</w:t>
      </w:r>
    </w:p>
    <w:p w14:paraId="617E69E1" w14:textId="77777777" w:rsidR="00733A9B" w:rsidRDefault="00733A9B" w:rsidP="00733A9B"/>
    <w:p w14:paraId="1C86EFDC" w14:textId="4D472ECB" w:rsidR="00733A9B" w:rsidRDefault="00733A9B" w:rsidP="00733A9B">
      <w:pPr>
        <w:ind w:left="720"/>
      </w:pPr>
      <w:r>
        <w:t>Yes, the duration and yield of the downstream fishery is a direct result of the dynamics of salmon in the upper watershed. Because the sub-populations that make up the watershed are characterized by variable run timing/abundance/</w:t>
      </w:r>
      <w:proofErr w:type="gramStart"/>
      <w:r>
        <w:t>etc. ,</w:t>
      </w:r>
      <w:proofErr w:type="gramEnd"/>
      <w:r>
        <w:t xml:space="preserve"> what is observed in the downstream fishery is the aggregate of these patterns among stocks. For example, several upper watershed stocks with variable and non-overlapping run timing would extend the duration of the available harvest time for downstream fisheries as demonstrated in Nesbitt and Moore, 2016.  </w:t>
      </w:r>
    </w:p>
    <w:p w14:paraId="717480BC" w14:textId="77777777" w:rsidR="00733A9B" w:rsidRDefault="00733A9B" w:rsidP="00733A9B"/>
    <w:p w14:paraId="28512D64" w14:textId="2AA1491F" w:rsidR="00733A9B" w:rsidRDefault="00974EB1" w:rsidP="00733A9B">
      <w:pPr>
        <w:rPr>
          <w:b/>
          <w:bCs/>
        </w:rPr>
      </w:pPr>
      <w:r w:rsidRPr="00974EB1">
        <w:rPr>
          <w:b/>
          <w:bCs/>
        </w:rPr>
        <w:t>Line 54. “western” should be “Western”.</w:t>
      </w:r>
    </w:p>
    <w:p w14:paraId="52161DA6" w14:textId="768EC7FE" w:rsidR="00974EB1" w:rsidRDefault="00974EB1" w:rsidP="00733A9B">
      <w:r>
        <w:tab/>
        <w:t xml:space="preserve">Corrected error. </w:t>
      </w:r>
    </w:p>
    <w:p w14:paraId="09DA6005" w14:textId="77777777" w:rsidR="00974EB1" w:rsidRDefault="00974EB1" w:rsidP="00733A9B"/>
    <w:p w14:paraId="786EF20D" w14:textId="44833B5A" w:rsidR="00974EB1" w:rsidRDefault="00974EB1" w:rsidP="00733A9B">
      <w:pPr>
        <w:rPr>
          <w:b/>
          <w:bCs/>
        </w:rPr>
      </w:pPr>
      <w:r w:rsidRPr="00974EB1">
        <w:rPr>
          <w:b/>
          <w:bCs/>
        </w:rPr>
        <w:lastRenderedPageBreak/>
        <w:t xml:space="preserve">Line 77. If available add a reference for the local/tribal knowledge. </w:t>
      </w:r>
      <w:proofErr w:type="spellStart"/>
      <w:proofErr w:type="gramStart"/>
      <w:r w:rsidRPr="00974EB1">
        <w:rPr>
          <w:b/>
          <w:bCs/>
        </w:rPr>
        <w:t>Its</w:t>
      </w:r>
      <w:proofErr w:type="spellEnd"/>
      <w:proofErr w:type="gramEnd"/>
      <w:r w:rsidRPr="00974EB1">
        <w:rPr>
          <w:b/>
          <w:bCs/>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051CFF85" w:rsidR="00974EB1" w:rsidRDefault="00974EB1" w:rsidP="00974EB1">
      <w:pPr>
        <w:ind w:firstLine="720"/>
      </w:pPr>
      <w:r w:rsidRPr="00974EB1">
        <w:t xml:space="preserve">** Ask Janessa** </w:t>
      </w:r>
    </w:p>
    <w:p w14:paraId="3B649B0F" w14:textId="77777777" w:rsidR="00974EB1" w:rsidRDefault="00974EB1" w:rsidP="00974EB1"/>
    <w:p w14:paraId="3ADEEEBF" w14:textId="1579DB73" w:rsidR="00974EB1" w:rsidRDefault="00974EB1" w:rsidP="00974EB1">
      <w:pPr>
        <w:rPr>
          <w:b/>
          <w:bCs/>
        </w:rPr>
      </w:pPr>
      <w:r w:rsidRPr="00974EB1">
        <w:rPr>
          <w:b/>
          <w:bCs/>
        </w:rPr>
        <w:t>Line 106. This should be a supplement table with year, CPUE, and available and selected samples. How were samples within a year subsampled?</w:t>
      </w:r>
    </w:p>
    <w:p w14:paraId="1B5AD1AC" w14:textId="1A88E402" w:rsidR="00974EB1" w:rsidRDefault="00974EB1" w:rsidP="00974EB1">
      <w:pPr>
        <w:ind w:left="720"/>
      </w:pPr>
      <w:r w:rsidRPr="00974EB1">
        <w:rPr>
          <w:highlight w:val="yellow"/>
        </w:rPr>
        <w:t>** WE don’t have available vs sampled, but we do the other information, make a table**</w:t>
      </w:r>
      <w:r>
        <w:t xml:space="preserve"> </w:t>
      </w:r>
    </w:p>
    <w:p w14:paraId="47ACF5B8" w14:textId="77777777" w:rsidR="00974EB1" w:rsidRDefault="00974EB1" w:rsidP="00974EB1"/>
    <w:p w14:paraId="3A21748B" w14:textId="265DF688" w:rsidR="00974EB1" w:rsidRPr="00974EB1" w:rsidRDefault="00974EB1" w:rsidP="00974EB1">
      <w:pPr>
        <w:rPr>
          <w:b/>
          <w:bCs/>
        </w:rPr>
      </w:pPr>
      <w:r w:rsidRPr="00974EB1">
        <w:rPr>
          <w:b/>
          <w:bCs/>
        </w:rPr>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0918E139" w14:textId="6E24BAF7" w:rsidR="00974EB1" w:rsidRDefault="00974EB1" w:rsidP="00974EB1">
      <w:r>
        <w:tab/>
        <w:t xml:space="preserve">** Add supplemental from Diego** </w:t>
      </w:r>
    </w:p>
    <w:p w14:paraId="4335AEC4" w14:textId="77777777" w:rsidR="00974EB1" w:rsidRDefault="00974EB1" w:rsidP="00974EB1"/>
    <w:p w14:paraId="5DA4D83A" w14:textId="77777777" w:rsidR="00DF1FA4" w:rsidRDefault="00DF1FA4" w:rsidP="00DF1FA4">
      <w:r w:rsidRPr="00531BBB">
        <w:br/>
        <w:t>Line 115. I don’t think Capo et al is the correct reference here</w:t>
      </w:r>
    </w:p>
    <w:p w14:paraId="136A166D" w14:textId="77777777" w:rsidR="00DF1FA4" w:rsidRDefault="00DF1FA4" w:rsidP="00DF1FA4">
      <w:r>
        <w:tab/>
        <w:t xml:space="preserve">** Find more appropriate citations or remove Capo ** </w:t>
      </w:r>
    </w:p>
    <w:p w14:paraId="6AF2D687" w14:textId="77777777" w:rsidR="00DF1FA4" w:rsidRDefault="00DF1FA4" w:rsidP="00DF1FA4"/>
    <w:p w14:paraId="6FA1DDA8" w14:textId="77777777" w:rsidR="00DF1FA4" w:rsidRPr="00DF1FA4" w:rsidRDefault="00DF1FA4" w:rsidP="00DF1FA4">
      <w:pPr>
        <w:rPr>
          <w:b/>
          <w:bCs/>
        </w:rPr>
      </w:pPr>
      <w:r w:rsidRPr="00DF1FA4">
        <w:rPr>
          <w:b/>
          <w:bCs/>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7015CFAF" w14:textId="77777777" w:rsidR="00DF1FA4" w:rsidRDefault="00DF1FA4" w:rsidP="00DF1FA4">
      <w:pPr>
        <w:ind w:firstLine="720"/>
      </w:pPr>
      <w:r>
        <w:t xml:space="preserve">** Add range of </w:t>
      </w:r>
      <w:proofErr w:type="spellStart"/>
      <w:r>
        <w:t>Chittaro</w:t>
      </w:r>
      <w:proofErr w:type="spellEnd"/>
      <w:r>
        <w:t xml:space="preserve"> et al * </w:t>
      </w:r>
    </w:p>
    <w:p w14:paraId="64E8B60D" w14:textId="77777777" w:rsidR="00DF1FA4" w:rsidRDefault="00DF1FA4" w:rsidP="00DF1FA4">
      <w:pPr>
        <w:ind w:left="720"/>
      </w:pPr>
      <w:r>
        <w:t xml:space="preserve">Added a brief description of how Sr88 was used as a proxy for Sr concentration to indicate full depletion of the maternal signature. </w:t>
      </w:r>
    </w:p>
    <w:p w14:paraId="0C4387A5" w14:textId="77777777" w:rsidR="00DF1FA4" w:rsidRDefault="00DF1FA4" w:rsidP="00DF1FA4"/>
    <w:p w14:paraId="30F8E2A6" w14:textId="008061D5" w:rsidR="00DF1FA4" w:rsidRDefault="00DF1FA4" w:rsidP="00DF1FA4">
      <w:r w:rsidRPr="00531BBB">
        <w:lastRenderedPageBreak/>
        <w:br/>
      </w:r>
      <w:r w:rsidR="001A7F85" w:rsidRPr="00531BBB">
        <w:t>Line 129. Is that histogram shown somewhere?</w:t>
      </w:r>
    </w:p>
    <w:p w14:paraId="66E0947E" w14:textId="11A4E972" w:rsidR="001A7F85" w:rsidRDefault="001A7F85" w:rsidP="00DF1FA4">
      <w:r>
        <w:tab/>
        <w:t xml:space="preserve">Add histogram (better yet, boxplot) </w:t>
      </w:r>
    </w:p>
    <w:p w14:paraId="519B1C39" w14:textId="77777777" w:rsidR="001A7F85" w:rsidRDefault="001A7F85" w:rsidP="00DF1FA4"/>
    <w:p w14:paraId="1C86F641" w14:textId="164854F6" w:rsidR="001A7F85" w:rsidRPr="001A7F85" w:rsidRDefault="001A7F85" w:rsidP="00DF1FA4">
      <w:pPr>
        <w:rPr>
          <w:b/>
          <w:bCs/>
        </w:rPr>
      </w:pPr>
      <w:r w:rsidRPr="001A7F85">
        <w:rPr>
          <w:b/>
          <w:bCs/>
        </w:rPr>
        <w:t xml:space="preserve">Line 163-169. </w:t>
      </w:r>
      <w:proofErr w:type="gramStart"/>
      <w:r w:rsidRPr="001A7F85">
        <w:rPr>
          <w:b/>
          <w:bCs/>
        </w:rPr>
        <w:t>So</w:t>
      </w:r>
      <w:proofErr w:type="gramEnd"/>
      <w:r w:rsidRPr="001A7F85">
        <w:rPr>
          <w:b/>
          <w:bCs/>
        </w:rPr>
        <w:t xml:space="preserve"> </w:t>
      </w:r>
      <w:proofErr w:type="gramStart"/>
      <w:r w:rsidRPr="001A7F85">
        <w:rPr>
          <w:b/>
          <w:bCs/>
        </w:rPr>
        <w:t>is</w:t>
      </w:r>
      <w:proofErr w:type="gramEnd"/>
      <w:r w:rsidRPr="001A7F85">
        <w:rPr>
          <w:b/>
          <w:bCs/>
        </w:rPr>
        <w:t xml:space="preserve"> </w:t>
      </w:r>
      <w:proofErr w:type="gramStart"/>
      <w:r w:rsidRPr="001A7F85">
        <w:rPr>
          <w:b/>
          <w:bCs/>
        </w:rPr>
        <w:t>it</w:t>
      </w:r>
      <w:proofErr w:type="gramEnd"/>
      <w:r w:rsidRPr="001A7F85">
        <w:rPr>
          <w:b/>
          <w:bCs/>
        </w:rPr>
        <w:t xml:space="preserve"> quartiles or </w:t>
      </w:r>
      <w:proofErr w:type="gramStart"/>
      <w:r w:rsidRPr="001A7F85">
        <w:rPr>
          <w:b/>
          <w:bCs/>
        </w:rPr>
        <w:t>is</w:t>
      </w:r>
      <w:proofErr w:type="gramEnd"/>
      <w:r w:rsidRPr="001A7F85">
        <w:rPr>
          <w:b/>
          <w:bCs/>
        </w:rPr>
        <w:t xml:space="preserve"> </w:t>
      </w:r>
      <w:proofErr w:type="gramStart"/>
      <w:r w:rsidRPr="001A7F85">
        <w:rPr>
          <w:b/>
          <w:bCs/>
        </w:rPr>
        <w:t>it</w:t>
      </w:r>
      <w:proofErr w:type="gramEnd"/>
      <w:r w:rsidRPr="001A7F85">
        <w:rPr>
          <w:b/>
          <w:bCs/>
        </w:rPr>
        <w:t xml:space="preserve"> predefined ranges? I assume start and end of run vary among years?</w:t>
      </w:r>
    </w:p>
    <w:p w14:paraId="19E0BB40" w14:textId="54BB6DE6" w:rsidR="001A7F85" w:rsidRDefault="001A7F85" w:rsidP="001A7F85">
      <w:pPr>
        <w:ind w:left="720"/>
      </w:pPr>
      <w:r>
        <w:t xml:space="preserve">These are predefined ranges that are meant to represent a close representation of even quartiles through the run among all years. The start and end </w:t>
      </w:r>
      <w:proofErr w:type="gramStart"/>
      <w:r>
        <w:t>date</w:t>
      </w:r>
      <w:proofErr w:type="gramEnd"/>
      <w:r>
        <w:t xml:space="preserve"> do vary, so they are not even. We mention this later in the </w:t>
      </w:r>
      <w:proofErr w:type="gramStart"/>
      <w:r>
        <w:t>manuscript</w:t>
      </w:r>
      <w:proofErr w:type="gramEnd"/>
      <w:r>
        <w:t xml:space="preserve"> but we added brief language in this section to clarify this point. </w:t>
      </w:r>
    </w:p>
    <w:p w14:paraId="2910F50C" w14:textId="4BF6C39E" w:rsidR="001A7F85" w:rsidRDefault="001A7F85" w:rsidP="001A7F85">
      <w:pPr>
        <w:ind w:left="720"/>
      </w:pPr>
      <w:proofErr w:type="gramStart"/>
      <w:r>
        <w:t xml:space="preserve">“ </w:t>
      </w:r>
      <w:r>
        <w:rPr>
          <w:rFonts w:ascii="Garamond" w:hAnsi="Garamond" w:cs="Times New Roman"/>
        </w:rPr>
        <w:t>These</w:t>
      </w:r>
      <w:proofErr w:type="gramEnd"/>
      <w:r>
        <w:rPr>
          <w:rFonts w:ascii="Garamond" w:hAnsi="Garamond" w:cs="Times New Roman"/>
        </w:rPr>
        <w:t xml:space="preserve"> dates were chosen to roughly split the full run evenly into equal </w:t>
      </w:r>
      <w:proofErr w:type="spellStart"/>
      <w:r>
        <w:rPr>
          <w:rFonts w:ascii="Garamond" w:hAnsi="Garamond" w:cs="Times New Roman"/>
        </w:rPr>
        <w:t>quartileswhile</w:t>
      </w:r>
      <w:proofErr w:type="spellEnd"/>
      <w:r>
        <w:rPr>
          <w:rFonts w:ascii="Garamond" w:hAnsi="Garamond" w:cs="Times New Roman"/>
        </w:rPr>
        <w:t xml:space="preserve"> allowing for direct comparison among years. However, because the start and end date of the return migration varied among years, the duration of Q1 and Q4 varied.</w:t>
      </w:r>
      <w:r>
        <w:rPr>
          <w:rFonts w:ascii="Garamond" w:hAnsi="Garamond" w:cs="Times New Roman"/>
        </w:rPr>
        <w:t>”</w:t>
      </w:r>
    </w:p>
    <w:p w14:paraId="76BEA76F" w14:textId="77777777" w:rsidR="00974EB1" w:rsidRDefault="00974EB1" w:rsidP="00974EB1">
      <w:pPr>
        <w:rPr>
          <w:rFonts w:ascii="Garamond" w:hAnsi="Garamond"/>
        </w:rPr>
      </w:pPr>
    </w:p>
    <w:p w14:paraId="139E060F" w14:textId="305B1C35" w:rsidR="00EB0B96" w:rsidRPr="00FB7854" w:rsidRDefault="00EB0B96" w:rsidP="00974EB1">
      <w:pPr>
        <w:rPr>
          <w:rFonts w:ascii="Garamond" w:hAnsi="Garamond"/>
          <w:b/>
          <w:bCs/>
        </w:rPr>
      </w:pPr>
      <w:r w:rsidRPr="00FB7854">
        <w:rPr>
          <w:rFonts w:ascii="Garamond" w:hAnsi="Garamond"/>
          <w:b/>
          <w:bCs/>
        </w:rPr>
        <w:t>Line 170. What do you mean by “identified”?</w:t>
      </w:r>
    </w:p>
    <w:p w14:paraId="5C3F04CD" w14:textId="60CF366F" w:rsidR="00FB7854" w:rsidRPr="00FB7854" w:rsidRDefault="00FB7854" w:rsidP="00FB7854">
      <w:pPr>
        <w:ind w:left="720"/>
        <w:rPr>
          <w:rFonts w:ascii="Garamond" w:hAnsi="Garamond"/>
        </w:rPr>
      </w:pPr>
      <w:r w:rsidRPr="00FB7854">
        <w:rPr>
          <w:rFonts w:ascii="Garamond" w:hAnsi="Garamond"/>
        </w:rPr>
        <w:t xml:space="preserve">These tributaries were identified as relevant to management based on a combination of expert knowledge and conversation with regional collaborators. I </w:t>
      </w:r>
      <w:proofErr w:type="gramStart"/>
      <w:r w:rsidRPr="00FB7854">
        <w:rPr>
          <w:rFonts w:ascii="Garamond" w:hAnsi="Garamond"/>
        </w:rPr>
        <w:t>added to</w:t>
      </w:r>
      <w:proofErr w:type="gramEnd"/>
      <w:r w:rsidRPr="00FB7854">
        <w:rPr>
          <w:rFonts w:ascii="Garamond" w:hAnsi="Garamond"/>
        </w:rPr>
        <w:t xml:space="preserve"> this sentence to clarify this point </w:t>
      </w:r>
    </w:p>
    <w:p w14:paraId="3FEF0C9A" w14:textId="2F235684" w:rsidR="00FB7854" w:rsidRDefault="00FB7854" w:rsidP="00FB7854">
      <w:pPr>
        <w:ind w:left="720"/>
        <w:rPr>
          <w:rFonts w:ascii="Garamond" w:hAnsi="Garamond"/>
        </w:rPr>
      </w:pPr>
      <w:proofErr w:type="gramStart"/>
      <w:r w:rsidRPr="00FB7854">
        <w:rPr>
          <w:rFonts w:ascii="Garamond" w:hAnsi="Garamond"/>
        </w:rPr>
        <w:t xml:space="preserve">“ </w:t>
      </w:r>
      <w:r w:rsidRPr="00FB7854">
        <w:rPr>
          <w:rFonts w:ascii="Garamond" w:hAnsi="Garamond" w:cs="Times New Roman"/>
        </w:rPr>
        <w:t>Several</w:t>
      </w:r>
      <w:proofErr w:type="gramEnd"/>
      <w:r w:rsidRPr="00FB7854">
        <w:rPr>
          <w:rFonts w:ascii="Garamond" w:hAnsi="Garamond" w:cs="Times New Roman"/>
        </w:rPr>
        <w:t xml:space="preserve"> major tributaries were identified as focal management areas or important Chinook salmon-producing systems within the Kuskokwim River basin based on expert knowledge and consultation with regional collaborators.</w:t>
      </w:r>
      <w:r w:rsidRPr="00FB7854">
        <w:rPr>
          <w:rFonts w:ascii="Garamond" w:hAnsi="Garamond" w:cs="Times New Roman"/>
        </w:rPr>
        <w:t xml:space="preserve">” </w:t>
      </w:r>
      <w:r w:rsidRPr="00FB7854">
        <w:rPr>
          <w:rFonts w:ascii="Garamond" w:hAnsi="Garamond"/>
        </w:rPr>
        <w:t xml:space="preserve"> </w:t>
      </w:r>
    </w:p>
    <w:p w14:paraId="530C7BE9" w14:textId="77777777" w:rsidR="000C6C3C" w:rsidRDefault="000C6C3C" w:rsidP="000C6C3C">
      <w:pPr>
        <w:rPr>
          <w:rFonts w:ascii="Garamond" w:hAnsi="Garamond"/>
        </w:rPr>
      </w:pPr>
    </w:p>
    <w:p w14:paraId="666DF57D" w14:textId="77777777" w:rsidR="00073931" w:rsidRDefault="000C6C3C" w:rsidP="000C6C3C">
      <w:r w:rsidRPr="000C6C3C">
        <w:t xml:space="preserve">Line 178. </w:t>
      </w:r>
      <w:proofErr w:type="gramStart"/>
      <w:r w:rsidRPr="000C6C3C">
        <w:t>So</w:t>
      </w:r>
      <w:proofErr w:type="gramEnd"/>
      <w:r w:rsidRPr="000C6C3C">
        <w:t xml:space="preserve"> you tested 2-6 and then chose 6. Did you check if higher numbers of k would have produced better silhouette results?</w:t>
      </w:r>
    </w:p>
    <w:p w14:paraId="0CF4CF21" w14:textId="51F6D0EA" w:rsidR="00073931" w:rsidRDefault="00073931" w:rsidP="000C6C3C">
      <w:r>
        <w:rPr>
          <w:rFonts w:ascii="Garamond" w:hAnsi="Garamond" w:cs="Times New Roman"/>
        </w:rPr>
        <w:t>We briefly assessed a more refined clustering (higher k</w:t>
      </w:r>
      <w:proofErr w:type="gramStart"/>
      <w:r>
        <w:rPr>
          <w:rFonts w:ascii="Garamond" w:hAnsi="Garamond" w:cs="Times New Roman"/>
        </w:rPr>
        <w:t>), but</w:t>
      </w:r>
      <w:proofErr w:type="gramEnd"/>
      <w:r>
        <w:rPr>
          <w:rFonts w:ascii="Garamond" w:hAnsi="Garamond" w:cs="Times New Roman"/>
        </w:rPr>
        <w:t xml:space="preserve"> saw a notable increase in the amount of overlap among groups in the histogram/boxplot distribution of isotope values per cluster as well as a decrease in the silhouette score &gt;6.</w:t>
      </w:r>
    </w:p>
    <w:p w14:paraId="6A56D028" w14:textId="77777777" w:rsidR="00073931" w:rsidRDefault="00073931" w:rsidP="000C6C3C"/>
    <w:p w14:paraId="4349EC6D" w14:textId="26BAE102" w:rsidR="000C6C3C" w:rsidRPr="00235B19" w:rsidRDefault="000C6C3C" w:rsidP="000C6C3C">
      <w:pPr>
        <w:rPr>
          <w:rFonts w:ascii="Garamond" w:hAnsi="Garamond"/>
          <w:b/>
          <w:bCs/>
        </w:rPr>
      </w:pPr>
      <w:r w:rsidRPr="000C6C3C">
        <w:t xml:space="preserve"> </w:t>
      </w:r>
      <w:r w:rsidRPr="00235B19">
        <w:rPr>
          <w:rFonts w:ascii="Garamond" w:hAnsi="Garamond"/>
          <w:b/>
          <w:bCs/>
        </w:rPr>
        <w:t xml:space="preserve">The clustering approach seems a bit at odds with the Bayesian assignment carried out before (and a bit awkward since you then </w:t>
      </w:r>
      <w:proofErr w:type="gramStart"/>
      <w:r w:rsidRPr="00235B19">
        <w:rPr>
          <w:rFonts w:ascii="Garamond" w:hAnsi="Garamond"/>
          <w:b/>
          <w:bCs/>
        </w:rPr>
        <w:t>have to</w:t>
      </w:r>
      <w:proofErr w:type="gramEnd"/>
      <w:r w:rsidRPr="00235B19">
        <w:rPr>
          <w:rFonts w:ascii="Garamond" w:hAnsi="Garamond"/>
          <w:b/>
          <w:bCs/>
        </w:rPr>
        <w:t xml:space="preserve"> manually move one of the tributaries at which </w:t>
      </w:r>
      <w:proofErr w:type="gramStart"/>
      <w:r w:rsidRPr="00235B19">
        <w:rPr>
          <w:rFonts w:ascii="Garamond" w:hAnsi="Garamond"/>
          <w:b/>
          <w:bCs/>
        </w:rPr>
        <w:t>point</w:t>
      </w:r>
      <w:proofErr w:type="gramEnd"/>
      <w:r w:rsidRPr="00235B19">
        <w:rPr>
          <w:rFonts w:ascii="Garamond" w:hAnsi="Garamond"/>
          <w:b/>
          <w:bCs/>
        </w:rPr>
        <w:t xml:space="preserve"> why not just make groups based on your expert knowledge). How closely do these clusters align with management units or other groupings people commonly </w:t>
      </w:r>
      <w:proofErr w:type="spellStart"/>
      <w:r w:rsidRPr="00235B19">
        <w:rPr>
          <w:rFonts w:ascii="Garamond" w:hAnsi="Garamond"/>
          <w:b/>
          <w:bCs/>
        </w:rPr>
        <w:t>use</w:t>
      </w:r>
      <w:proofErr w:type="spellEnd"/>
      <w:r w:rsidRPr="00235B19">
        <w:rPr>
          <w:rFonts w:ascii="Garamond" w:hAnsi="Garamond"/>
          <w:b/>
          <w:bCs/>
        </w:rPr>
        <w:t xml:space="preserve"> for this watershed? If k means clustering is really the best </w:t>
      </w:r>
      <w:proofErr w:type="gramStart"/>
      <w:r w:rsidRPr="00235B19">
        <w:rPr>
          <w:rFonts w:ascii="Garamond" w:hAnsi="Garamond"/>
          <w:b/>
          <w:bCs/>
        </w:rPr>
        <w:t>approach</w:t>
      </w:r>
      <w:proofErr w:type="gramEnd"/>
      <w:r w:rsidRPr="00235B19">
        <w:rPr>
          <w:rFonts w:ascii="Garamond" w:hAnsi="Garamond"/>
          <w:b/>
          <w:bCs/>
        </w:rPr>
        <w:t xml:space="preserve"> explain that a bit more here </w:t>
      </w:r>
      <w:r w:rsidRPr="00235B19">
        <w:rPr>
          <w:rFonts w:ascii="Garamond" w:hAnsi="Garamond"/>
          <w:b/>
          <w:bCs/>
        </w:rPr>
        <w:lastRenderedPageBreak/>
        <w:t>in the methods (why not just use the tributary level for your analysis or if grouping is needed maybe tree-based approaches can separate out groups more consistently).</w:t>
      </w:r>
    </w:p>
    <w:p w14:paraId="3140AB37" w14:textId="30BE77AD" w:rsidR="000C6C3C" w:rsidRDefault="000C6C3C" w:rsidP="000C6C3C">
      <w:pPr>
        <w:rPr>
          <w:rFonts w:ascii="Garamond" w:hAnsi="Garamond" w:cs="Times New Roman"/>
        </w:rPr>
      </w:pPr>
    </w:p>
    <w:p w14:paraId="106E37B9" w14:textId="2AE313A6" w:rsidR="00073931" w:rsidRDefault="00235B19" w:rsidP="00235B19">
      <w:pPr>
        <w:ind w:left="720"/>
        <w:rPr>
          <w:rFonts w:ascii="Garamond" w:hAnsi="Garamond" w:cs="Times New Roman"/>
        </w:rPr>
      </w:pPr>
      <w:r w:rsidRPr="00235B19">
        <w:rPr>
          <w:rFonts w:ascii="Garamond" w:hAnsi="Garamond" w:cs="Times New Roman"/>
        </w:rPr>
        <w:t xml:space="preserve">The purpose of the clustering is to identify which of the tributaries and regions previously flagged as relevant in the basin can be reliably distinguished using isotope values. Relying on tributary-level assignments alone would instead force comparisons among tributaries that cannot </w:t>
      </w:r>
      <w:proofErr w:type="gramStart"/>
      <w:r w:rsidRPr="00235B19">
        <w:rPr>
          <w:rFonts w:ascii="Garamond" w:hAnsi="Garamond" w:cs="Times New Roman"/>
        </w:rPr>
        <w:t>actually be</w:t>
      </w:r>
      <w:proofErr w:type="gramEnd"/>
      <w:r w:rsidRPr="00235B19">
        <w:rPr>
          <w:rFonts w:ascii="Garamond" w:hAnsi="Garamond" w:cs="Times New Roman"/>
        </w:rPr>
        <w:t xml:space="preserve"> told apart. Because we retained only the</w:t>
      </w:r>
      <w:r>
        <w:rPr>
          <w:rFonts w:ascii="Garamond" w:hAnsi="Garamond" w:cs="Times New Roman"/>
        </w:rPr>
        <w:t xml:space="preserve"> highest posterior values, we believe this method </w:t>
      </w:r>
      <w:r w:rsidRPr="00235B19">
        <w:rPr>
          <w:rFonts w:ascii="Garamond" w:hAnsi="Garamond" w:cs="Times New Roman"/>
        </w:rPr>
        <w:t>leverage</w:t>
      </w:r>
      <w:r>
        <w:rPr>
          <w:rFonts w:ascii="Garamond" w:hAnsi="Garamond" w:cs="Times New Roman"/>
        </w:rPr>
        <w:t>d</w:t>
      </w:r>
      <w:r w:rsidRPr="00235B19">
        <w:rPr>
          <w:rFonts w:ascii="Garamond" w:hAnsi="Garamond" w:cs="Times New Roman"/>
        </w:rPr>
        <w:t xml:space="preserve"> the probabilistic Bayesian assignment</w:t>
      </w:r>
      <w:r>
        <w:rPr>
          <w:rFonts w:ascii="Garamond" w:hAnsi="Garamond" w:cs="Times New Roman"/>
        </w:rPr>
        <w:t xml:space="preserve"> for the initial assignment </w:t>
      </w:r>
      <w:r w:rsidRPr="00235B19">
        <w:rPr>
          <w:rFonts w:ascii="Garamond" w:hAnsi="Garamond" w:cs="Times New Roman"/>
        </w:rPr>
        <w:t xml:space="preserve"> while restricting </w:t>
      </w:r>
      <w:r>
        <w:rPr>
          <w:rFonts w:ascii="Garamond" w:hAnsi="Garamond" w:cs="Times New Roman"/>
        </w:rPr>
        <w:t xml:space="preserve">results </w:t>
      </w:r>
      <w:r w:rsidRPr="00235B19">
        <w:rPr>
          <w:rFonts w:ascii="Garamond" w:hAnsi="Garamond" w:cs="Times New Roman"/>
        </w:rPr>
        <w:t xml:space="preserve">comparisons to groups that can actually be </w:t>
      </w:r>
      <w:proofErr w:type="spellStart"/>
      <w:r w:rsidRPr="00235B19">
        <w:rPr>
          <w:rFonts w:ascii="Garamond" w:hAnsi="Garamond" w:cs="Times New Roman"/>
        </w:rPr>
        <w:t>distinguished.Clustering</w:t>
      </w:r>
      <w:proofErr w:type="spellEnd"/>
      <w:r w:rsidRPr="00235B19">
        <w:rPr>
          <w:rFonts w:ascii="Garamond" w:hAnsi="Garamond" w:cs="Times New Roman"/>
        </w:rPr>
        <w:t xml:space="preserve"> these pre-defined tributaries, rather than applying unsupervised clustering across all tributaries in the basin, comes at the cost of some overlap among groups, but it allows the results to be interpreted within management-relevant spatial extents. We believe this approach is appropriate for identifying meaningful groups, though we did not attempt a tree-based method.</w:t>
      </w:r>
    </w:p>
    <w:p w14:paraId="6B3BFE04" w14:textId="77777777" w:rsidR="004A310F" w:rsidRDefault="004A310F" w:rsidP="000C6C3C">
      <w:pPr>
        <w:rPr>
          <w:rFonts w:ascii="Garamond" w:hAnsi="Garamond" w:cs="Times New Roman"/>
        </w:rPr>
      </w:pPr>
    </w:p>
    <w:p w14:paraId="121F96C2" w14:textId="60E73E55" w:rsidR="00891F16" w:rsidRPr="00891F16" w:rsidRDefault="00891F16" w:rsidP="000C6C3C">
      <w:pPr>
        <w:rPr>
          <w:rFonts w:ascii="Garamond" w:hAnsi="Garamond" w:cs="Times New Roman"/>
          <w:b/>
          <w:bCs/>
        </w:rPr>
      </w:pPr>
      <w:r w:rsidRPr="00891F16">
        <w:rPr>
          <w:rFonts w:ascii="Garamond" w:hAnsi="Garamond"/>
          <w:b/>
          <w:bCs/>
        </w:rPr>
        <w:t>Line 206-209. Why are the simulated time frames constrained to a shift of only a few days.</w:t>
      </w:r>
      <w:r w:rsidRPr="00891F16">
        <w:rPr>
          <w:rFonts w:ascii="Garamond" w:hAnsi="Garamond"/>
          <w:b/>
          <w:bCs/>
        </w:rPr>
        <w:br/>
      </w:r>
    </w:p>
    <w:p w14:paraId="22E3D099" w14:textId="4BE48893" w:rsidR="00891F16" w:rsidRDefault="00891F16" w:rsidP="00891F16">
      <w:pPr>
        <w:ind w:left="720"/>
        <w:rPr>
          <w:rFonts w:ascii="Garamond" w:hAnsi="Garamond" w:cs="Times New Roman"/>
        </w:rPr>
      </w:pPr>
      <w:r>
        <w:rPr>
          <w:rFonts w:ascii="Garamond" w:hAnsi="Garamond" w:cs="Times New Roman"/>
        </w:rPr>
        <w:t xml:space="preserve">Given the short total return migration timing, a shift in the closure end date by only a few days represents a significant change to the closure duration, and a six-day closure extension would be extremely significant.  We chose these values to represent relatively realistic scenarios to simulate. </w:t>
      </w:r>
    </w:p>
    <w:p w14:paraId="62055CC7" w14:textId="647599E0" w:rsidR="000C6C3C" w:rsidRDefault="004A310F" w:rsidP="000C6C3C">
      <w:pPr>
        <w:rPr>
          <w:rFonts w:ascii="Garamond" w:hAnsi="Garamond" w:cs="Times New Roman"/>
        </w:rPr>
      </w:pPr>
      <w:r>
        <w:rPr>
          <w:rFonts w:ascii="Garamond" w:hAnsi="Garamond" w:cs="Times New Roman"/>
        </w:rPr>
        <w:t xml:space="preserve"> </w:t>
      </w:r>
    </w:p>
    <w:p w14:paraId="466872A6" w14:textId="30031289" w:rsidR="00CF167E" w:rsidRPr="00727743" w:rsidRDefault="00CF167E" w:rsidP="000C6C3C">
      <w:pPr>
        <w:rPr>
          <w:rFonts w:ascii="Garamond" w:hAnsi="Garamond"/>
          <w:b/>
          <w:bCs/>
        </w:rPr>
      </w:pPr>
      <w:r w:rsidRPr="00727743">
        <w:rPr>
          <w:rFonts w:ascii="Garamond" w:hAnsi="Garamond"/>
          <w:b/>
          <w:bCs/>
        </w:rPr>
        <w:t xml:space="preserve">Line 216-218. This shift in seasonal contribution from upstream to downstream is very hard to see given how Fig. 3 is organized. Have you tried what this looks like when </w:t>
      </w:r>
      <w:proofErr w:type="gramStart"/>
      <w:r w:rsidRPr="00727743">
        <w:rPr>
          <w:rFonts w:ascii="Garamond" w:hAnsi="Garamond"/>
          <w:b/>
          <w:bCs/>
        </w:rPr>
        <w:t>facetted</w:t>
      </w:r>
      <w:proofErr w:type="gramEnd"/>
      <w:r w:rsidRPr="00727743">
        <w:rPr>
          <w:rFonts w:ascii="Garamond" w:hAnsi="Garamond"/>
          <w:b/>
          <w:bCs/>
        </w:rPr>
        <w:t xml:space="preserve"> by group and with Quantile as x axis and % contribution as y?</w:t>
      </w:r>
    </w:p>
    <w:p w14:paraId="425B8156" w14:textId="6DC54D20" w:rsidR="00CF167E" w:rsidRDefault="00CF167E" w:rsidP="000C6C3C">
      <w:r w:rsidRPr="00727743">
        <w:rPr>
          <w:highlight w:val="yellow"/>
        </w:rPr>
        <w:t>** Re do the figure this way **</w:t>
      </w:r>
      <w:r>
        <w:t xml:space="preserve"> </w:t>
      </w:r>
    </w:p>
    <w:p w14:paraId="3325A843" w14:textId="77777777" w:rsidR="00345F9C" w:rsidRDefault="00345F9C" w:rsidP="000C6C3C"/>
    <w:p w14:paraId="23712DEE" w14:textId="47FBD848" w:rsidR="00345F9C" w:rsidRPr="00345F9C" w:rsidRDefault="00345F9C" w:rsidP="000C6C3C">
      <w:pPr>
        <w:rPr>
          <w:rFonts w:ascii="Garamond" w:hAnsi="Garamond"/>
          <w:b/>
          <w:bCs/>
        </w:rPr>
      </w:pPr>
      <w:r w:rsidRPr="00345F9C">
        <w:rPr>
          <w:rFonts w:ascii="Garamond" w:hAnsi="Garamond"/>
          <w:b/>
          <w:bCs/>
        </w:rPr>
        <w:t>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59F4C5C3" w14:textId="4B8ACEEF" w:rsidR="00345F9C" w:rsidRDefault="00345F9C" w:rsidP="000C6C3C">
      <w:r w:rsidRPr="00345F9C">
        <w:t xml:space="preserve"> </w:t>
      </w:r>
      <w:r w:rsidRPr="00345F9C">
        <w:rPr>
          <w:highlight w:val="yellow"/>
        </w:rPr>
        <w:t>** Add a mention of other cases**</w:t>
      </w:r>
      <w:r w:rsidRPr="00345F9C">
        <w:t xml:space="preserve"> </w:t>
      </w:r>
    </w:p>
    <w:p w14:paraId="063793A7" w14:textId="77777777" w:rsidR="00345F9C" w:rsidRDefault="00345F9C" w:rsidP="000C6C3C"/>
    <w:p w14:paraId="2766FBCC" w14:textId="34D68359" w:rsidR="00345F9C" w:rsidRDefault="00345F9C" w:rsidP="000C6C3C">
      <w:r w:rsidRPr="00531BBB">
        <w:lastRenderedPageBreak/>
        <w:t xml:space="preserve">The tradeoff between protection and harvest is well illustrated but could be expanded further by exploring the effects of protecting species across multiple years. </w:t>
      </w:r>
      <w:proofErr w:type="gramStart"/>
      <w:r w:rsidRPr="00531BBB">
        <w:t>So</w:t>
      </w:r>
      <w:proofErr w:type="gramEnd"/>
      <w:r w:rsidRPr="00531BBB">
        <w:t xml:space="preserve"> by increasing protection in yr1 how much more harvest could be expected in the next return year (3 years later?). Over what time frame do </w:t>
      </w:r>
      <w:proofErr w:type="gramStart"/>
      <w:r w:rsidRPr="00531BBB">
        <w:t>these local harvest</w:t>
      </w:r>
      <w:proofErr w:type="gramEnd"/>
      <w:r w:rsidRPr="00531BBB">
        <w:t xml:space="preserve"> fisheries operate (could they </w:t>
      </w:r>
      <w:proofErr w:type="gramStart"/>
      <w:r w:rsidRPr="00531BBB">
        <w:t>compensate</w:t>
      </w:r>
      <w:proofErr w:type="gramEnd"/>
      <w:r w:rsidRPr="00531BBB">
        <w:t xml:space="preserv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0884D627" w14:textId="7BB46F6F" w:rsidR="00345F9C" w:rsidRDefault="00345F9C" w:rsidP="00345F9C">
      <w:r w:rsidRPr="00345F9C">
        <w:rPr>
          <w:highlight w:val="yellow"/>
        </w:rPr>
        <w:t xml:space="preserve">** This assessment is likely much more complicated and not quantifiable using </w:t>
      </w:r>
      <w:proofErr w:type="gramStart"/>
      <w:r w:rsidRPr="00345F9C">
        <w:rPr>
          <w:highlight w:val="yellow"/>
        </w:rPr>
        <w:t>these</w:t>
      </w:r>
      <w:proofErr w:type="gramEnd"/>
      <w:r w:rsidRPr="00345F9C">
        <w:rPr>
          <w:highlight w:val="yellow"/>
        </w:rPr>
        <w:t xml:space="preserve"> data.**</w:t>
      </w:r>
    </w:p>
    <w:p w14:paraId="1C88472A" w14:textId="77777777" w:rsidR="00345F9C" w:rsidRDefault="00345F9C" w:rsidP="00345F9C"/>
    <w:p w14:paraId="3F00050A" w14:textId="7ECE1F3B" w:rsidR="00345F9C" w:rsidRDefault="00345F9C" w:rsidP="00345F9C">
      <w:pPr>
        <w:rPr>
          <w:rFonts w:ascii="Garamond" w:hAnsi="Garamond"/>
          <w:b/>
          <w:bCs/>
        </w:rPr>
      </w:pPr>
      <w:r w:rsidRPr="00345F9C">
        <w:rPr>
          <w:rFonts w:ascii="Garamond" w:hAnsi="Garamond"/>
          <w:b/>
          <w:bCs/>
        </w:rPr>
        <w:t xml:space="preserve">Line 301-303. </w:t>
      </w:r>
      <w:proofErr w:type="gramStart"/>
      <w:r w:rsidRPr="00345F9C">
        <w:rPr>
          <w:rFonts w:ascii="Garamond" w:hAnsi="Garamond"/>
          <w:b/>
          <w:bCs/>
        </w:rPr>
        <w:t>Yes</w:t>
      </w:r>
      <w:proofErr w:type="gramEnd"/>
      <w:r w:rsidRPr="00345F9C">
        <w:rPr>
          <w:rFonts w:ascii="Garamond" w:hAnsi="Garamond"/>
          <w:b/>
          <w:bCs/>
        </w:rPr>
        <w:t xml:space="preserve"> I was wondering about this the entire time reading the manuscript. Given the run timing changes each year why is a fixed calendar cut-off used? I am assuming because it can </w:t>
      </w:r>
      <w:proofErr w:type="gramStart"/>
      <w:r w:rsidRPr="00345F9C">
        <w:rPr>
          <w:rFonts w:ascii="Garamond" w:hAnsi="Garamond"/>
          <w:b/>
          <w:bCs/>
        </w:rPr>
        <w:t>actually be</w:t>
      </w:r>
      <w:proofErr w:type="gramEnd"/>
      <w:r w:rsidRPr="00345F9C">
        <w:rPr>
          <w:rFonts w:ascii="Garamond" w:hAnsi="Garamond"/>
          <w:b/>
          <w:bCs/>
        </w:rPr>
        <w:t xml:space="preserve"> implemented and provides some type of certainty for the harvest fisheries. Any other reasons why a </w:t>
      </w:r>
      <w:proofErr w:type="gramStart"/>
      <w:r w:rsidRPr="00345F9C">
        <w:rPr>
          <w:rFonts w:ascii="Garamond" w:hAnsi="Garamond"/>
          <w:b/>
          <w:bCs/>
        </w:rPr>
        <w:t>fixed-cutoff</w:t>
      </w:r>
      <w:proofErr w:type="gramEnd"/>
      <w:r w:rsidRPr="00345F9C">
        <w:rPr>
          <w:rFonts w:ascii="Garamond" w:hAnsi="Garamond"/>
          <w:b/>
          <w:bCs/>
        </w:rPr>
        <w:t xml:space="preserve"> would be beneficial? Or in other </w:t>
      </w:r>
      <w:proofErr w:type="gramStart"/>
      <w:r w:rsidRPr="00345F9C">
        <w:rPr>
          <w:rFonts w:ascii="Garamond" w:hAnsi="Garamond"/>
          <w:b/>
          <w:bCs/>
        </w:rPr>
        <w:t>words</w:t>
      </w:r>
      <w:proofErr w:type="gramEnd"/>
      <w:r w:rsidRPr="00345F9C">
        <w:rPr>
          <w:rFonts w:ascii="Garamond" w:hAnsi="Garamond"/>
          <w:b/>
          <w:bCs/>
        </w:rPr>
        <w:t xml:space="preserve"> given how difficult a dynamic cut-off window might </w:t>
      </w:r>
      <w:proofErr w:type="gramStart"/>
      <w:r w:rsidRPr="00345F9C">
        <w:rPr>
          <w:rFonts w:ascii="Garamond" w:hAnsi="Garamond"/>
          <w:b/>
          <w:bCs/>
        </w:rPr>
        <w:t>be</w:t>
      </w:r>
      <w:proofErr w:type="gramEnd"/>
      <w:r w:rsidRPr="00345F9C">
        <w:rPr>
          <w:rFonts w:ascii="Garamond" w:hAnsi="Garamond"/>
          <w:b/>
          <w:bCs/>
        </w:rPr>
        <w:t xml:space="preserve"> what type of increased protection would warrant going down that road?</w:t>
      </w:r>
    </w:p>
    <w:p w14:paraId="015369E1" w14:textId="40853E5F" w:rsidR="00EB3BCD" w:rsidRPr="00491217" w:rsidRDefault="00EB3BCD" w:rsidP="00345F9C">
      <w:pPr>
        <w:rPr>
          <w:rFonts w:ascii="Garamond" w:hAnsi="Garamond"/>
        </w:rPr>
      </w:pPr>
      <w:r w:rsidRPr="00491217">
        <w:rPr>
          <w:rFonts w:ascii="Garamond" w:hAnsi="Garamond"/>
        </w:rPr>
        <w:t xml:space="preserve">** Add description of why a fixed-date management is used** </w:t>
      </w:r>
    </w:p>
    <w:p w14:paraId="43A16E78" w14:textId="77777777" w:rsidR="00EB3BCD" w:rsidRDefault="00EB3BCD" w:rsidP="00345F9C">
      <w:pPr>
        <w:rPr>
          <w:rFonts w:ascii="Garamond" w:hAnsi="Garamond"/>
          <w:b/>
          <w:bCs/>
        </w:rPr>
      </w:pPr>
    </w:p>
    <w:p w14:paraId="637F6C03" w14:textId="4CE87B3F" w:rsidR="00EB3BCD" w:rsidRPr="00491217" w:rsidRDefault="00EB3BCD" w:rsidP="00345F9C">
      <w:pPr>
        <w:rPr>
          <w:rFonts w:ascii="Garamond" w:hAnsi="Garamond"/>
          <w:b/>
          <w:bCs/>
        </w:rPr>
      </w:pPr>
      <w:r w:rsidRPr="00491217">
        <w:rPr>
          <w:rFonts w:ascii="Garamond" w:hAnsi="Garamond"/>
          <w:b/>
          <w:bCs/>
        </w:rPr>
        <w:t xml:space="preserve">Figure 3. Add more descriptive headings and text directly to the figure (so A-D are Quantiles and you can even give the date </w:t>
      </w:r>
      <w:proofErr w:type="gramStart"/>
      <w:r w:rsidRPr="00491217">
        <w:rPr>
          <w:rFonts w:ascii="Garamond" w:hAnsi="Garamond"/>
          <w:b/>
          <w:bCs/>
        </w:rPr>
        <w:t>ranges</w:t>
      </w:r>
      <w:proofErr w:type="gramEnd"/>
      <w:r w:rsidRPr="00491217">
        <w:rPr>
          <w:rFonts w:ascii="Garamond" w:hAnsi="Garamond"/>
          <w:b/>
          <w:bCs/>
        </w:rPr>
        <w:t xml:space="preserve">). Group1-Group6 </w:t>
      </w:r>
      <w:proofErr w:type="gramStart"/>
      <w:r w:rsidRPr="00491217">
        <w:rPr>
          <w:rFonts w:ascii="Garamond" w:hAnsi="Garamond"/>
          <w:b/>
          <w:bCs/>
        </w:rPr>
        <w:t>goes</w:t>
      </w:r>
      <w:proofErr w:type="gramEnd"/>
      <w:r w:rsidRPr="00491217">
        <w:rPr>
          <w:rFonts w:ascii="Garamond" w:hAnsi="Garamond"/>
          <w:b/>
          <w:bCs/>
        </w:rPr>
        <w:t xml:space="preserve"> upstream to downstream. Add sample n and add maybe light grey datapoints.</w:t>
      </w:r>
    </w:p>
    <w:p w14:paraId="042F1891" w14:textId="77777777" w:rsidR="00EB3BCD" w:rsidRDefault="00EB3BCD" w:rsidP="00345F9C"/>
    <w:p w14:paraId="0713896F" w14:textId="0F2B5A45" w:rsidR="00EB3BCD" w:rsidRPr="00345F9C" w:rsidRDefault="00EB3BCD" w:rsidP="00345F9C">
      <w:pPr>
        <w:rPr>
          <w:rFonts w:ascii="Garamond" w:hAnsi="Garamond" w:cs="Times New Roman"/>
          <w:b/>
          <w:bCs/>
        </w:rPr>
      </w:pPr>
      <w:r>
        <w:t xml:space="preserve">** Re do figure 3 as previously suggested. Add </w:t>
      </w:r>
      <w:proofErr w:type="gramStart"/>
      <w:r>
        <w:t>n?</w:t>
      </w:r>
      <w:r w:rsidR="00615537">
        <w:t>,</w:t>
      </w:r>
      <w:proofErr w:type="gramEnd"/>
      <w:r w:rsidR="00615537">
        <w:t xml:space="preserve"> Change order of Group 1-6 in Figure 4. </w:t>
      </w:r>
    </w:p>
    <w:sectPr w:rsidR="00EB3BCD" w:rsidRPr="00345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682C0D"/>
    <w:multiLevelType w:val="hybridMultilevel"/>
    <w:tmpl w:val="DF30F96E"/>
    <w:lvl w:ilvl="0" w:tplc="70F01618">
      <w:start w:val="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9870649">
    <w:abstractNumId w:val="0"/>
  </w:num>
  <w:num w:numId="2" w16cid:durableId="1828788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073931"/>
    <w:rsid w:val="000C6C3C"/>
    <w:rsid w:val="000E59B0"/>
    <w:rsid w:val="001267A1"/>
    <w:rsid w:val="00163126"/>
    <w:rsid w:val="001A7F85"/>
    <w:rsid w:val="00235B19"/>
    <w:rsid w:val="00345F9C"/>
    <w:rsid w:val="003C353E"/>
    <w:rsid w:val="00491217"/>
    <w:rsid w:val="004959F1"/>
    <w:rsid w:val="004A310F"/>
    <w:rsid w:val="004B2F94"/>
    <w:rsid w:val="005052B4"/>
    <w:rsid w:val="00615537"/>
    <w:rsid w:val="00727743"/>
    <w:rsid w:val="00733A9B"/>
    <w:rsid w:val="00754A39"/>
    <w:rsid w:val="007D21BA"/>
    <w:rsid w:val="007F5F83"/>
    <w:rsid w:val="00891F16"/>
    <w:rsid w:val="00974EB1"/>
    <w:rsid w:val="00A32532"/>
    <w:rsid w:val="00A6390C"/>
    <w:rsid w:val="00B974E8"/>
    <w:rsid w:val="00CF167E"/>
    <w:rsid w:val="00CF720A"/>
    <w:rsid w:val="00DD7012"/>
    <w:rsid w:val="00DF1FA4"/>
    <w:rsid w:val="00EB0B96"/>
    <w:rsid w:val="00EB3BCD"/>
    <w:rsid w:val="00FB78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11</Pages>
  <Words>3406</Words>
  <Characters>19416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10</cp:revision>
  <dcterms:created xsi:type="dcterms:W3CDTF">2026-06-18T21:05:00Z</dcterms:created>
  <dcterms:modified xsi:type="dcterms:W3CDTF">2026-06-19T15:36:00Z</dcterms:modified>
</cp:coreProperties>
</file>