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56A875" w14:textId="77777777" w:rsidR="000F3B6C" w:rsidRDefault="000F3B6C" w:rsidP="004712C9">
      <w:pPr>
        <w:suppressLineNumbers/>
        <w:jc w:val="center"/>
        <w:rPr>
          <w:rFonts w:ascii="Garamond" w:hAnsi="Garamond"/>
          <w:b/>
          <w:bCs/>
          <w:sz w:val="32"/>
          <w:szCs w:val="32"/>
        </w:rPr>
      </w:pPr>
    </w:p>
    <w:p w14:paraId="2376618C" w14:textId="3402886C" w:rsidR="00477415" w:rsidRDefault="00477415" w:rsidP="004712C9">
      <w:pPr>
        <w:suppressLineNumbers/>
        <w:jc w:val="center"/>
        <w:rPr>
          <w:rFonts w:ascii="Garamond" w:hAnsi="Garamond"/>
          <w:b/>
          <w:bCs/>
          <w:sz w:val="32"/>
          <w:szCs w:val="32"/>
        </w:rPr>
      </w:pPr>
      <w:r w:rsidRPr="00477415">
        <w:rPr>
          <w:rFonts w:ascii="Garamond" w:hAnsi="Garamond"/>
          <w:b/>
          <w:bCs/>
          <w:sz w:val="32"/>
          <w:szCs w:val="32"/>
        </w:rPr>
        <w:t xml:space="preserve">Balancing harvest opportunity and </w:t>
      </w:r>
      <w:r>
        <w:rPr>
          <w:rFonts w:ascii="Garamond" w:hAnsi="Garamond"/>
          <w:b/>
          <w:bCs/>
          <w:sz w:val="32"/>
          <w:szCs w:val="32"/>
        </w:rPr>
        <w:t xml:space="preserve">biocomplexity </w:t>
      </w:r>
      <w:r w:rsidRPr="00477415">
        <w:rPr>
          <w:rFonts w:ascii="Garamond" w:hAnsi="Garamond"/>
          <w:b/>
          <w:bCs/>
          <w:sz w:val="32"/>
          <w:szCs w:val="32"/>
        </w:rPr>
        <w:t xml:space="preserve">protection through strategic fishery closures in </w:t>
      </w:r>
      <w:r>
        <w:rPr>
          <w:rFonts w:ascii="Garamond" w:hAnsi="Garamond"/>
          <w:b/>
          <w:bCs/>
          <w:sz w:val="32"/>
          <w:szCs w:val="32"/>
        </w:rPr>
        <w:t xml:space="preserve">a large </w:t>
      </w:r>
      <w:r w:rsidRPr="00477415">
        <w:rPr>
          <w:rFonts w:ascii="Garamond" w:hAnsi="Garamond"/>
          <w:b/>
          <w:bCs/>
          <w:sz w:val="32"/>
          <w:szCs w:val="32"/>
        </w:rPr>
        <w:t>Alaska</w:t>
      </w:r>
      <w:r>
        <w:rPr>
          <w:rFonts w:ascii="Garamond" w:hAnsi="Garamond"/>
          <w:b/>
          <w:bCs/>
          <w:sz w:val="32"/>
          <w:szCs w:val="32"/>
        </w:rPr>
        <w:t xml:space="preserve"> river-basin.</w:t>
      </w:r>
    </w:p>
    <w:p w14:paraId="0C7925DE" w14:textId="6382940B" w:rsidR="000F3B6C" w:rsidRPr="0016395C" w:rsidRDefault="000F3B6C" w:rsidP="004712C9">
      <w:pPr>
        <w:suppressLineNumbers/>
        <w:jc w:val="center"/>
        <w:rPr>
          <w:rFonts w:ascii="Garamond" w:hAnsi="Garamond"/>
          <w:b/>
          <w:bCs/>
          <w:sz w:val="20"/>
          <w:szCs w:val="20"/>
        </w:rPr>
      </w:pPr>
      <w:commentRangeStart w:id="0"/>
      <w:r>
        <w:rPr>
          <w:rFonts w:ascii="Garamond" w:hAnsi="Garamond"/>
          <w:b/>
          <w:bCs/>
          <w:sz w:val="20"/>
          <w:szCs w:val="20"/>
        </w:rPr>
        <w:t>Ben Makhlouf, Daniel Schindler, Tim Cline, Zach Liller, Sean Larson</w:t>
      </w:r>
      <w:commentRangeEnd w:id="0"/>
      <w:r>
        <w:rPr>
          <w:rStyle w:val="CommentReference"/>
        </w:rPr>
        <w:commentReference w:id="0"/>
      </w:r>
    </w:p>
    <w:p w14:paraId="3B7D4E61" w14:textId="77777777" w:rsidR="00676513" w:rsidRDefault="00676513" w:rsidP="004712C9">
      <w:pPr>
        <w:suppressLineNumbers/>
        <w:rPr>
          <w:rFonts w:ascii="Garamond" w:hAnsi="Garamond"/>
          <w:b/>
          <w:bCs/>
          <w:sz w:val="22"/>
          <w:szCs w:val="22"/>
          <w:u w:val="single"/>
        </w:rPr>
      </w:pPr>
    </w:p>
    <w:p w14:paraId="58C68C67" w14:textId="77777777" w:rsidR="00F552CD" w:rsidRPr="006D1917" w:rsidRDefault="00F552CD" w:rsidP="00F552CD">
      <w:pPr>
        <w:spacing w:line="480" w:lineRule="auto"/>
        <w:rPr>
          <w:rFonts w:ascii="Garamond" w:hAnsi="Garamond"/>
          <w:b/>
          <w:bCs/>
          <w:sz w:val="22"/>
          <w:szCs w:val="22"/>
          <w:u w:val="single"/>
        </w:rPr>
      </w:pPr>
      <w:r w:rsidRPr="006D1917">
        <w:rPr>
          <w:rFonts w:ascii="Garamond" w:hAnsi="Garamond"/>
          <w:b/>
          <w:bCs/>
          <w:sz w:val="22"/>
          <w:szCs w:val="22"/>
          <w:u w:val="single"/>
        </w:rPr>
        <w:t xml:space="preserve">Introduction: </w:t>
      </w:r>
      <w:r w:rsidRPr="006D1917">
        <w:rPr>
          <w:rFonts w:ascii="Garamond" w:hAnsi="Garamond"/>
          <w:sz w:val="22"/>
          <w:szCs w:val="22"/>
        </w:rPr>
        <w:t xml:space="preserve"> </w:t>
      </w:r>
    </w:p>
    <w:p w14:paraId="534439ED" w14:textId="7FE35B4C" w:rsidR="0090107F" w:rsidRDefault="00711069" w:rsidP="00F552CD">
      <w:pPr>
        <w:spacing w:line="480" w:lineRule="auto"/>
        <w:ind w:firstLine="720"/>
        <w:rPr>
          <w:rFonts w:ascii="Garamond" w:hAnsi="Garamond"/>
          <w:sz w:val="22"/>
          <w:szCs w:val="22"/>
        </w:rPr>
      </w:pPr>
      <w:r w:rsidRPr="00711069">
        <w:rPr>
          <w:rFonts w:ascii="Garamond" w:hAnsi="Garamond"/>
          <w:sz w:val="22"/>
          <w:szCs w:val="22"/>
        </w:rPr>
        <w:t xml:space="preserve">A key challenge in fisheries management is the need to maximize harvest opportunities while maintaining and protecting biodiversity. This challenge is present in mixed species fisheries, where harvesting productive species often risks over-exploitation of non-target co-occurring species of concern. The same challenge also arises in single species mixed stock fisheries, where a single run </w:t>
      </w:r>
      <w:r>
        <w:rPr>
          <w:rFonts w:ascii="Garamond" w:hAnsi="Garamond"/>
          <w:sz w:val="22"/>
          <w:szCs w:val="22"/>
        </w:rPr>
        <w:t>consists</w:t>
      </w:r>
      <w:r w:rsidRPr="00711069">
        <w:rPr>
          <w:rFonts w:ascii="Garamond" w:hAnsi="Garamond"/>
          <w:sz w:val="22"/>
          <w:szCs w:val="22"/>
        </w:rPr>
        <w:t xml:space="preserve"> of several unique stock components that together contribute to biocomplexity</w:t>
      </w:r>
      <w:r>
        <w:rPr>
          <w:rFonts w:ascii="Garamond" w:hAnsi="Garamond"/>
          <w:sz w:val="22"/>
          <w:szCs w:val="22"/>
        </w:rPr>
        <w:t xml:space="preserve"> in the form of variable life history strategies and genetic makeup. This intraspecies biocomplexity increase</w:t>
      </w:r>
      <w:r w:rsidR="004C2230">
        <w:rPr>
          <w:rFonts w:ascii="Garamond" w:hAnsi="Garamond"/>
          <w:sz w:val="22"/>
          <w:szCs w:val="22"/>
        </w:rPr>
        <w:t>s</w:t>
      </w:r>
      <w:r>
        <w:rPr>
          <w:rFonts w:ascii="Garamond" w:hAnsi="Garamond"/>
          <w:sz w:val="22"/>
          <w:szCs w:val="22"/>
        </w:rPr>
        <w:t xml:space="preserve"> ecosystem stability by distributing risk across several weakly or negatively correlated sub-components. </w:t>
      </w:r>
      <w:r w:rsidR="004C2230">
        <w:rPr>
          <w:rFonts w:ascii="Garamond" w:hAnsi="Garamond"/>
          <w:sz w:val="22"/>
          <w:szCs w:val="22"/>
        </w:rPr>
        <w:t xml:space="preserve">Additionally, </w:t>
      </w:r>
      <w:r>
        <w:rPr>
          <w:rFonts w:ascii="Garamond" w:hAnsi="Garamond"/>
          <w:sz w:val="22"/>
          <w:szCs w:val="22"/>
        </w:rPr>
        <w:t xml:space="preserve">for </w:t>
      </w:r>
      <w:r w:rsidR="003D30C7">
        <w:rPr>
          <w:rFonts w:ascii="Garamond" w:hAnsi="Garamond"/>
          <w:sz w:val="22"/>
          <w:szCs w:val="22"/>
        </w:rPr>
        <w:t xml:space="preserve">fisheries which can harvest across several of these stock components, biocomplexity in life history may help reduce pressure on a single stock by distributing fishing pressure across </w:t>
      </w:r>
      <w:r w:rsidR="004C2230">
        <w:rPr>
          <w:rFonts w:ascii="Garamond" w:hAnsi="Garamond"/>
          <w:sz w:val="22"/>
          <w:szCs w:val="22"/>
        </w:rPr>
        <w:t>broader</w:t>
      </w:r>
      <w:r w:rsidR="003D30C7">
        <w:rPr>
          <w:rFonts w:ascii="Garamond" w:hAnsi="Garamond"/>
          <w:sz w:val="22"/>
          <w:szCs w:val="22"/>
        </w:rPr>
        <w:t xml:space="preserve"> spatial and temporal scale</w:t>
      </w:r>
      <w:r w:rsidR="004C2230">
        <w:rPr>
          <w:rFonts w:ascii="Garamond" w:hAnsi="Garamond"/>
          <w:sz w:val="22"/>
          <w:szCs w:val="22"/>
        </w:rPr>
        <w:t>s</w:t>
      </w:r>
      <w:r w:rsidR="003D30C7">
        <w:rPr>
          <w:rFonts w:ascii="Garamond" w:hAnsi="Garamond"/>
          <w:sz w:val="22"/>
          <w:szCs w:val="22"/>
        </w:rPr>
        <w:t xml:space="preserve">. </w:t>
      </w:r>
    </w:p>
    <w:p w14:paraId="6FEF6D78" w14:textId="013D78BA" w:rsidR="001269D4" w:rsidRDefault="003D30C7" w:rsidP="001269D4">
      <w:pPr>
        <w:spacing w:line="480" w:lineRule="auto"/>
        <w:ind w:firstLine="720"/>
        <w:rPr>
          <w:rFonts w:ascii="Garamond" w:hAnsi="Garamond"/>
          <w:sz w:val="22"/>
          <w:szCs w:val="22"/>
        </w:rPr>
      </w:pPr>
      <w:r w:rsidRPr="003D30C7">
        <w:rPr>
          <w:rFonts w:ascii="Garamond" w:hAnsi="Garamond"/>
          <w:sz w:val="22"/>
          <w:szCs w:val="22"/>
        </w:rPr>
        <w:t>In salmon ecosystems, the existence and benefits of significant intrapopulation biocomplexity have been well established. Within a given population, variability in return timing and spatial distribution of habitat use distributes the risk of perturbation across both space and time</w:t>
      </w:r>
      <w:r>
        <w:rPr>
          <w:rFonts w:ascii="Garamond" w:hAnsi="Garamond"/>
          <w:sz w:val="22"/>
          <w:szCs w:val="22"/>
        </w:rPr>
        <w:t xml:space="preserve"> </w:t>
      </w:r>
      <w:r w:rsidRPr="003D30C7">
        <w:rPr>
          <w:rFonts w:ascii="Garamond" w:hAnsi="Garamond"/>
          <w:sz w:val="22"/>
          <w:szCs w:val="22"/>
        </w:rPr>
        <w:t>both within and among years.</w:t>
      </w:r>
      <w:r w:rsidR="00D43F43">
        <w:rPr>
          <w:rFonts w:ascii="Garamond" w:hAnsi="Garamond"/>
          <w:sz w:val="22"/>
          <w:szCs w:val="22"/>
        </w:rPr>
        <w:t xml:space="preserve"> </w:t>
      </w:r>
      <w:r w:rsidR="00D43F43" w:rsidRPr="00D43F43">
        <w:rPr>
          <w:rFonts w:ascii="Garamond" w:hAnsi="Garamond"/>
          <w:sz w:val="22"/>
          <w:szCs w:val="22"/>
        </w:rPr>
        <w:t>In doing so, this biocomplexity increases ecosystem resilience to short-term or local changes in habitat conditions, maximizes genetic diversity, and stabilizes aggregate resource availability.</w:t>
      </w:r>
      <w:r w:rsidR="00D43F43">
        <w:rPr>
          <w:rFonts w:ascii="Garamond" w:hAnsi="Garamond"/>
          <w:sz w:val="22"/>
          <w:szCs w:val="22"/>
        </w:rPr>
        <w:t xml:space="preserve"> </w:t>
      </w:r>
      <w:r w:rsidR="00D43F43" w:rsidRPr="00D43F43">
        <w:rPr>
          <w:rFonts w:ascii="Garamond" w:hAnsi="Garamond"/>
          <w:sz w:val="22"/>
          <w:szCs w:val="22"/>
        </w:rPr>
        <w:t xml:space="preserve">For fisheries that harvest migrating stocks downstream, as is the case with many Pacific salmon fisheries, the reliability and duration of resource availability depends on the aggregate dynamics of upstream stocks. </w:t>
      </w:r>
      <w:r w:rsidR="00D43F43">
        <w:rPr>
          <w:rFonts w:ascii="Garamond" w:hAnsi="Garamond"/>
          <w:sz w:val="22"/>
          <w:szCs w:val="22"/>
        </w:rPr>
        <w:t>M</w:t>
      </w:r>
      <w:r w:rsidR="00D43F43" w:rsidRPr="00D43F43">
        <w:rPr>
          <w:rFonts w:ascii="Garamond" w:hAnsi="Garamond"/>
          <w:sz w:val="22"/>
          <w:szCs w:val="22"/>
        </w:rPr>
        <w:t xml:space="preserve">anagers </w:t>
      </w:r>
      <w:r w:rsidR="004C2230">
        <w:rPr>
          <w:rFonts w:ascii="Garamond" w:hAnsi="Garamond"/>
          <w:sz w:val="22"/>
          <w:szCs w:val="22"/>
        </w:rPr>
        <w:t>must therefore</w:t>
      </w:r>
      <w:r w:rsidR="00D43F43">
        <w:rPr>
          <w:rFonts w:ascii="Garamond" w:hAnsi="Garamond"/>
          <w:sz w:val="22"/>
          <w:szCs w:val="22"/>
        </w:rPr>
        <w:t xml:space="preserve"> </w:t>
      </w:r>
      <w:r w:rsidR="004C2230">
        <w:rPr>
          <w:rFonts w:ascii="Garamond" w:hAnsi="Garamond"/>
          <w:sz w:val="22"/>
          <w:szCs w:val="22"/>
        </w:rPr>
        <w:t>design</w:t>
      </w:r>
      <w:r w:rsidR="00D43F43" w:rsidRPr="00D43F43">
        <w:rPr>
          <w:rFonts w:ascii="Garamond" w:hAnsi="Garamond"/>
          <w:sz w:val="22"/>
          <w:szCs w:val="22"/>
        </w:rPr>
        <w:t xml:space="preserve"> harvest strategies that allow for downstream harvest while protecting the individual health of stock components</w:t>
      </w:r>
      <w:r w:rsidR="001269D4">
        <w:rPr>
          <w:rFonts w:ascii="Garamond" w:hAnsi="Garamond"/>
          <w:sz w:val="22"/>
          <w:szCs w:val="22"/>
        </w:rPr>
        <w:t xml:space="preserve">. </w:t>
      </w:r>
    </w:p>
    <w:p w14:paraId="01B29CDE" w14:textId="01FDA050" w:rsidR="007C6D95" w:rsidRDefault="000D6E8E" w:rsidP="000D6E8E">
      <w:pPr>
        <w:spacing w:line="480" w:lineRule="auto"/>
        <w:ind w:firstLine="720"/>
        <w:rPr>
          <w:rFonts w:ascii="Garamond" w:hAnsi="Garamond"/>
          <w:sz w:val="22"/>
          <w:szCs w:val="22"/>
        </w:rPr>
      </w:pPr>
      <w:r>
        <w:rPr>
          <w:rFonts w:ascii="Garamond" w:hAnsi="Garamond"/>
          <w:sz w:val="22"/>
          <w:szCs w:val="22"/>
        </w:rPr>
        <w:t>Watersheds in Western Alaska s</w:t>
      </w:r>
      <w:r w:rsidR="001269D4">
        <w:rPr>
          <w:rFonts w:ascii="Garamond" w:hAnsi="Garamond"/>
          <w:sz w:val="22"/>
          <w:szCs w:val="22"/>
        </w:rPr>
        <w:t>upport some of the largest salmon fisheries in the world</w:t>
      </w:r>
      <w:r>
        <w:rPr>
          <w:rFonts w:ascii="Garamond" w:hAnsi="Garamond"/>
          <w:sz w:val="22"/>
          <w:szCs w:val="22"/>
        </w:rPr>
        <w:t xml:space="preserve"> and contain some of the last pristine habitat for pacific salmon. However, these systems have </w:t>
      </w:r>
      <w:r w:rsidR="001269D4">
        <w:rPr>
          <w:rFonts w:ascii="Garamond" w:hAnsi="Garamond"/>
          <w:sz w:val="22"/>
          <w:szCs w:val="22"/>
        </w:rPr>
        <w:t xml:space="preserve">seen a precipitous decline in </w:t>
      </w:r>
      <w:r w:rsidR="001269D4">
        <w:rPr>
          <w:rFonts w:ascii="Garamond" w:hAnsi="Garamond"/>
          <w:sz w:val="22"/>
          <w:szCs w:val="22"/>
        </w:rPr>
        <w:lastRenderedPageBreak/>
        <w:t>Chinook and Chum salmon populations in recent years</w:t>
      </w:r>
      <w:r>
        <w:rPr>
          <w:rFonts w:ascii="Garamond" w:hAnsi="Garamond"/>
          <w:sz w:val="22"/>
          <w:szCs w:val="22"/>
        </w:rPr>
        <w:t>, leading to restricted</w:t>
      </w:r>
      <w:r w:rsidRPr="006D1917">
        <w:rPr>
          <w:rFonts w:ascii="Garamond" w:hAnsi="Garamond"/>
          <w:sz w:val="22"/>
          <w:szCs w:val="22"/>
        </w:rPr>
        <w:t xml:space="preserve"> subsistence fishing </w:t>
      </w:r>
      <w:r>
        <w:rPr>
          <w:rFonts w:ascii="Garamond" w:hAnsi="Garamond"/>
          <w:sz w:val="22"/>
          <w:szCs w:val="22"/>
        </w:rPr>
        <w:t xml:space="preserve">for indigenous communities in the region and </w:t>
      </w:r>
      <w:r w:rsidRPr="006D1917">
        <w:rPr>
          <w:rFonts w:ascii="Garamond" w:hAnsi="Garamond"/>
          <w:sz w:val="22"/>
          <w:szCs w:val="22"/>
        </w:rPr>
        <w:t>triggering a region-wide crisis of food insecurity, cultural loss, and the potential disappearance of a critical economic resource</w:t>
      </w:r>
      <w:r>
        <w:rPr>
          <w:rFonts w:ascii="Garamond" w:hAnsi="Garamond"/>
          <w:sz w:val="22"/>
          <w:szCs w:val="22"/>
        </w:rPr>
        <w:t xml:space="preserve"> </w:t>
      </w:r>
      <w:r>
        <w:rPr>
          <w:rFonts w:ascii="Garamond" w:hAnsi="Garamond"/>
          <w:sz w:val="22"/>
          <w:szCs w:val="22"/>
        </w:rPr>
        <w:fldChar w:fldCharType="begin"/>
      </w:r>
      <w:r>
        <w:rPr>
          <w:rFonts w:ascii="Garamond" w:hAnsi="Garamond"/>
          <w:sz w:val="22"/>
          <w:szCs w:val="22"/>
        </w:rPr>
        <w:instrText xml:space="preserve"> ADDIN ZOTERO_ITEM CSL_CITATION {"citationID":"pEObtCaz","properties":{"formattedCitation":"(Brown &amp; Godduhn, 2015)","plainCitation":"(Brown &amp; Godduhn, 2015)","noteIndex":0},"citationItems":[{"id":4428,"uris":["http://zotero.org/users/8421274/items/2WA8NCRM"],"itemData":{"id":4428,"type":"article-journal","language":"en","source":"Zotero","title":"Socioeconomic effects of declining salmon runs on the Yukon River","author":[{"family":"Brown","given":"Caroline L"},{"family":"Godduhn","given":"Anna"}],"issued":{"date-parts":[["2015"]]}}}],"schema":"https://github.com/citation-style-language/schema/raw/master/csl-citation.json"} </w:instrText>
      </w:r>
      <w:r>
        <w:rPr>
          <w:rFonts w:ascii="Garamond" w:hAnsi="Garamond"/>
          <w:sz w:val="22"/>
          <w:szCs w:val="22"/>
        </w:rPr>
        <w:fldChar w:fldCharType="separate"/>
      </w:r>
      <w:r>
        <w:rPr>
          <w:rFonts w:ascii="Garamond" w:hAnsi="Garamond"/>
          <w:noProof/>
          <w:sz w:val="22"/>
          <w:szCs w:val="22"/>
        </w:rPr>
        <w:t>(Brown &amp; Godduhn, 2015)</w:t>
      </w:r>
      <w:r>
        <w:rPr>
          <w:rFonts w:ascii="Garamond" w:hAnsi="Garamond"/>
          <w:sz w:val="22"/>
          <w:szCs w:val="22"/>
        </w:rPr>
        <w:fldChar w:fldCharType="end"/>
      </w:r>
      <w:r w:rsidRPr="006D1917">
        <w:rPr>
          <w:rFonts w:ascii="Garamond" w:hAnsi="Garamond"/>
          <w:sz w:val="22"/>
          <w:szCs w:val="22"/>
        </w:rPr>
        <w:t>.</w:t>
      </w:r>
      <w:r>
        <w:rPr>
          <w:rFonts w:ascii="Garamond" w:hAnsi="Garamond"/>
          <w:sz w:val="22"/>
          <w:szCs w:val="22"/>
        </w:rPr>
        <w:t xml:space="preserve"> </w:t>
      </w:r>
      <w:r w:rsidRPr="006D1917">
        <w:rPr>
          <w:rFonts w:ascii="Garamond" w:hAnsi="Garamond"/>
          <w:sz w:val="22"/>
          <w:szCs w:val="22"/>
        </w:rPr>
        <w:t>As a result, resource managers</w:t>
      </w:r>
      <w:r>
        <w:rPr>
          <w:rFonts w:ascii="Garamond" w:hAnsi="Garamond"/>
          <w:sz w:val="22"/>
          <w:szCs w:val="22"/>
        </w:rPr>
        <w:t xml:space="preserve"> in Western Alaska</w:t>
      </w:r>
      <w:r w:rsidRPr="006D1917">
        <w:rPr>
          <w:rFonts w:ascii="Garamond" w:hAnsi="Garamond"/>
          <w:sz w:val="22"/>
          <w:szCs w:val="22"/>
        </w:rPr>
        <w:t xml:space="preserve"> face the difficult task of designing management strategies </w:t>
      </w:r>
      <w:r w:rsidR="007C6D95">
        <w:rPr>
          <w:rFonts w:ascii="Garamond" w:hAnsi="Garamond"/>
          <w:sz w:val="22"/>
          <w:szCs w:val="22"/>
        </w:rPr>
        <w:t>that</w:t>
      </w:r>
      <w:r w:rsidRPr="006D1917">
        <w:rPr>
          <w:rFonts w:ascii="Garamond" w:hAnsi="Garamond"/>
          <w:sz w:val="22"/>
          <w:szCs w:val="22"/>
        </w:rPr>
        <w:t xml:space="preserve"> balanc</w:t>
      </w:r>
      <w:r>
        <w:rPr>
          <w:rFonts w:ascii="Garamond" w:hAnsi="Garamond"/>
          <w:sz w:val="22"/>
          <w:szCs w:val="22"/>
        </w:rPr>
        <w:t>e</w:t>
      </w:r>
      <w:r w:rsidRPr="006D1917">
        <w:rPr>
          <w:rFonts w:ascii="Garamond" w:hAnsi="Garamond"/>
          <w:sz w:val="22"/>
          <w:szCs w:val="22"/>
        </w:rPr>
        <w:t xml:space="preserve"> ongoing </w:t>
      </w:r>
      <w:r>
        <w:rPr>
          <w:rFonts w:ascii="Garamond" w:hAnsi="Garamond"/>
          <w:sz w:val="22"/>
          <w:szCs w:val="22"/>
        </w:rPr>
        <w:t xml:space="preserve">commercial and subsistence </w:t>
      </w:r>
      <w:r w:rsidRPr="006D1917">
        <w:rPr>
          <w:rFonts w:ascii="Garamond" w:hAnsi="Garamond"/>
          <w:sz w:val="22"/>
          <w:szCs w:val="22"/>
        </w:rPr>
        <w:t xml:space="preserve">harvest opportunities </w:t>
      </w:r>
      <w:r>
        <w:rPr>
          <w:rFonts w:ascii="Garamond" w:hAnsi="Garamond"/>
          <w:sz w:val="22"/>
          <w:szCs w:val="22"/>
        </w:rPr>
        <w:t xml:space="preserve">throughout the region </w:t>
      </w:r>
      <w:r w:rsidRPr="006D1917">
        <w:rPr>
          <w:rFonts w:ascii="Garamond" w:hAnsi="Garamond"/>
          <w:sz w:val="22"/>
          <w:szCs w:val="22"/>
        </w:rPr>
        <w:t xml:space="preserve">with the urgent need to rebuild salmon populations and strengthen their resilience to future perturbations. </w:t>
      </w:r>
      <w:r w:rsidR="007C6D95" w:rsidRPr="007C6D95">
        <w:rPr>
          <w:rFonts w:ascii="Garamond" w:hAnsi="Garamond"/>
          <w:sz w:val="22"/>
          <w:szCs w:val="22"/>
        </w:rPr>
        <w:t>Designing these strategies relies on understanding the spatiotemporal dynamics of salmon returns to the system; however, there remains a relatively coarse and incomplete understanding of these dynamics given the spatial scale and remote nature of the region.</w:t>
      </w:r>
      <w:r w:rsidR="007C6D95">
        <w:rPr>
          <w:rFonts w:ascii="Garamond" w:hAnsi="Garamond"/>
          <w:sz w:val="22"/>
          <w:szCs w:val="22"/>
        </w:rPr>
        <w:t xml:space="preserve"> </w:t>
      </w:r>
      <w:r w:rsidR="007C6D95" w:rsidRPr="007C6D95">
        <w:rPr>
          <w:rFonts w:ascii="Garamond" w:hAnsi="Garamond"/>
          <w:sz w:val="22"/>
          <w:szCs w:val="22"/>
        </w:rPr>
        <w:t>Consequently, management strategies have been designed based on this coarse understanding of stock-specific patterns, and their effects on individual stock health have not been adequately assessed.</w:t>
      </w:r>
    </w:p>
    <w:p w14:paraId="1677A123" w14:textId="21003BC2" w:rsidR="00383B9A" w:rsidRDefault="007C6D95" w:rsidP="00383B9A">
      <w:pPr>
        <w:spacing w:line="480" w:lineRule="auto"/>
        <w:ind w:firstLine="720"/>
        <w:rPr>
          <w:rFonts w:ascii="Garamond" w:hAnsi="Garamond"/>
          <w:sz w:val="22"/>
          <w:szCs w:val="22"/>
        </w:rPr>
      </w:pPr>
      <w:r w:rsidRPr="00E14C01">
        <w:rPr>
          <w:rFonts w:ascii="Garamond" w:hAnsi="Garamond"/>
          <w:sz w:val="22"/>
          <w:szCs w:val="22"/>
        </w:rPr>
        <w:t>The Kuskokwim River</w:t>
      </w:r>
      <w:r>
        <w:rPr>
          <w:rFonts w:ascii="Garamond" w:hAnsi="Garamond"/>
          <w:sz w:val="22"/>
          <w:szCs w:val="22"/>
        </w:rPr>
        <w:t xml:space="preserve">-Basin is a large, free-flowing system covering greater than 120,000 </w:t>
      </w:r>
      <w:r w:rsidRPr="00E14C01">
        <w:rPr>
          <w:rFonts w:ascii="Garamond" w:hAnsi="Garamond"/>
          <w:sz w:val="22"/>
          <w:szCs w:val="22"/>
        </w:rPr>
        <w:t>km²</w:t>
      </w:r>
      <w:r>
        <w:rPr>
          <w:rFonts w:ascii="Garamond" w:hAnsi="Garamond"/>
          <w:sz w:val="22"/>
          <w:szCs w:val="22"/>
        </w:rPr>
        <w:t xml:space="preserve"> in western Alaska. This system contains all five species of pacific salmon, which serve as an important subsistence resource and cultural keystone for indigenous communities in the watershed </w:t>
      </w:r>
      <w:r w:rsidRPr="00E14C01">
        <w:rPr>
          <w:rFonts w:ascii="Garamond" w:hAnsi="Garamond"/>
          <w:sz w:val="22"/>
          <w:szCs w:val="22"/>
        </w:rPr>
        <w:t>(</w:t>
      </w:r>
      <w:proofErr w:type="spellStart"/>
      <w:r w:rsidRPr="00E14C01">
        <w:rPr>
          <w:rFonts w:ascii="Garamond" w:hAnsi="Garamond"/>
          <w:sz w:val="22"/>
          <w:szCs w:val="22"/>
        </w:rPr>
        <w:t>Esquible</w:t>
      </w:r>
      <w:proofErr w:type="spellEnd"/>
      <w:r w:rsidRPr="00E14C01">
        <w:rPr>
          <w:rFonts w:ascii="Garamond" w:hAnsi="Garamond"/>
          <w:sz w:val="22"/>
          <w:szCs w:val="22"/>
        </w:rPr>
        <w:t xml:space="preserve"> et al., 2018).</w:t>
      </w:r>
      <w:r>
        <w:rPr>
          <w:rFonts w:ascii="Garamond" w:hAnsi="Garamond"/>
          <w:sz w:val="22"/>
          <w:szCs w:val="22"/>
        </w:rPr>
        <w:t xml:space="preserve"> In particular, Chinook and Chum salmon in the Kuskokwim are a critical subsistence resource for nearly every household in the basin, which are almost entirely rural and indigenous communities</w:t>
      </w:r>
      <w:r w:rsidR="004C2230">
        <w:rPr>
          <w:rFonts w:ascii="Garamond" w:hAnsi="Garamond"/>
          <w:sz w:val="22"/>
          <w:szCs w:val="22"/>
        </w:rPr>
        <w:t xml:space="preserve"> that</w:t>
      </w:r>
      <w:r>
        <w:rPr>
          <w:rFonts w:ascii="Garamond" w:hAnsi="Garamond"/>
          <w:sz w:val="22"/>
          <w:szCs w:val="22"/>
        </w:rPr>
        <w:t xml:space="preserve"> rely on this subsistence resource for a significant portion of their protein needs </w:t>
      </w:r>
      <w:r w:rsidRPr="00E14C01">
        <w:rPr>
          <w:rFonts w:ascii="Garamond" w:hAnsi="Garamond"/>
          <w:sz w:val="22"/>
          <w:szCs w:val="22"/>
        </w:rPr>
        <w:t xml:space="preserve">(Clark et al., 2018; </w:t>
      </w:r>
      <w:proofErr w:type="spellStart"/>
      <w:r w:rsidRPr="00E14C01">
        <w:rPr>
          <w:rFonts w:ascii="Garamond" w:hAnsi="Garamond"/>
          <w:sz w:val="22"/>
          <w:szCs w:val="22"/>
        </w:rPr>
        <w:t>Esquible</w:t>
      </w:r>
      <w:proofErr w:type="spellEnd"/>
      <w:r w:rsidRPr="00E14C01">
        <w:rPr>
          <w:rFonts w:ascii="Garamond" w:hAnsi="Garamond"/>
          <w:sz w:val="22"/>
          <w:szCs w:val="22"/>
        </w:rPr>
        <w:t xml:space="preserve"> et al., 2024</w:t>
      </w:r>
      <w:r w:rsidR="00F41FAF">
        <w:rPr>
          <w:rFonts w:ascii="Garamond" w:hAnsi="Garamond"/>
          <w:sz w:val="22"/>
          <w:szCs w:val="22"/>
        </w:rPr>
        <w:t xml:space="preserve">). Resource managers in the Kuskokwim river-basin have implemented a front-end block closure for Chinook salmon based on preliminary data that the earliest returning fish at the beginning of the season </w:t>
      </w:r>
      <w:r w:rsidR="004C2230">
        <w:rPr>
          <w:rFonts w:ascii="Garamond" w:hAnsi="Garamond"/>
          <w:sz w:val="22"/>
          <w:szCs w:val="22"/>
        </w:rPr>
        <w:t xml:space="preserve">return </w:t>
      </w:r>
      <w:r w:rsidR="00F41FAF">
        <w:rPr>
          <w:rFonts w:ascii="Garamond" w:hAnsi="Garamond"/>
          <w:sz w:val="22"/>
          <w:szCs w:val="22"/>
        </w:rPr>
        <w:t xml:space="preserve">to stocks at the upper reaches of the watershed. </w:t>
      </w:r>
      <w:r w:rsidR="00383B9A" w:rsidRPr="00383B9A">
        <w:rPr>
          <w:rFonts w:ascii="Garamond" w:hAnsi="Garamond"/>
          <w:sz w:val="22"/>
          <w:szCs w:val="22"/>
        </w:rPr>
        <w:t>Given their early return timing, these stocks are particularly vulnerable to overfishing, which may compromise both upstream subsistence harvest and downstream fishery stability.</w:t>
      </w:r>
      <w:r w:rsidR="00383B9A">
        <w:rPr>
          <w:rFonts w:ascii="Garamond" w:hAnsi="Garamond"/>
          <w:sz w:val="22"/>
          <w:szCs w:val="22"/>
        </w:rPr>
        <w:t xml:space="preserve"> </w:t>
      </w:r>
      <w:r w:rsidR="00383B9A" w:rsidRPr="00383B9A">
        <w:rPr>
          <w:rFonts w:ascii="Garamond" w:hAnsi="Garamond"/>
          <w:sz w:val="22"/>
          <w:szCs w:val="22"/>
        </w:rPr>
        <w:t>Because the spatiotemporal patterns of stock contribution within and among years are not well understood at fine spatial scales, the effectiveness of front-end closures in protecting upper Kuskokwim stocks remains unclear. However, understanding these patterns is critical for assessing current management strategies and designing new approaches that balance regional harvest opportunities with stock-specific conservation needs.</w:t>
      </w:r>
      <w:r w:rsidR="00383B9A">
        <w:rPr>
          <w:rFonts w:ascii="Garamond" w:hAnsi="Garamond"/>
          <w:sz w:val="22"/>
          <w:szCs w:val="22"/>
        </w:rPr>
        <w:t xml:space="preserve"> </w:t>
      </w:r>
    </w:p>
    <w:p w14:paraId="502FB001" w14:textId="77777777" w:rsidR="003610A6" w:rsidRPr="00617050" w:rsidRDefault="003610A6" w:rsidP="003610A6">
      <w:pPr>
        <w:spacing w:line="480" w:lineRule="auto"/>
        <w:ind w:firstLine="720"/>
        <w:rPr>
          <w:rFonts w:ascii="Garamond" w:hAnsi="Garamond"/>
          <w:sz w:val="22"/>
          <w:szCs w:val="22"/>
        </w:rPr>
      </w:pPr>
      <w:r w:rsidRPr="006D1917">
        <w:rPr>
          <w:rFonts w:ascii="Garamond" w:hAnsi="Garamond"/>
          <w:sz w:val="22"/>
          <w:szCs w:val="22"/>
        </w:rPr>
        <w:lastRenderedPageBreak/>
        <w:t>Here, we apply otolit</w:t>
      </w:r>
      <w:r>
        <w:rPr>
          <w:rFonts w:ascii="Garamond" w:hAnsi="Garamond"/>
          <w:sz w:val="22"/>
          <w:szCs w:val="22"/>
        </w:rPr>
        <w:t>h microchemistry from fish caught at different times of the migration season over 6 years in the Kuskokwim River-basin</w:t>
      </w:r>
      <w:r w:rsidRPr="006D1917">
        <w:rPr>
          <w:rFonts w:ascii="Garamond" w:hAnsi="Garamond"/>
          <w:sz w:val="22"/>
          <w:szCs w:val="22"/>
        </w:rPr>
        <w:t xml:space="preserve"> to reconstruct spatiotemporal patterns of Chinook salmon natal origin distribution</w:t>
      </w:r>
      <w:r>
        <w:rPr>
          <w:rFonts w:ascii="Garamond" w:hAnsi="Garamond"/>
          <w:sz w:val="22"/>
          <w:szCs w:val="22"/>
        </w:rPr>
        <w:t xml:space="preserve"> at the sub basin scale. In doing so, we will</w:t>
      </w:r>
      <w:r w:rsidRPr="006D1917">
        <w:rPr>
          <w:rFonts w:ascii="Garamond" w:hAnsi="Garamond"/>
          <w:sz w:val="22"/>
          <w:szCs w:val="22"/>
        </w:rPr>
        <w:t>: (1) identify the spatiotemporal structure of returning populations in</w:t>
      </w:r>
      <w:r>
        <w:rPr>
          <w:rFonts w:ascii="Garamond" w:hAnsi="Garamond"/>
          <w:sz w:val="22"/>
          <w:szCs w:val="22"/>
        </w:rPr>
        <w:t xml:space="preserve"> the Kuskokwim river-basin, and </w:t>
      </w:r>
      <w:r w:rsidRPr="006D1917">
        <w:rPr>
          <w:rFonts w:ascii="Garamond" w:hAnsi="Garamond"/>
          <w:sz w:val="22"/>
          <w:szCs w:val="22"/>
        </w:rPr>
        <w:t>(2)</w:t>
      </w:r>
      <w:r>
        <w:rPr>
          <w:rFonts w:ascii="Garamond" w:hAnsi="Garamond"/>
          <w:sz w:val="22"/>
          <w:szCs w:val="22"/>
        </w:rPr>
        <w:t xml:space="preserve"> </w:t>
      </w:r>
      <w:r w:rsidRPr="006D1917">
        <w:rPr>
          <w:rFonts w:ascii="Garamond" w:hAnsi="Garamond"/>
          <w:sz w:val="22"/>
          <w:szCs w:val="22"/>
        </w:rPr>
        <w:t>evaluate the potential impacts of harvest strategies</w:t>
      </w:r>
      <w:r>
        <w:rPr>
          <w:rFonts w:ascii="Garamond" w:hAnsi="Garamond"/>
          <w:sz w:val="22"/>
          <w:szCs w:val="22"/>
        </w:rPr>
        <w:t xml:space="preserve"> such as a</w:t>
      </w:r>
      <w:r w:rsidRPr="006D1917">
        <w:rPr>
          <w:rFonts w:ascii="Garamond" w:hAnsi="Garamond"/>
          <w:sz w:val="22"/>
          <w:szCs w:val="22"/>
        </w:rPr>
        <w:t xml:space="preserve"> front-end closure</w:t>
      </w:r>
      <w:r>
        <w:rPr>
          <w:rFonts w:ascii="Garamond" w:hAnsi="Garamond"/>
          <w:sz w:val="22"/>
          <w:szCs w:val="22"/>
        </w:rPr>
        <w:t xml:space="preserve"> </w:t>
      </w:r>
      <w:r w:rsidRPr="006D1917">
        <w:rPr>
          <w:rFonts w:ascii="Garamond" w:hAnsi="Garamond"/>
          <w:sz w:val="22"/>
          <w:szCs w:val="22"/>
        </w:rPr>
        <w:t>on stocks across these systems.</w:t>
      </w:r>
    </w:p>
    <w:p w14:paraId="327E6388" w14:textId="77777777" w:rsidR="009833DB" w:rsidRDefault="009833DB" w:rsidP="009833DB">
      <w:pPr>
        <w:spacing w:line="480" w:lineRule="auto"/>
        <w:rPr>
          <w:rFonts w:ascii="Garamond" w:hAnsi="Garamond"/>
          <w:sz w:val="22"/>
          <w:szCs w:val="22"/>
        </w:rPr>
      </w:pPr>
    </w:p>
    <w:p w14:paraId="2A0F64D4" w14:textId="77777777" w:rsidR="009833DB" w:rsidRPr="006D1917" w:rsidRDefault="009833DB" w:rsidP="009833DB">
      <w:pPr>
        <w:spacing w:line="480" w:lineRule="auto"/>
        <w:rPr>
          <w:rFonts w:ascii="Garamond" w:hAnsi="Garamond"/>
          <w:b/>
          <w:bCs/>
          <w:sz w:val="32"/>
          <w:szCs w:val="32"/>
        </w:rPr>
      </w:pPr>
      <w:r w:rsidRPr="006D1917">
        <w:rPr>
          <w:rFonts w:ascii="Garamond" w:hAnsi="Garamond"/>
          <w:b/>
          <w:bCs/>
          <w:sz w:val="32"/>
          <w:szCs w:val="32"/>
        </w:rPr>
        <w:t xml:space="preserve">Methods: </w:t>
      </w:r>
    </w:p>
    <w:p w14:paraId="2B9BE153" w14:textId="77777777" w:rsidR="009833DB" w:rsidRDefault="009833DB" w:rsidP="009833DB">
      <w:pPr>
        <w:spacing w:line="480" w:lineRule="auto"/>
        <w:rPr>
          <w:rFonts w:ascii="Garamond" w:hAnsi="Garamond"/>
          <w:b/>
          <w:bCs/>
          <w:sz w:val="22"/>
          <w:szCs w:val="22"/>
          <w:u w:val="single"/>
        </w:rPr>
      </w:pPr>
      <w:r w:rsidRPr="006D1917">
        <w:rPr>
          <w:rFonts w:ascii="Garamond" w:hAnsi="Garamond"/>
          <w:b/>
          <w:bCs/>
          <w:sz w:val="22"/>
          <w:szCs w:val="22"/>
          <w:u w:val="single"/>
        </w:rPr>
        <w:t>Otolith Sample s</w:t>
      </w:r>
      <w:r>
        <w:rPr>
          <w:rFonts w:ascii="Garamond" w:hAnsi="Garamond"/>
          <w:b/>
          <w:bCs/>
          <w:sz w:val="22"/>
          <w:szCs w:val="22"/>
          <w:u w:val="single"/>
        </w:rPr>
        <w:t>ets</w:t>
      </w:r>
    </w:p>
    <w:p w14:paraId="2C50ADFF" w14:textId="61B1CD8B" w:rsidR="009C079F" w:rsidRDefault="003A1EB0" w:rsidP="009C079F">
      <w:pPr>
        <w:spacing w:line="480" w:lineRule="auto"/>
        <w:ind w:firstLine="720"/>
        <w:rPr>
          <w:rFonts w:ascii="Garamond" w:eastAsia="Times New Roman" w:hAnsi="Garamond" w:cs="Times New Roman"/>
          <w:kern w:val="0"/>
          <w:sz w:val="22"/>
          <w:szCs w:val="22"/>
          <w14:ligatures w14:val="none"/>
        </w:rPr>
      </w:pPr>
      <w:r>
        <w:rPr>
          <w:rFonts w:ascii="Garamond" w:eastAsia="Times New Roman" w:hAnsi="Garamond" w:cs="Times New Roman"/>
          <w:kern w:val="0"/>
          <w:sz w:val="22"/>
          <w:szCs w:val="22"/>
          <w14:ligatures w14:val="none"/>
        </w:rPr>
        <w:t>Chinook salmon o</w:t>
      </w:r>
      <w:r w:rsidR="009833DB" w:rsidRPr="006D1917">
        <w:rPr>
          <w:rFonts w:ascii="Garamond" w:eastAsia="Times New Roman" w:hAnsi="Garamond" w:cs="Times New Roman"/>
          <w:kern w:val="0"/>
          <w:sz w:val="22"/>
          <w:szCs w:val="22"/>
          <w14:ligatures w14:val="none"/>
        </w:rPr>
        <w:t xml:space="preserve">toliths were </w:t>
      </w:r>
      <w:r>
        <w:rPr>
          <w:rFonts w:ascii="Garamond" w:eastAsia="Times New Roman" w:hAnsi="Garamond" w:cs="Times New Roman"/>
          <w:kern w:val="0"/>
          <w:sz w:val="22"/>
          <w:szCs w:val="22"/>
          <w14:ligatures w14:val="none"/>
        </w:rPr>
        <w:t xml:space="preserve">collected </w:t>
      </w:r>
      <w:r w:rsidR="00313CB8">
        <w:rPr>
          <w:rFonts w:ascii="Garamond" w:eastAsia="Times New Roman" w:hAnsi="Garamond" w:cs="Times New Roman"/>
          <w:kern w:val="0"/>
          <w:sz w:val="22"/>
          <w:szCs w:val="22"/>
          <w14:ligatures w14:val="none"/>
        </w:rPr>
        <w:t>from 2017 to 2022</w:t>
      </w:r>
      <w:r w:rsidR="00E212FE">
        <w:rPr>
          <w:rFonts w:ascii="Garamond" w:eastAsia="Times New Roman" w:hAnsi="Garamond" w:cs="Times New Roman"/>
          <w:kern w:val="0"/>
          <w:sz w:val="22"/>
          <w:szCs w:val="22"/>
          <w14:ligatures w14:val="none"/>
        </w:rPr>
        <w:t xml:space="preserve"> </w:t>
      </w:r>
      <w:r w:rsidR="00313CB8">
        <w:rPr>
          <w:rFonts w:ascii="Garamond" w:eastAsia="Times New Roman" w:hAnsi="Garamond" w:cs="Times New Roman"/>
          <w:kern w:val="0"/>
          <w:sz w:val="22"/>
          <w:szCs w:val="22"/>
          <w14:ligatures w14:val="none"/>
        </w:rPr>
        <w:t xml:space="preserve">in </w:t>
      </w:r>
      <w:r w:rsidR="00E212FE">
        <w:rPr>
          <w:rFonts w:ascii="Garamond" w:eastAsia="Times New Roman" w:hAnsi="Garamond" w:cs="Times New Roman"/>
          <w:kern w:val="0"/>
          <w:sz w:val="22"/>
          <w:szCs w:val="22"/>
          <w14:ligatures w14:val="none"/>
        </w:rPr>
        <w:t xml:space="preserve">the Bethel Test Fishery (BTF) near Bethel, Alaska </w:t>
      </w:r>
      <w:r w:rsidR="00313CB8">
        <w:rPr>
          <w:rFonts w:ascii="Garamond" w:eastAsia="Times New Roman" w:hAnsi="Garamond" w:cs="Times New Roman"/>
          <w:kern w:val="0"/>
          <w:sz w:val="22"/>
          <w:szCs w:val="22"/>
          <w14:ligatures w14:val="none"/>
        </w:rPr>
        <w:t>in collaboration with</w:t>
      </w:r>
      <w:r w:rsidR="00367B6D">
        <w:rPr>
          <w:rFonts w:ascii="Garamond" w:eastAsia="Times New Roman" w:hAnsi="Garamond" w:cs="Times New Roman"/>
          <w:kern w:val="0"/>
          <w:sz w:val="22"/>
          <w:szCs w:val="22"/>
          <w14:ligatures w14:val="none"/>
        </w:rPr>
        <w:t xml:space="preserve"> the intern program of the </w:t>
      </w:r>
      <w:proofErr w:type="spellStart"/>
      <w:r w:rsidR="00367B6D">
        <w:rPr>
          <w:rFonts w:ascii="Garamond" w:eastAsia="Times New Roman" w:hAnsi="Garamond" w:cs="Times New Roman"/>
          <w:kern w:val="0"/>
          <w:sz w:val="22"/>
          <w:szCs w:val="22"/>
          <w14:ligatures w14:val="none"/>
        </w:rPr>
        <w:t>Orutsaramiut</w:t>
      </w:r>
      <w:proofErr w:type="spellEnd"/>
      <w:r w:rsidR="00367B6D">
        <w:rPr>
          <w:rFonts w:ascii="Garamond" w:eastAsia="Times New Roman" w:hAnsi="Garamond" w:cs="Times New Roman"/>
          <w:kern w:val="0"/>
          <w:sz w:val="22"/>
          <w:szCs w:val="22"/>
          <w14:ligatures w14:val="none"/>
        </w:rPr>
        <w:t xml:space="preserve"> Native Council </w:t>
      </w:r>
      <w:r w:rsidR="00313CB8">
        <w:rPr>
          <w:rFonts w:ascii="Garamond" w:eastAsia="Times New Roman" w:hAnsi="Garamond" w:cs="Times New Roman"/>
          <w:kern w:val="0"/>
          <w:sz w:val="22"/>
          <w:szCs w:val="22"/>
          <w14:ligatures w14:val="none"/>
        </w:rPr>
        <w:t>and</w:t>
      </w:r>
      <w:r w:rsidR="00367B6D">
        <w:rPr>
          <w:rFonts w:ascii="Garamond" w:eastAsia="Times New Roman" w:hAnsi="Garamond" w:cs="Times New Roman"/>
          <w:kern w:val="0"/>
          <w:sz w:val="22"/>
          <w:szCs w:val="22"/>
          <w14:ligatures w14:val="none"/>
        </w:rPr>
        <w:t xml:space="preserve"> the Alaska Department of Fish &amp; Game. </w:t>
      </w:r>
      <w:r w:rsidR="00313CB8">
        <w:rPr>
          <w:rFonts w:ascii="Garamond" w:eastAsia="Times New Roman" w:hAnsi="Garamond" w:cs="Times New Roman"/>
          <w:kern w:val="0"/>
          <w:sz w:val="22"/>
          <w:szCs w:val="22"/>
          <w14:ligatures w14:val="none"/>
        </w:rPr>
        <w:t>The BTF was designed to allow in-season assessment of run strength based on catch-per-unit-effort to inform management of subsistence fisheries throughout the river</w:t>
      </w:r>
      <w:r w:rsidR="00C50332">
        <w:rPr>
          <w:rFonts w:ascii="Garamond" w:eastAsia="Times New Roman" w:hAnsi="Garamond" w:cs="Times New Roman"/>
          <w:kern w:val="0"/>
          <w:sz w:val="22"/>
          <w:szCs w:val="22"/>
          <w14:ligatures w14:val="none"/>
        </w:rPr>
        <w:t xml:space="preserve"> and fish caught in this fishery are expected to be a representative sample of returning stocks </w:t>
      </w:r>
      <w:commentRangeStart w:id="1"/>
      <w:r w:rsidR="00C50332">
        <w:rPr>
          <w:rFonts w:ascii="Garamond" w:eastAsia="Times New Roman" w:hAnsi="Garamond" w:cs="Times New Roman"/>
          <w:kern w:val="0"/>
          <w:sz w:val="22"/>
          <w:szCs w:val="22"/>
          <w14:ligatures w14:val="none"/>
        </w:rPr>
        <w:t>throughout the basin</w:t>
      </w:r>
      <w:r w:rsidR="00313CB8">
        <w:rPr>
          <w:rFonts w:ascii="Garamond" w:eastAsia="Times New Roman" w:hAnsi="Garamond" w:cs="Times New Roman"/>
          <w:kern w:val="0"/>
          <w:sz w:val="22"/>
          <w:szCs w:val="22"/>
          <w14:ligatures w14:val="none"/>
        </w:rPr>
        <w:t xml:space="preserve"> </w:t>
      </w:r>
      <w:commentRangeEnd w:id="1"/>
      <w:r w:rsidR="00C50332">
        <w:rPr>
          <w:rStyle w:val="CommentReference"/>
        </w:rPr>
        <w:commentReference w:id="1"/>
      </w:r>
      <w:r w:rsidR="00C50332">
        <w:rPr>
          <w:rFonts w:ascii="Garamond" w:eastAsia="Times New Roman" w:hAnsi="Garamond" w:cs="Times New Roman"/>
          <w:kern w:val="0"/>
          <w:sz w:val="22"/>
          <w:szCs w:val="22"/>
          <w14:ligatures w14:val="none"/>
        </w:rPr>
        <w:fldChar w:fldCharType="begin"/>
      </w:r>
      <w:r w:rsidR="00C50332">
        <w:rPr>
          <w:rFonts w:ascii="Garamond" w:eastAsia="Times New Roman" w:hAnsi="Garamond" w:cs="Times New Roman"/>
          <w:kern w:val="0"/>
          <w:sz w:val="22"/>
          <w:szCs w:val="22"/>
          <w14:ligatures w14:val="none"/>
        </w:rPr>
        <w:instrText xml:space="preserve"> ADDIN ZOTERO_ITEM CSL_CITATION {"citationID":"oT8qdcVg","properties":{"formattedCitation":"(Lipka &amp; Elison, 2015)","plainCitation":"(Lipka &amp; Elison, 2015)","noteIndex":0},"citationItems":[{"id":5567,"uris":["http://zotero.org/users/8421274/items/PMPCYQ6E"],"itemData":{"id":5567,"type":"report","abstract":"OBJECTIVES................................................................................................................................................................ 3 Tasks .............................................................................................................................................................................. 4\nMETHODS .................................................................................................................................................................... 4 Field Operations ............................................................................................................................................................ 4 Test Fishing Index .........................................................................................................................................................5 Age, Sex and Length Composition ................................................................................................................................6 Climatological and Stream Observations ......................................................................................................................7\nRESULTS ...................................................................................................................................................................... 7 Operations...................................................................................................................................................................... 7 Abundance Indices and Run Timing .............................................................................................................................8 Chinook Salmon .......................................................................................................................................................8 Sockeye Salmon........................................................................................................................................................8 Chum Salmon ...........................................................................................................................................................9 Coho Salmon ............................................................................................................................................................9 Climatological and Stream Observations .................................................................................................................... 10 DISCUSSION.............................................................................................................................................................. 10 Abundance Index ......................................................................................................................................................... 10 Chinook Salmon ..................................................................................................................................................... 10 Sockeye Salmon...................................................................................................................................................... 11 Chum Salmon ......................................................................................................................................................... 11 Coho Salmon .......................................................................................................................................................... 11\nCONCLUSION ........................................................................................................................................................... 11 ACKNOWLEDGEMENTS......................................................................................................................................... 12 REFERENCES CITED ............................................................................................................................................... 13 TABLES AND FIGURES ........................................................................................................................................... 15 APPENDIX A: BETHEL TEST FISHERY DRIFT SCHEDUALE ........................................................................... 37 APPENDIX B: HISTORICAL CHINOOK SALMON DATA ................................................................................... 39 APPENDIX C: HISTORICAL SOCKEYE SALMON DATA ................................................................................... 43 APPENDIX D: HISTORICAL CHUM SALMON DATA ......................................................................................... 51 APPENDIX E: HISTORICAL COHO SALMON DATA .......................................................................................... 57 APPENDIX F: HISTORICAL CLIMATOLOGICAL DATA .................................................................................... 63","collection-title":"Fishery Data Series No. 16-06 Anchorage","language":"en","publisher":"Alaska Department of Fish and Game","source":"Zotero","title":"Characterization of the 2012 and 2013 salmon runs in the Kuskokwim River based on the test fishery at Bethel.","author":[{"family":"Lipka","given":"C"},{"family":"Elison","given":"T"}],"issued":{"date-parts":[["2015"]]}}}],"schema":"https://github.com/citation-style-language/schema/raw/master/csl-citation.json"} </w:instrText>
      </w:r>
      <w:r w:rsidR="00C50332">
        <w:rPr>
          <w:rFonts w:ascii="Garamond" w:eastAsia="Times New Roman" w:hAnsi="Garamond" w:cs="Times New Roman"/>
          <w:kern w:val="0"/>
          <w:sz w:val="22"/>
          <w:szCs w:val="22"/>
          <w14:ligatures w14:val="none"/>
        </w:rPr>
        <w:fldChar w:fldCharType="separate"/>
      </w:r>
      <w:r w:rsidR="00C50332">
        <w:rPr>
          <w:rFonts w:ascii="Garamond" w:eastAsia="Times New Roman" w:hAnsi="Garamond" w:cs="Times New Roman"/>
          <w:noProof/>
          <w:kern w:val="0"/>
          <w:sz w:val="22"/>
          <w:szCs w:val="22"/>
          <w14:ligatures w14:val="none"/>
        </w:rPr>
        <w:t>(Lipka &amp; Elison, 2015)</w:t>
      </w:r>
      <w:r w:rsidR="00C50332">
        <w:rPr>
          <w:rFonts w:ascii="Garamond" w:eastAsia="Times New Roman" w:hAnsi="Garamond" w:cs="Times New Roman"/>
          <w:kern w:val="0"/>
          <w:sz w:val="22"/>
          <w:szCs w:val="22"/>
          <w14:ligatures w14:val="none"/>
        </w:rPr>
        <w:fldChar w:fldCharType="end"/>
      </w:r>
      <w:r w:rsidR="00C50332">
        <w:rPr>
          <w:rFonts w:ascii="Garamond" w:eastAsia="Times New Roman" w:hAnsi="Garamond" w:cs="Times New Roman"/>
          <w:kern w:val="0"/>
          <w:sz w:val="22"/>
          <w:szCs w:val="22"/>
          <w14:ligatures w14:val="none"/>
        </w:rPr>
        <w:t>.</w:t>
      </w:r>
      <w:r w:rsidR="00313CB8">
        <w:rPr>
          <w:rFonts w:ascii="Garamond" w:eastAsia="Times New Roman" w:hAnsi="Garamond" w:cs="Times New Roman"/>
          <w:kern w:val="0"/>
          <w:sz w:val="22"/>
          <w:szCs w:val="22"/>
          <w14:ligatures w14:val="none"/>
        </w:rPr>
        <w:t xml:space="preserve"> </w:t>
      </w:r>
      <w:r w:rsidR="00DD0E6E">
        <w:rPr>
          <w:rFonts w:ascii="Garamond" w:eastAsia="Times New Roman" w:hAnsi="Garamond" w:cs="Times New Roman"/>
          <w:kern w:val="0"/>
          <w:sz w:val="22"/>
          <w:szCs w:val="22"/>
          <w14:ligatures w14:val="none"/>
        </w:rPr>
        <w:t xml:space="preserve">We collected approximately 500 otoliths from each year from 2017-2022, ensuring sampling efforts over the full course of the run. From these, approximately 250 otoliths were selected for microchemical analysis in proportion to the relative catch per unit effort (CPUE) </w:t>
      </w:r>
      <w:r w:rsidR="009C079F">
        <w:rPr>
          <w:rFonts w:ascii="Garamond" w:eastAsia="Times New Roman" w:hAnsi="Garamond" w:cs="Times New Roman"/>
          <w:kern w:val="0"/>
          <w:sz w:val="22"/>
          <w:szCs w:val="22"/>
          <w14:ligatures w14:val="none"/>
        </w:rPr>
        <w:t xml:space="preserve">throughout the season. </w:t>
      </w:r>
    </w:p>
    <w:p w14:paraId="161FEB7F" w14:textId="6A5146C5" w:rsidR="009833DB" w:rsidRPr="005D5AB7" w:rsidRDefault="00313CB8" w:rsidP="009C079F">
      <w:pPr>
        <w:spacing w:line="480" w:lineRule="auto"/>
        <w:ind w:firstLine="720"/>
        <w:rPr>
          <w:rFonts w:ascii="Garamond" w:eastAsia="Times New Roman" w:hAnsi="Garamond" w:cs="Times New Roman"/>
          <w:kern w:val="0"/>
          <w:sz w:val="22"/>
          <w:szCs w:val="22"/>
          <w14:ligatures w14:val="none"/>
        </w:rPr>
      </w:pPr>
      <w:r>
        <w:rPr>
          <w:rFonts w:ascii="Garamond" w:hAnsi="Garamond"/>
          <w:sz w:val="22"/>
          <w:szCs w:val="22"/>
        </w:rPr>
        <w:t xml:space="preserve">Otoliths </w:t>
      </w:r>
      <w:r w:rsidR="009833DB">
        <w:rPr>
          <w:rFonts w:ascii="Garamond" w:hAnsi="Garamond"/>
          <w:sz w:val="22"/>
          <w:szCs w:val="22"/>
        </w:rPr>
        <w:t xml:space="preserve">were </w:t>
      </w:r>
      <w:r w:rsidR="009833DB" w:rsidRPr="006D1917">
        <w:rPr>
          <w:rFonts w:ascii="Garamond" w:eastAsia="Times New Roman" w:hAnsi="Garamond" w:cs="Times New Roman"/>
          <w:kern w:val="0"/>
          <w:sz w:val="22"/>
          <w:szCs w:val="22"/>
          <w14:ligatures w14:val="none"/>
        </w:rPr>
        <w:t xml:space="preserve">sectioned </w:t>
      </w:r>
      <w:r w:rsidR="00EF1756">
        <w:rPr>
          <w:rFonts w:ascii="Garamond" w:eastAsia="Times New Roman" w:hAnsi="Garamond" w:cs="Times New Roman"/>
          <w:kern w:val="0"/>
          <w:sz w:val="22"/>
          <w:szCs w:val="22"/>
          <w14:ligatures w14:val="none"/>
        </w:rPr>
        <w:t xml:space="preserve">with </w:t>
      </w:r>
      <w:r w:rsidR="0025573D">
        <w:rPr>
          <w:rFonts w:ascii="Garamond" w:eastAsia="Times New Roman" w:hAnsi="Garamond" w:cs="Times New Roman"/>
          <w:kern w:val="0"/>
          <w:sz w:val="22"/>
          <w:szCs w:val="22"/>
          <w14:ligatures w14:val="none"/>
        </w:rPr>
        <w:t xml:space="preserve">low speed diamond blade </w:t>
      </w:r>
      <w:proofErr w:type="spellStart"/>
      <w:r w:rsidR="0025573D">
        <w:rPr>
          <w:rFonts w:ascii="Garamond" w:eastAsia="Times New Roman" w:hAnsi="Garamond" w:cs="Times New Roman"/>
          <w:kern w:val="0"/>
          <w:sz w:val="22"/>
          <w:szCs w:val="22"/>
          <w14:ligatures w14:val="none"/>
        </w:rPr>
        <w:t>isomet</w:t>
      </w:r>
      <w:proofErr w:type="spellEnd"/>
      <w:r w:rsidR="0025573D">
        <w:rPr>
          <w:rFonts w:ascii="Garamond" w:eastAsia="Times New Roman" w:hAnsi="Garamond" w:cs="Times New Roman"/>
          <w:kern w:val="0"/>
          <w:sz w:val="22"/>
          <w:szCs w:val="22"/>
          <w14:ligatures w14:val="none"/>
        </w:rPr>
        <w:t xml:space="preserve"> </w:t>
      </w:r>
      <w:r w:rsidR="00EF1756">
        <w:rPr>
          <w:rFonts w:ascii="Garamond" w:eastAsia="Times New Roman" w:hAnsi="Garamond" w:cs="Times New Roman"/>
          <w:kern w:val="0"/>
          <w:sz w:val="22"/>
          <w:szCs w:val="22"/>
          <w14:ligatures w14:val="none"/>
        </w:rPr>
        <w:t xml:space="preserve">saw </w:t>
      </w:r>
      <w:r w:rsidR="009833DB" w:rsidRPr="006D1917">
        <w:rPr>
          <w:rFonts w:ascii="Garamond" w:eastAsia="Times New Roman" w:hAnsi="Garamond" w:cs="Times New Roman"/>
          <w:kern w:val="0"/>
          <w:sz w:val="22"/>
          <w:szCs w:val="22"/>
          <w14:ligatures w14:val="none"/>
        </w:rPr>
        <w:t xml:space="preserve">along the transverse plane, mounted on microscope slides, and polished to expose internal growth structures </w:t>
      </w:r>
      <w:r w:rsidR="009833DB">
        <w:rPr>
          <w:rFonts w:ascii="Garamond" w:eastAsia="Times New Roman" w:hAnsi="Garamond" w:cs="Times New Roman"/>
          <w:kern w:val="0"/>
          <w:sz w:val="22"/>
          <w:szCs w:val="22"/>
          <w14:ligatures w14:val="none"/>
        </w:rPr>
        <w:fldChar w:fldCharType="begin"/>
      </w:r>
      <w:r w:rsidR="009833DB">
        <w:rPr>
          <w:rFonts w:ascii="Garamond" w:eastAsia="Times New Roman" w:hAnsi="Garamond" w:cs="Times New Roman"/>
          <w:kern w:val="0"/>
          <w:sz w:val="22"/>
          <w:szCs w:val="22"/>
          <w14:ligatures w14:val="none"/>
        </w:rPr>
        <w:instrText xml:space="preserve"> ADDIN ZOTERO_ITEM CSL_CITATION {"citationID":"4icvZ6KO","properties":{"formattedCitation":"(Donohoe &amp; Zimmerman, 2010; Zimmerman &amp; Reeves, 2002)","plainCitation":"(Donohoe &amp; Zimmerman, 2010; Zimmerman &amp; Reeves, 2002)","noteIndex":0},"citationItems":[{"id":4778,"uris":["http://zotero.org/users/8421274/items/QJZIBTQC"],"itemData":{"id":4778,"type":"article-journal","abstract":"Beam-based analytical methods are widely used to measure the concentrations of elements and isotopes in otoliths. These methods usually require that otoliths be individually mounted and prepared to properly expose the desired growth region to the analytical beam. Most analytical instruments, such as LA-ICPMS and ion and electron microprobes, have sample holders that will accept only one to six slides or mounts at a time. We describe a method of mounting otoliths that allows for easy transfer of many otoliths to a single mount after they have been prepared. Such an approach increases the number of otoliths that can be analyzed in a single session by reducing the need open the sample chamber to exchange slides—a particularly time consuming step on instruments that operate under vacuum. For ion and electron microprobes, the method also greatly reduces the number of slides that must be coated with an electrical conductor prior to analysis. In this method, a narrow strip of cover glass is first glued at one end to a standard microscope slide. The otolith is then mounted in thermoplastic resin on the opposite, free end of the strip. The otolith can then be ground and flipped, if needed, by reheating the mounting medium. After otolith preparation is complete, the cover glass is cut with a scribe to free the otolith and up to 20 small otoliths can be arranged on a single petrographic slide.","container-title":"Environmental Biology of Fishes","DOI":"10.1007/s10641-010-9680-3","ISSN":"1573-5133","issue":"3","journalAbbreviation":"Environ Biol Fish","language":"en","page":"473-477","source":"Springer Link","title":"A method of mounting multiple otoliths for beam-based microchemical analyses","volume":"89","author":[{"family":"Donohoe","given":"Christopher J."},{"family":"Zimmerman","given":"Christian E."}],"issued":{"date-parts":[["2010",11,1]]}}},{"id":4132,"uris":["http://zotero.org/users/8421274/items/5YINANGC"],"itemData":{"id":4132,"type":"article-journal","abstract":"Comparisons of strontium:calcium (Sr: Ca) ratios in otolith primordia and freshwater growth regions were used to identify the progeny of steelhead Oncorhynchus mykiss (anadromous rainbow trout) and resident rainbow trout in the Deschutes River, Oregon. We cultured progeny of known adult steelhead and resident rainbow trout to confirm the relationship between Sr:Ca ratios in otolith primordia and the life history of the maternal parent. The mean (±SD) Sr:Ca ratio was significantly higher in the otolith primordia of the progeny of steelhead (0.001461 ± 0.00029; n = 100) than in those of the progeny of resident rainbow trout (0.000829 ± 0.000012; n = 100). We used comparisons of Sr:Ca ratios in the primordia and first-summer growth regions of otoliths to determine the maternal origin of unknown O. mykiss juveniles (n = 272) collected from rearing habitats within the main-stem Deschutes River and tributary rearing habitats and thus to ascertain the relative proportion of each life history morph in each rearing habitat. Resident rainbow trout fry dominated the bimonthly samples collected from main-stem rearing habitats between May and November 1995. Steelhead fry dominated samples collected from below waterfalls on two tributaries in 1996 and 1998.","container-title":"Transactions of the American Fisheries Society","DOI":"10.1577/1548-8659(2002)131&lt;0986:IOSARR&gt;2.0.CO;2","ISSN":"0002-8487","issue":"5","note":"publisher: Taylor &amp; Francis\n_eprint: https://doi.org/10.1577/1548-8659(2002)131&lt;0986:IOSARR&gt;2.0.CO;2","page":"986-993","source":"Taylor and Francis+NEJM","title":"Identification of Steelhead and Resident Rainbow Trout Progeny in the Deschutes River, Oregon, Revealed with Otolith Microchemistry","volume":"131","author":[{"family":"Zimmerman","given":"Christian E."},{"family":"Reeves","given":"Gordon H."}],"issued":{"date-parts":[["2002",9,1]]}}}],"schema":"https://github.com/citation-style-language/schema/raw/master/csl-citation.json"} </w:instrText>
      </w:r>
      <w:r w:rsidR="009833DB">
        <w:rPr>
          <w:rFonts w:ascii="Garamond" w:eastAsia="Times New Roman" w:hAnsi="Garamond" w:cs="Times New Roman"/>
          <w:kern w:val="0"/>
          <w:sz w:val="22"/>
          <w:szCs w:val="22"/>
          <w14:ligatures w14:val="none"/>
        </w:rPr>
        <w:fldChar w:fldCharType="separate"/>
      </w:r>
      <w:r w:rsidR="009833DB">
        <w:rPr>
          <w:rFonts w:ascii="Garamond" w:eastAsia="Times New Roman" w:hAnsi="Garamond" w:cs="Times New Roman"/>
          <w:noProof/>
          <w:kern w:val="0"/>
          <w:sz w:val="22"/>
          <w:szCs w:val="22"/>
          <w14:ligatures w14:val="none"/>
        </w:rPr>
        <w:t>(Donohoe &amp; Zimmerman, 2010; Zimmerman &amp; Reeves, 2002)</w:t>
      </w:r>
      <w:r w:rsidR="009833DB">
        <w:rPr>
          <w:rFonts w:ascii="Garamond" w:eastAsia="Times New Roman" w:hAnsi="Garamond" w:cs="Times New Roman"/>
          <w:kern w:val="0"/>
          <w:sz w:val="22"/>
          <w:szCs w:val="22"/>
          <w14:ligatures w14:val="none"/>
        </w:rPr>
        <w:fldChar w:fldCharType="end"/>
      </w:r>
      <w:r w:rsidR="009833DB" w:rsidRPr="006D1917">
        <w:rPr>
          <w:rFonts w:ascii="Garamond" w:eastAsia="Times New Roman" w:hAnsi="Garamond" w:cs="Times New Roman"/>
          <w:kern w:val="0"/>
          <w:sz w:val="22"/>
          <w:szCs w:val="22"/>
          <w14:ligatures w14:val="none"/>
        </w:rPr>
        <w:t xml:space="preserve">. Prepared samples were analyzed at the University of Utah Strontium Isotope Laboratory using laser ablation inductively coupled plasma mass spectrometry (LA-ICP-MS). Laser ablation was conducted along a transect from the otolith core to just beyond the onset of marine </w:t>
      </w:r>
      <w:r w:rsidR="009833DB" w:rsidRPr="005D5AB7">
        <w:rPr>
          <w:rFonts w:ascii="Garamond" w:eastAsia="Times New Roman" w:hAnsi="Garamond" w:cs="Times New Roman"/>
          <w:kern w:val="0"/>
          <w:sz w:val="22"/>
          <w:szCs w:val="22"/>
          <w14:ligatures w14:val="none"/>
        </w:rPr>
        <w:t xml:space="preserve">growth </w:t>
      </w:r>
      <w:r w:rsidR="009833DB" w:rsidRPr="005D5AB7">
        <w:rPr>
          <w:rFonts w:ascii="Garamond" w:hAnsi="Garamond" w:cstheme="majorHAnsi"/>
          <w:sz w:val="22"/>
          <w:szCs w:val="22"/>
        </w:rPr>
        <w:t xml:space="preserve">using a 53 </w:t>
      </w:r>
      <w:r w:rsidR="009833DB" w:rsidRPr="005D5AB7">
        <w:rPr>
          <w:rFonts w:ascii="Garamond" w:hAnsi="Garamond" w:cstheme="majorHAnsi"/>
          <w:sz w:val="22"/>
          <w:szCs w:val="22"/>
        </w:rPr>
        <w:sym w:font="Symbol" w:char="F06D"/>
      </w:r>
      <w:r w:rsidR="009833DB" w:rsidRPr="005D5AB7">
        <w:rPr>
          <w:rFonts w:ascii="Garamond" w:hAnsi="Garamond" w:cstheme="majorHAnsi"/>
          <w:sz w:val="22"/>
          <w:szCs w:val="22"/>
        </w:rPr>
        <w:t>m diameter beam and scanning at 2</w:t>
      </w:r>
      <w:r w:rsidR="009833DB" w:rsidRPr="005D5AB7">
        <w:rPr>
          <w:rFonts w:ascii="Garamond" w:hAnsi="Garamond" w:cstheme="majorHAnsi"/>
          <w:sz w:val="22"/>
          <w:szCs w:val="22"/>
        </w:rPr>
        <w:sym w:font="Symbol" w:char="F06D"/>
      </w:r>
      <w:r w:rsidR="009833DB" w:rsidRPr="005D5AB7">
        <w:rPr>
          <w:rFonts w:ascii="Garamond" w:hAnsi="Garamond" w:cstheme="majorHAnsi"/>
          <w:sz w:val="22"/>
          <w:szCs w:val="22"/>
        </w:rPr>
        <w:t xml:space="preserve">m/second </w:t>
      </w:r>
      <w:r w:rsidR="009833DB" w:rsidRPr="005D5AB7">
        <w:rPr>
          <w:rFonts w:ascii="Garamond" w:hAnsi="Garamond" w:cstheme="majorHAnsi"/>
          <w:sz w:val="22"/>
          <w:szCs w:val="22"/>
        </w:rPr>
        <w:fldChar w:fldCharType="begin"/>
      </w:r>
      <w:r w:rsidR="00A26A50">
        <w:rPr>
          <w:rFonts w:ascii="Garamond" w:hAnsi="Garamond" w:cstheme="majorHAnsi"/>
          <w:sz w:val="22"/>
          <w:szCs w:val="22"/>
        </w:rPr>
        <w:instrText xml:space="preserve"> ADDIN ZOTERO_ITEM CSL_CITATION {"citationID":"nvLrB1dQ","properties":{"formattedCitation":"(Brennan et al., 2015; Zimmerman &amp; Reeves, 2002)","plainCitation":"(Brennan et al., 2015; Zimmerman &amp; Reeves, 2002)","dontUpdate":true,"noteIndex":0},"citationItems":[{"id":"h4h2qxOD/ChWvHkvk","uris":["http://zotero.org/users/8421274/items/IY3FLHLM"],"itemData":{"id":915,"type":"article-journal","abstract":"Strontium isotopes simultaneously delineate fine-scale natal habitats and migrations of Pacific salmon harvested during a coastal commercial fishery., Highly migratory organisms present major challenges to conservation efforts. This is especially true for exploited anadromous fish species, which exhibit long-range dispersals from natal sites, complex population structures, and extensive mixing of distinct populations during exploitation. By tracing the migratory histories of individual Chinook salmon caught in fisheries using strontium isotopes, we determined the relative production of natal habitats at fine spatial scales and different life histories. Although strontium isotopes have been widely used in provenance research, we present a new robust framework to simultaneously assess natal sources and migrations of individuals within fishery harvests through time. Our results pave the way for investigating how fine-scale habitat production and life histories of salmon respond to perturbations—providing crucial insights for conservation.","container-title":"Science Advances","DOI":"10.1126/sciadv.1400124","ISSN":"2375-2548","issue":"4","journalAbbreviation":"Sci Adv","note":"PMID: 26601173\nPMCID: PMC4640640","page":"e1400124","source":"PubMed Central","title":"Strontium isotopes delineate fine-scale natal origins and migration histories of Pacific salmon","volume":"1","author":[{"family":"Brennan","given":"Sean R."},{"family":"Zimmerman","given":"Christian E."},{"family":"Fernandez","given":"Diego P."},{"family":"Cerling","given":"Thure E."},{"family":"McPhee","given":"Megan V."},{"family":"Wooller","given":"Matthew J."}],"issued":{"date-parts":[["2015",5,15]]}}},{"id":4132,"uris":["http://zotero.org/users/8421274/items/5YINANGC"],"itemData":{"id":4132,"type":"article-journal","abstract":"Comparisons of strontium:calcium (Sr: Ca) ratios in otolith primordia and freshwater growth regions were used to identify the progeny of steelhead Oncorhynchus mykiss (anadromous rainbow trout) and resident rainbow trout in the Deschutes River, Oregon. We cultured progeny of known adult steelhead and resident rainbow trout to confirm the relationship between Sr:Ca ratios in otolith primordia and the life history of the maternal parent. The mean (±SD) Sr:Ca ratio was significantly higher in the otolith primordia of the progeny of steelhead (0.001461 ± 0.00029; n = 100) than in those of the progeny of resident rainbow trout (0.000829 ± 0.000012; n = 100). We used comparisons of Sr:Ca ratios in the primordia and first-summer growth regions of otoliths to determine the maternal origin of unknown O. mykiss juveniles (n = 272) collected from rearing habitats within the main-stem Deschutes River and tributary rearing habitats and thus to ascertain the relative proportion of each life history morph in each rearing habitat. Resident rainbow trout fry dominated the bimonthly samples collected from main-stem rearing habitats between May and November 1995. Steelhead fry dominated samples collected from below waterfalls on two tributaries in 1996 and 1998.","container-title":"Transactions of the American Fisheries Society","DOI":"10.1577/1548-8659(2002)131&lt;0986:IOSARR&gt;2.0.CO;2","ISSN":"0002-8487","issue":"5","note":"publisher: Taylor &amp; Francis\n_eprint: https://doi.org/10.1577/1548-8659(2002)131&lt;0986:IOSARR&gt;2.0.CO;2","page":"986-993","source":"Taylor and Francis+NEJM","title":"Identification of Steelhead and Resident Rainbow Trout Progeny in the Deschutes River, Oregon, Revealed with Otolith Microchemistry","volume":"131","author":[{"family":"Zimmerman","given":"Christian E."},{"family":"Reeves","given":"Gordon H."}],"issued":{"date-parts":[["2002",9,1]]}}}],"schema":"https://github.com/citation-style-language/schema/raw/master/csl-citation.json"} </w:instrText>
      </w:r>
      <w:r w:rsidR="009833DB" w:rsidRPr="005D5AB7">
        <w:rPr>
          <w:rFonts w:ascii="Garamond" w:hAnsi="Garamond" w:cstheme="majorHAnsi"/>
          <w:sz w:val="22"/>
          <w:szCs w:val="22"/>
        </w:rPr>
        <w:fldChar w:fldCharType="separate"/>
      </w:r>
      <w:r w:rsidR="009833DB" w:rsidRPr="005D5AB7">
        <w:rPr>
          <w:rFonts w:ascii="Garamond" w:hAnsi="Garamond" w:cstheme="majorHAnsi"/>
          <w:noProof/>
          <w:sz w:val="22"/>
          <w:szCs w:val="22"/>
        </w:rPr>
        <w:t>(Brennan et al., 2015)</w:t>
      </w:r>
      <w:r w:rsidR="009833DB" w:rsidRPr="005D5AB7">
        <w:rPr>
          <w:rFonts w:ascii="Garamond" w:hAnsi="Garamond" w:cstheme="majorHAnsi"/>
          <w:sz w:val="22"/>
          <w:szCs w:val="22"/>
        </w:rPr>
        <w:fldChar w:fldCharType="end"/>
      </w:r>
      <w:r w:rsidR="009833DB">
        <w:rPr>
          <w:rFonts w:ascii="Garamond" w:eastAsia="Times New Roman" w:hAnsi="Garamond" w:cs="Times New Roman"/>
          <w:kern w:val="0"/>
          <w:sz w:val="22"/>
          <w:szCs w:val="22"/>
          <w14:ligatures w14:val="none"/>
        </w:rPr>
        <w:t xml:space="preserve">. </w:t>
      </w:r>
      <w:r w:rsidR="009833DB" w:rsidRPr="006D1917">
        <w:rPr>
          <w:rFonts w:ascii="Garamond" w:eastAsia="Times New Roman" w:hAnsi="Garamond" w:cs="Times New Roman"/>
          <w:kern w:val="0"/>
          <w:sz w:val="22"/>
          <w:szCs w:val="22"/>
          <w14:ligatures w14:val="none"/>
        </w:rPr>
        <w:t>The result</w:t>
      </w:r>
      <w:r w:rsidR="00E212FE">
        <w:rPr>
          <w:rFonts w:ascii="Garamond" w:eastAsia="Times New Roman" w:hAnsi="Garamond" w:cs="Times New Roman"/>
          <w:kern w:val="0"/>
          <w:sz w:val="22"/>
          <w:szCs w:val="22"/>
          <w14:ligatures w14:val="none"/>
        </w:rPr>
        <w:t>ing</w:t>
      </w:r>
      <w:r w:rsidR="009833DB" w:rsidRPr="006D1917">
        <w:rPr>
          <w:rFonts w:ascii="Garamond" w:eastAsia="Times New Roman" w:hAnsi="Garamond" w:cs="Times New Roman"/>
          <w:kern w:val="0"/>
          <w:sz w:val="22"/>
          <w:szCs w:val="22"/>
          <w14:ligatures w14:val="none"/>
        </w:rPr>
        <w:t xml:space="preserve"> </w:t>
      </w:r>
      <w:r w:rsidR="009833DB">
        <w:rPr>
          <w:rFonts w:ascii="Garamond" w:eastAsia="Times New Roman" w:hAnsi="Garamond" w:cs="Times New Roman"/>
          <w:kern w:val="0"/>
          <w:sz w:val="22"/>
          <w:szCs w:val="22"/>
          <w14:ligatures w14:val="none"/>
        </w:rPr>
        <w:t xml:space="preserve">data represent a continuously integrated </w:t>
      </w:r>
      <w:r w:rsidR="009833DB" w:rsidRPr="006D1917">
        <w:rPr>
          <w:rFonts w:ascii="Garamond" w:eastAsia="Times New Roman" w:hAnsi="Garamond" w:cs="Times New Roman"/>
          <w:kern w:val="0"/>
          <w:sz w:val="22"/>
          <w:szCs w:val="22"/>
          <w14:ligatures w14:val="none"/>
        </w:rPr>
        <w:t xml:space="preserve"> measurement of Sr</w:t>
      </w:r>
      <w:r w:rsidR="009833DB">
        <w:rPr>
          <w:rFonts w:ascii="Garamond" w:eastAsia="Times New Roman" w:hAnsi="Garamond" w:cs="Times New Roman"/>
          <w:kern w:val="0"/>
          <w:sz w:val="22"/>
          <w:szCs w:val="22"/>
          <w:vertAlign w:val="superscript"/>
          <w14:ligatures w14:val="none"/>
        </w:rPr>
        <w:t>87</w:t>
      </w:r>
      <w:r w:rsidR="009833DB">
        <w:rPr>
          <w:rFonts w:ascii="Garamond" w:eastAsia="Times New Roman" w:hAnsi="Garamond" w:cs="Times New Roman"/>
          <w:kern w:val="0"/>
          <w:sz w:val="22"/>
          <w:szCs w:val="22"/>
          <w14:ligatures w14:val="none"/>
        </w:rPr>
        <w:t>/Sr</w:t>
      </w:r>
      <w:r w:rsidR="009833DB">
        <w:rPr>
          <w:rFonts w:ascii="Garamond" w:eastAsia="Times New Roman" w:hAnsi="Garamond" w:cs="Times New Roman"/>
          <w:kern w:val="0"/>
          <w:sz w:val="22"/>
          <w:szCs w:val="22"/>
          <w:vertAlign w:val="superscript"/>
          <w14:ligatures w14:val="none"/>
        </w:rPr>
        <w:t>86</w:t>
      </w:r>
      <w:r w:rsidR="009833DB" w:rsidRPr="006D1917">
        <w:rPr>
          <w:rFonts w:ascii="Garamond" w:eastAsia="Times New Roman" w:hAnsi="Garamond" w:cs="Times New Roman"/>
          <w:kern w:val="0"/>
          <w:sz w:val="22"/>
          <w:szCs w:val="22"/>
          <w14:ligatures w14:val="none"/>
        </w:rPr>
        <w:t xml:space="preserve"> </w:t>
      </w:r>
      <w:r w:rsidR="009833DB">
        <w:rPr>
          <w:rFonts w:ascii="Garamond" w:eastAsia="Times New Roman" w:hAnsi="Garamond" w:cs="Times New Roman"/>
          <w:kern w:val="0"/>
          <w:sz w:val="22"/>
          <w:szCs w:val="22"/>
          <w14:ligatures w14:val="none"/>
        </w:rPr>
        <w:t xml:space="preserve">from early development until marine entry </w:t>
      </w:r>
      <w:r w:rsidR="009833DB">
        <w:rPr>
          <w:rFonts w:ascii="Garamond" w:eastAsia="Times New Roman" w:hAnsi="Garamond" w:cs="Times New Roman"/>
          <w:kern w:val="0"/>
          <w:sz w:val="22"/>
          <w:szCs w:val="22"/>
          <w14:ligatures w14:val="none"/>
        </w:rPr>
        <w:fldChar w:fldCharType="begin"/>
      </w:r>
      <w:r w:rsidR="00A26A50">
        <w:rPr>
          <w:rFonts w:ascii="Garamond" w:eastAsia="Times New Roman" w:hAnsi="Garamond" w:cs="Times New Roman"/>
          <w:kern w:val="0"/>
          <w:sz w:val="22"/>
          <w:szCs w:val="22"/>
          <w14:ligatures w14:val="none"/>
        </w:rPr>
        <w:instrText xml:space="preserve"> ADDIN ZOTERO_ITEM CSL_CITATION {"citationID":"drNJXJRw","properties":{"formattedCitation":"(Brennan et al., 2015; Campana, 1999; Capo et al., 1998)","plainCitation":"(Brennan et al., 2015; Campana, 1999; Capo et al., 1998)","noteIndex":0},"citationItems":[{"id":"h4h2qxOD/ChWvHkvk","uris":["http://zotero.org/users/8421274/items/IY3FLHLM"],"itemData":{"id":"dI01jIsp/qEdWN4pU","type":"article-journal","abstract":"Strontium isotopes simultaneously delineate fine-scale natal habitats and migrations of Pacific salmon harvested during a coastal commercial fishery., Highly migratory organisms present major challenges to conservation efforts. This is especially true for exploited anadromous fish species, which exhibit long-range dispersals from natal sites, complex population structures, and extensive mixing of distinct populations during exploitation. By tracing the migratory histories of individual Chinook salmon caught in fisheries using strontium isotopes, we determined the relative production of natal habitats at fine spatial scales and different life histories. Although strontium isotopes have been widely used in provenance research, we present a new robust framework to simultaneously assess natal sources and migrations of individuals within fishery harvests through time. Our results pave the way for investigating how fine-scale habitat production and life histories of salmon respond to perturbations—providing crucial insights for conservation.","container-title":"Science Advances","DOI":"10.1126/sciadv.1400124","ISSN":"2375-2548","issue":"4","journalAbbreviation":"Sci Adv","note":"PMID: 26601173\nPMCID: PMC4640640","page":"e1400124","source":"PubMed Central","title":"Strontium isotopes delineate fine-scale natal origins and migration histories of Pacific salmon","volume":"1","author":[{"family":"Brennan","given":"Sean R."},{"family":"Zimmerman","given":"Christian E."},{"family":"Fernandez","given":"Diego P."},{"family":"Cerling","given":"Thure E."},{"family":"McPhee","given":"Megan V."},{"family":"Wooller","given":"Matthew J."}],"issued":{"date-parts":[["2015",5,15]]}}},{"id":1441,"uris":["http://zotero.org/users/8421274/items/PHNAKZ8D"],"itemData":{"id":1441,"type":"article-journal","abstract":"The fish otolith (earstone) has long been known as a timekeeper, but interest in its use as a metabolically inert environmental recorder has accelerated in recent years. In part due to technological advances, applications such as stock identification, determination of rnigralon pathways, reconstruction of temperature and salinity history, age validation, detection of anadromy, use as a natural tag and chemical mass marking have been developed, some of which are difficult or impossible to implement using alternative techniques. Microsamphg and the latest advances in beam-based probes allow many elemental assays to be coupled with daily or annual growth increments, thus providing a detailed chronologcal record of the environment. However, few workers have critically assessed the assumptions upon which the environmental reconstructions are based, or considered the possibility that elemental incorporation into the otolith may proceed differently than that into other calcified structures. This paper reviews current applications and their assumptions and suggests future directions. Particular attention is given to the premises that the elemental and isotopic composition of the otolith reflects that of the environment, and the effect of physiological filters on the resulting composition. The roles of temperature, elemental uptake into the fish and the process of otolith crystahzation are also assessed. Drawing upon recent advances in geochemistry and paleoclirnate research as points of contrast, it appears that not all applications of otolith chemistry are firmly based, although others are destined to become powerful and perhaps routine tools for the mainstream fish biologst.","container-title":"Marine Ecology Progress Series","DOI":"10.3354/meps188263","ISSN":"0171-8630, 1616-1599","journalAbbreviation":"Mar. Ecol. Prog. Ser.","language":"en","page":"263-297","source":"DOI.org (Crossref)","title":"Chemistry and composition of fish otoliths:pathways, mechanisms and applications","title-short":"Chemistry and composition of fish otoliths","volume":"188","author":[{"family":"Campana","given":"Se"}],"issued":{"date-parts":[["1999"]]}}},{"id":1457,"uris":["http://zotero.org/users/8421274/items/TDIQBP7K"],"itemData":{"id":1457,"type":"article-journal","abstract":"The strontium (Sr) isotope method can be a powerful tool in studies of chemical weathering and soil genesis, cation provenance and mobility, and the chronostratigraphic correlation of marine sediments. It is a sensitive geochemical tracer, applicable to large-scale ecosystem studies as well as to centimeter-scaled examination of cation mobility within a soil profile. The 87Sr/86Sr ratios of natural materials reflect the sources of strontium available during their formation. Isotopically distinct inputs from precipitation, dryfall, soil parent material, and surface or groundwater allow determination of the relative proportions of those materials entering or leaving an ecosystem. The isotopic compositions of labile (soil exchange complex and soil solution) strontium and Sr in vegetation reflect the sources of cations available to plants. Strontium isotopes can be used to track the biogeochemical cycling of nutrient cations such as calcium. The extent of cation contributions from in situ weathering and external additions to soil from dust and rain can also be resolved with this method. In this paper, we review the geochemistry and isotopic systematics of strontium, and discuss the use of this method as a tracer of earth surface processes.","container-title":"Geoderma","DOI":"10.1016/S0016-7061(97)00102-X","ISSN":"0016-7061","issue":"1","journalAbbreviation":"Geoderma","language":"en","page":"197-225","source":"ScienceDirect","title":"Strontium isotopes as tracers of ecosystem processes: theory and methods","title-short":"Strontium isotopes as tracers of ecosystem processes","volume":"82","author":[{"family":"Capo","given":"Rosemary C."},{"family":"Stewart","given":"Brian W."},{"family":"Chadwick","given":"Oliver A."}],"issued":{"date-parts":[["1998",2,1]]}}}],"schema":"https://github.com/citation-style-language/schema/raw/master/csl-citation.json"} </w:instrText>
      </w:r>
      <w:r w:rsidR="009833DB">
        <w:rPr>
          <w:rFonts w:ascii="Garamond" w:eastAsia="Times New Roman" w:hAnsi="Garamond" w:cs="Times New Roman"/>
          <w:kern w:val="0"/>
          <w:sz w:val="22"/>
          <w:szCs w:val="22"/>
          <w14:ligatures w14:val="none"/>
        </w:rPr>
        <w:fldChar w:fldCharType="separate"/>
      </w:r>
      <w:r w:rsidR="009833DB">
        <w:rPr>
          <w:rFonts w:ascii="Garamond" w:eastAsia="Times New Roman" w:hAnsi="Garamond" w:cs="Times New Roman"/>
          <w:noProof/>
          <w:kern w:val="0"/>
          <w:sz w:val="22"/>
          <w:szCs w:val="22"/>
          <w14:ligatures w14:val="none"/>
        </w:rPr>
        <w:t>(Brennan et al., 2015; Campana, 1999; Capo et al., 1998)</w:t>
      </w:r>
      <w:r w:rsidR="009833DB">
        <w:rPr>
          <w:rFonts w:ascii="Garamond" w:eastAsia="Times New Roman" w:hAnsi="Garamond" w:cs="Times New Roman"/>
          <w:kern w:val="0"/>
          <w:sz w:val="22"/>
          <w:szCs w:val="22"/>
          <w14:ligatures w14:val="none"/>
        </w:rPr>
        <w:fldChar w:fldCharType="end"/>
      </w:r>
      <w:r w:rsidR="009833DB">
        <w:rPr>
          <w:rFonts w:ascii="Garamond" w:eastAsia="Times New Roman" w:hAnsi="Garamond" w:cs="Times New Roman"/>
          <w:kern w:val="0"/>
          <w:sz w:val="22"/>
          <w:szCs w:val="22"/>
          <w14:ligatures w14:val="none"/>
        </w:rPr>
        <w:t xml:space="preserve">. </w:t>
      </w:r>
      <w:r w:rsidR="009833DB" w:rsidRPr="006D1917">
        <w:rPr>
          <w:rFonts w:ascii="Garamond" w:eastAsia="Times New Roman" w:hAnsi="Garamond" w:cs="Times New Roman"/>
          <w:kern w:val="0"/>
          <w:sz w:val="22"/>
          <w:szCs w:val="22"/>
          <w14:ligatures w14:val="none"/>
        </w:rPr>
        <w:t xml:space="preserve">From these data, the </w:t>
      </w:r>
      <w:r w:rsidR="00C50332" w:rsidRPr="006D1917">
        <w:rPr>
          <w:rFonts w:ascii="Garamond" w:eastAsia="Times New Roman" w:hAnsi="Garamond" w:cs="Times New Roman"/>
          <w:kern w:val="0"/>
          <w:sz w:val="22"/>
          <w:szCs w:val="22"/>
          <w14:ligatures w14:val="none"/>
        </w:rPr>
        <w:t>Sr</w:t>
      </w:r>
      <w:r w:rsidR="00C50332">
        <w:rPr>
          <w:rFonts w:ascii="Garamond" w:eastAsia="Times New Roman" w:hAnsi="Garamond" w:cs="Times New Roman"/>
          <w:kern w:val="0"/>
          <w:sz w:val="22"/>
          <w:szCs w:val="22"/>
          <w:vertAlign w:val="superscript"/>
          <w14:ligatures w14:val="none"/>
        </w:rPr>
        <w:t>87</w:t>
      </w:r>
      <w:r w:rsidR="00C50332">
        <w:rPr>
          <w:rFonts w:ascii="Garamond" w:eastAsia="Times New Roman" w:hAnsi="Garamond" w:cs="Times New Roman"/>
          <w:kern w:val="0"/>
          <w:sz w:val="22"/>
          <w:szCs w:val="22"/>
          <w14:ligatures w14:val="none"/>
        </w:rPr>
        <w:t>/Sr</w:t>
      </w:r>
      <w:r w:rsidR="00C50332">
        <w:rPr>
          <w:rFonts w:ascii="Garamond" w:eastAsia="Times New Roman" w:hAnsi="Garamond" w:cs="Times New Roman"/>
          <w:kern w:val="0"/>
          <w:sz w:val="22"/>
          <w:szCs w:val="22"/>
          <w:vertAlign w:val="superscript"/>
          <w14:ligatures w14:val="none"/>
        </w:rPr>
        <w:t>86</w:t>
      </w:r>
      <w:r w:rsidR="00C50332" w:rsidRPr="006D1917">
        <w:rPr>
          <w:rFonts w:ascii="Garamond" w:eastAsia="Times New Roman" w:hAnsi="Garamond" w:cs="Times New Roman"/>
          <w:kern w:val="0"/>
          <w:sz w:val="22"/>
          <w:szCs w:val="22"/>
          <w14:ligatures w14:val="none"/>
        </w:rPr>
        <w:t xml:space="preserve"> </w:t>
      </w:r>
      <w:r w:rsidR="00E212FE">
        <w:rPr>
          <w:rFonts w:ascii="Garamond" w:eastAsia="Times New Roman" w:hAnsi="Garamond" w:cs="Times New Roman"/>
          <w:kern w:val="0"/>
          <w:sz w:val="22"/>
          <w:szCs w:val="22"/>
          <w14:ligatures w14:val="none"/>
        </w:rPr>
        <w:t xml:space="preserve">value associated with </w:t>
      </w:r>
      <w:r w:rsidR="00E212FE">
        <w:rPr>
          <w:rFonts w:ascii="Garamond" w:eastAsia="Times New Roman" w:hAnsi="Garamond" w:cs="Times New Roman"/>
          <w:kern w:val="0"/>
          <w:sz w:val="22"/>
          <w:szCs w:val="22"/>
          <w14:ligatures w14:val="none"/>
        </w:rPr>
        <w:lastRenderedPageBreak/>
        <w:t xml:space="preserve">the </w:t>
      </w:r>
      <w:r w:rsidR="009833DB" w:rsidRPr="006D1917">
        <w:rPr>
          <w:rFonts w:ascii="Garamond" w:eastAsia="Times New Roman" w:hAnsi="Garamond" w:cs="Times New Roman"/>
          <w:kern w:val="0"/>
          <w:sz w:val="22"/>
          <w:szCs w:val="22"/>
          <w14:ligatures w14:val="none"/>
        </w:rPr>
        <w:t>natal freshwater rearing period was extracted by examining</w:t>
      </w:r>
      <w:r w:rsidR="009833DB">
        <w:rPr>
          <w:rFonts w:ascii="Garamond" w:eastAsia="Times New Roman" w:hAnsi="Garamond" w:cs="Times New Roman"/>
          <w:kern w:val="0"/>
          <w:sz w:val="22"/>
          <w:szCs w:val="22"/>
          <w14:ligatures w14:val="none"/>
        </w:rPr>
        <w:t xml:space="preserve"> patterns of </w:t>
      </w:r>
      <w:r w:rsidR="009833DB" w:rsidRPr="006D1917">
        <w:rPr>
          <w:rFonts w:ascii="Garamond" w:eastAsia="Times New Roman" w:hAnsi="Garamond" w:cs="Times New Roman"/>
          <w:kern w:val="0"/>
          <w:sz w:val="22"/>
          <w:szCs w:val="22"/>
          <w14:ligatures w14:val="none"/>
        </w:rPr>
        <w:t>change in Sr</w:t>
      </w:r>
      <w:r w:rsidR="009833DB">
        <w:rPr>
          <w:rFonts w:ascii="Garamond" w:eastAsia="Times New Roman" w:hAnsi="Garamond" w:cs="Times New Roman"/>
          <w:kern w:val="0"/>
          <w:sz w:val="22"/>
          <w:szCs w:val="22"/>
          <w:vertAlign w:val="superscript"/>
          <w14:ligatures w14:val="none"/>
        </w:rPr>
        <w:t>87</w:t>
      </w:r>
      <w:r w:rsidR="009833DB">
        <w:rPr>
          <w:rFonts w:ascii="Garamond" w:eastAsia="Times New Roman" w:hAnsi="Garamond" w:cs="Times New Roman"/>
          <w:kern w:val="0"/>
          <w:sz w:val="22"/>
          <w:szCs w:val="22"/>
          <w14:ligatures w14:val="none"/>
        </w:rPr>
        <w:t>/Sr</w:t>
      </w:r>
      <w:r w:rsidR="009833DB">
        <w:rPr>
          <w:rFonts w:ascii="Garamond" w:eastAsia="Times New Roman" w:hAnsi="Garamond" w:cs="Times New Roman"/>
          <w:kern w:val="0"/>
          <w:sz w:val="22"/>
          <w:szCs w:val="22"/>
          <w:vertAlign w:val="superscript"/>
          <w14:ligatures w14:val="none"/>
        </w:rPr>
        <w:t>86</w:t>
      </w:r>
      <w:r w:rsidR="009833DB" w:rsidRPr="006D1917">
        <w:rPr>
          <w:rFonts w:ascii="Garamond" w:eastAsia="Times New Roman" w:hAnsi="Garamond" w:cs="Times New Roman"/>
          <w:kern w:val="0"/>
          <w:sz w:val="22"/>
          <w:szCs w:val="22"/>
          <w14:ligatures w14:val="none"/>
        </w:rPr>
        <w:t xml:space="preserve"> and Sr</w:t>
      </w:r>
      <w:r w:rsidR="009833DB">
        <w:rPr>
          <w:rFonts w:ascii="Garamond" w:eastAsia="Times New Roman" w:hAnsi="Garamond" w:cs="Times New Roman"/>
          <w:kern w:val="0"/>
          <w:sz w:val="22"/>
          <w:szCs w:val="22"/>
          <w:vertAlign w:val="superscript"/>
          <w14:ligatures w14:val="none"/>
        </w:rPr>
        <w:t>88</w:t>
      </w:r>
      <w:r w:rsidR="009833DB" w:rsidRPr="006D1917">
        <w:rPr>
          <w:rFonts w:ascii="Garamond" w:eastAsia="Times New Roman" w:hAnsi="Garamond" w:cs="Times New Roman"/>
          <w:kern w:val="0"/>
          <w:sz w:val="22"/>
          <w:szCs w:val="22"/>
          <w14:ligatures w14:val="none"/>
        </w:rPr>
        <w:t xml:space="preserve"> </w:t>
      </w:r>
      <w:r w:rsidR="009833DB">
        <w:rPr>
          <w:rFonts w:ascii="Garamond" w:eastAsia="Times New Roman" w:hAnsi="Garamond" w:cs="Times New Roman"/>
          <w:kern w:val="0"/>
          <w:sz w:val="22"/>
          <w:szCs w:val="22"/>
          <w14:ligatures w14:val="none"/>
        </w:rPr>
        <w:t>between the core and freshwater region</w:t>
      </w:r>
      <w:r w:rsidR="00E212FE">
        <w:rPr>
          <w:rFonts w:ascii="Garamond" w:eastAsia="Times New Roman" w:hAnsi="Garamond" w:cs="Times New Roman"/>
          <w:kern w:val="0"/>
          <w:sz w:val="22"/>
          <w:szCs w:val="22"/>
          <w14:ligatures w14:val="none"/>
        </w:rPr>
        <w:t xml:space="preserve">, </w:t>
      </w:r>
      <w:r w:rsidR="009833DB" w:rsidRPr="006D1917">
        <w:rPr>
          <w:rFonts w:ascii="Garamond" w:eastAsia="Times New Roman" w:hAnsi="Garamond" w:cs="Times New Roman"/>
          <w:kern w:val="0"/>
          <w:sz w:val="22"/>
          <w:szCs w:val="22"/>
          <w14:ligatures w14:val="none"/>
        </w:rPr>
        <w:t>morphological features of the otolith visible among the ablation path</w:t>
      </w:r>
      <w:r w:rsidR="00E212FE">
        <w:rPr>
          <w:rFonts w:ascii="Garamond" w:eastAsia="Times New Roman" w:hAnsi="Garamond" w:cs="Times New Roman"/>
          <w:kern w:val="0"/>
          <w:sz w:val="22"/>
          <w:szCs w:val="22"/>
          <w14:ligatures w14:val="none"/>
        </w:rPr>
        <w:t xml:space="preserve">, and known distances from the core to onset of the freshwater signal </w:t>
      </w:r>
      <w:r w:rsidR="00C95028">
        <w:rPr>
          <w:rFonts w:ascii="Garamond" w:eastAsia="Times New Roman" w:hAnsi="Garamond" w:cs="Times New Roman"/>
          <w:kern w:val="0"/>
          <w:sz w:val="22"/>
          <w:szCs w:val="22"/>
          <w14:ligatures w14:val="none"/>
        </w:rPr>
        <w:fldChar w:fldCharType="begin"/>
      </w:r>
      <w:r w:rsidR="00C95028">
        <w:rPr>
          <w:rFonts w:ascii="Garamond" w:eastAsia="Times New Roman" w:hAnsi="Garamond" w:cs="Times New Roman"/>
          <w:kern w:val="0"/>
          <w:sz w:val="22"/>
          <w:szCs w:val="22"/>
          <w14:ligatures w14:val="none"/>
        </w:rPr>
        <w:instrText xml:space="preserve"> ADDIN ZOTERO_ITEM CSL_CITATION {"citationID":"9Eo1mxW7","properties":{"formattedCitation":"(Brennan, Schindler, et al., 2019; Chittaro et al., 2023)","plainCitation":"(Brennan, Schindler, et al., 2019; Chittaro et al., 2023)","noteIndex":0},"citationItems":[{"id":3844,"uris":["http://zotero.org/users/8421274/items/RXD5IA9D"],"itemData":{"id":3844,"type":"article-journal","abstract":"Watersheds are complex mosaics of habitats whose conditions vary across space and time as landscape features filter overriding climate forcing, yet the extent to which the reliability of ecosystem services depends on these dynamics remains unknown. We quantified how shifting habitat mosaics are expressed across a range of spatial scales within a large, free-flowing river, and how they stabilize the production of Pacific salmon that support valuable fisheries. The strontium isotope records of ear stones (otoliths) show that the relative productivity of locations across the river network, as both natal- and juvenile-rearing habitat, varies widely among years and that this variability is expressed across a broad range of spatial scales, ultimately stabilizing the interannual production of fish at the scale of the entire basin.","container-title":"Science","DOI":"10.1126/science.aav4313","issue":"6442","note":"publisher: American Association for the Advancement of Science","page":"783-786","source":"science.org (Atypon)","title":"Shifting habitat mosaics and fish production across river basins","volume":"364","author":[{"family":"Brennan","given":"Sean R."},{"family":"Schindler","given":"Daniel E."},{"family":"Cline","given":"Timothy J."},{"family":"Walsworth","given":"Timothy E."},{"family":"Buck","given":"Greg"},{"family":"Fernandez","given":"Diego P."}],"issued":{"date-parts":[["2019"]]}}},{"id":4257,"uris":["http://zotero.org/users/8421274/items/TAJ7RSQZ"],"itemData":{"id":4257,"type":"article-journal","abstract":"Effective species management often requires understanding patterns of movement and habitat use. A common approach in identifying where individuals reside relies upon chemical tracers from the environment that are incorporated into an individual's tissues. For fish, isotopes in their otoliths, specifically the portion of their otolith formed during their larval stage, have been used to identify the natal origin. Complicating this work, however, is the fact that during this life stage, there is a shift in the source of isotopes deposited onto the growing otolith from maternally to environmentally derived. The objective of this study was to identify the portion of the otolith representing this transition to environmentally derived isotopes so as to accurately investigate questions of natal origin for a threatened population of fall Chinook salmon (Oncorhynchus tshawytscha). We exposed developing larvae to four treatments that differed in terms of their water strontium isotope ratio (87Sr/86Sr) and used change-point analysis of otolith 87Sr/86Sr and strontium to calcium ratio (Sr/Ca) to identify the otolith radius corresponding to the transition to environmentally derived isotopes. Our results indicated this transition occurred, on average, at 132 μm (87Sr/86Sr; ±50 μm standard deviation) and 127 μm (Sr/Ca; ±29 μm) from the otolith core, which corresponded to the developmental time between hatching and exogenous feeding. A substantial proportion of our otoliths (i.e., 61%) did not show convergence between otolith and water 87Sr/86Sr by the end of the 113-day experiment, which was likely due to the dietary contribution of marine-based feed. Therefore, we were unable to recommend an otolith radius to target for the purposes of reconstructing natal origin apart from being beyond approximately 130 μm.","container-title":"Ecology of Freshwater Fish","DOI":"10.1111/eff.12673","ISSN":"1600-0633","issue":"1","language":"en","license":"© 2022 John Wiley &amp; Sons Ltd. This article has been contributed to by U.S. Government employees and their work is in the public domain in the USA.","note":"_eprint: https://onlinelibrary.wiley.com/doi/pdf/10.1111/eff.12673","page":"107-119","source":"Wiley Online Library","title":"The incorporation of environmentally derived 87Sr/86Sr and Sr/Ca in early otolith formation of Chinook salmon","volume":"32","author":[{"family":"Chittaro","given":"Paul"},{"family":"Hegg","given":"Jens"},{"family":"Fuhrman","given":"Abby"},{"family":"Robichaux","given":"Devin"},{"family":"Doung","given":"Rothboury"},{"family":"Beckman","given":"Brian"},{"family":"Fisher","given":"Chris"},{"family":"Vervoort","given":"Jeff"},{"family":"Kennedy","given":"Brian"}],"issued":{"date-parts":[["2023"]]}}}],"schema":"https://github.com/citation-style-language/schema/raw/master/csl-citation.json"} </w:instrText>
      </w:r>
      <w:r w:rsidR="00C95028">
        <w:rPr>
          <w:rFonts w:ascii="Garamond" w:eastAsia="Times New Roman" w:hAnsi="Garamond" w:cs="Times New Roman"/>
          <w:kern w:val="0"/>
          <w:sz w:val="22"/>
          <w:szCs w:val="22"/>
          <w14:ligatures w14:val="none"/>
        </w:rPr>
        <w:fldChar w:fldCharType="separate"/>
      </w:r>
      <w:r w:rsidR="00C95028">
        <w:rPr>
          <w:rFonts w:ascii="Garamond" w:eastAsia="Times New Roman" w:hAnsi="Garamond" w:cs="Times New Roman"/>
          <w:noProof/>
          <w:kern w:val="0"/>
          <w:sz w:val="22"/>
          <w:szCs w:val="22"/>
          <w14:ligatures w14:val="none"/>
        </w:rPr>
        <w:t>(Brennan, Schindler, et al., 2019; Chittaro et al., 2023)</w:t>
      </w:r>
      <w:r w:rsidR="00C95028">
        <w:rPr>
          <w:rFonts w:ascii="Garamond" w:eastAsia="Times New Roman" w:hAnsi="Garamond" w:cs="Times New Roman"/>
          <w:kern w:val="0"/>
          <w:sz w:val="22"/>
          <w:szCs w:val="22"/>
          <w14:ligatures w14:val="none"/>
        </w:rPr>
        <w:fldChar w:fldCharType="end"/>
      </w:r>
      <w:ins w:id="2" w:author="Benjamin J. Makhlouf" w:date="2025-07-26T13:45:00Z" w16du:dateUtc="2025-07-26T20:45:00Z">
        <w:r w:rsidR="00C95028">
          <w:rPr>
            <w:rFonts w:ascii="Garamond" w:eastAsia="Times New Roman" w:hAnsi="Garamond" w:cs="Times New Roman"/>
            <w:kern w:val="0"/>
            <w:sz w:val="22"/>
            <w:szCs w:val="22"/>
            <w14:ligatures w14:val="none"/>
          </w:rPr>
          <w:t xml:space="preserve">. </w:t>
        </w:r>
      </w:ins>
    </w:p>
    <w:p w14:paraId="619A1F68" w14:textId="77777777" w:rsidR="009833DB" w:rsidRDefault="009833DB" w:rsidP="009833DB">
      <w:pPr>
        <w:spacing w:before="100" w:beforeAutospacing="1" w:after="100" w:afterAutospacing="1" w:line="480" w:lineRule="auto"/>
        <w:rPr>
          <w:rFonts w:ascii="Garamond" w:eastAsia="Times New Roman" w:hAnsi="Garamond" w:cs="Times New Roman"/>
          <w:kern w:val="0"/>
          <w:sz w:val="22"/>
          <w:szCs w:val="22"/>
          <w14:ligatures w14:val="none"/>
        </w:rPr>
      </w:pPr>
      <w:proofErr w:type="spellStart"/>
      <w:r w:rsidRPr="006D1917">
        <w:rPr>
          <w:rFonts w:ascii="Garamond" w:eastAsia="Times New Roman" w:hAnsi="Garamond" w:cs="Times New Roman"/>
          <w:b/>
          <w:bCs/>
          <w:kern w:val="0"/>
          <w:sz w:val="22"/>
          <w:szCs w:val="22"/>
          <w14:ligatures w14:val="none"/>
        </w:rPr>
        <w:t>Isoscape</w:t>
      </w:r>
      <w:proofErr w:type="spellEnd"/>
      <w:r w:rsidRPr="006D1917">
        <w:rPr>
          <w:rFonts w:ascii="Garamond" w:eastAsia="Times New Roman" w:hAnsi="Garamond" w:cs="Times New Roman"/>
          <w:b/>
          <w:bCs/>
          <w:kern w:val="0"/>
          <w:sz w:val="22"/>
          <w:szCs w:val="22"/>
          <w14:ligatures w14:val="none"/>
        </w:rPr>
        <w:t xml:space="preserve"> Development</w:t>
      </w:r>
    </w:p>
    <w:p w14:paraId="5A871511" w14:textId="546AA585" w:rsidR="00AF7B74" w:rsidRDefault="00AB074C" w:rsidP="00AF7B74">
      <w:pPr>
        <w:spacing w:before="100" w:beforeAutospacing="1" w:after="100" w:afterAutospacing="1" w:line="480" w:lineRule="auto"/>
        <w:ind w:firstLine="720"/>
        <w:rPr>
          <w:rFonts w:ascii="Garamond" w:hAnsi="Garamond" w:cs="Times New Roman"/>
          <w:sz w:val="22"/>
          <w:szCs w:val="22"/>
        </w:rPr>
      </w:pPr>
      <w:r>
        <w:rPr>
          <w:rFonts w:ascii="Garamond" w:eastAsia="Times New Roman" w:hAnsi="Garamond" w:cs="Times New Roman"/>
          <w:kern w:val="0"/>
          <w:sz w:val="22"/>
          <w:szCs w:val="22"/>
          <w14:ligatures w14:val="none"/>
        </w:rPr>
        <w:t>We used an</w:t>
      </w:r>
      <w:r w:rsidR="00E212FE">
        <w:rPr>
          <w:rFonts w:ascii="Garamond" w:eastAsia="Times New Roman" w:hAnsi="Garamond" w:cs="Times New Roman"/>
          <w:kern w:val="0"/>
          <w:sz w:val="22"/>
          <w:szCs w:val="22"/>
          <w14:ligatures w14:val="none"/>
        </w:rPr>
        <w:t xml:space="preserve"> </w:t>
      </w:r>
      <w:proofErr w:type="spellStart"/>
      <w:r w:rsidR="00E212FE">
        <w:rPr>
          <w:rFonts w:ascii="Garamond" w:eastAsia="Times New Roman" w:hAnsi="Garamond" w:cs="Times New Roman"/>
          <w:kern w:val="0"/>
          <w:sz w:val="22"/>
          <w:szCs w:val="22"/>
          <w14:ligatures w14:val="none"/>
        </w:rPr>
        <w:t>isoscape</w:t>
      </w:r>
      <w:proofErr w:type="spellEnd"/>
      <w:r w:rsidR="00E212FE">
        <w:rPr>
          <w:rFonts w:ascii="Garamond" w:eastAsia="Times New Roman" w:hAnsi="Garamond" w:cs="Times New Roman"/>
          <w:kern w:val="0"/>
          <w:sz w:val="22"/>
          <w:szCs w:val="22"/>
          <w14:ligatures w14:val="none"/>
        </w:rPr>
        <w:t xml:space="preserve"> of the Kuskokwim river </w:t>
      </w:r>
      <w:r>
        <w:rPr>
          <w:rFonts w:ascii="Garamond" w:eastAsia="Times New Roman" w:hAnsi="Garamond" w:cs="Times New Roman"/>
          <w:kern w:val="0"/>
          <w:sz w:val="22"/>
          <w:szCs w:val="22"/>
          <w14:ligatures w14:val="none"/>
        </w:rPr>
        <w:t xml:space="preserve">basin </w:t>
      </w:r>
      <w:r w:rsidR="009C079F">
        <w:rPr>
          <w:rFonts w:ascii="Garamond" w:eastAsia="Times New Roman" w:hAnsi="Garamond" w:cs="Times New Roman"/>
          <w:kern w:val="0"/>
          <w:sz w:val="22"/>
          <w:szCs w:val="22"/>
          <w14:ligatures w14:val="none"/>
        </w:rPr>
        <w:t>constructed</w:t>
      </w:r>
      <w:r>
        <w:rPr>
          <w:rFonts w:ascii="Garamond" w:eastAsia="Times New Roman" w:hAnsi="Garamond" w:cs="Times New Roman"/>
          <w:kern w:val="0"/>
          <w:sz w:val="22"/>
          <w:szCs w:val="22"/>
          <w14:ligatures w14:val="none"/>
        </w:rPr>
        <w:t xml:space="preserve"> </w:t>
      </w:r>
      <w:r w:rsidR="009C079F">
        <w:rPr>
          <w:rFonts w:ascii="Garamond" w:eastAsia="Times New Roman" w:hAnsi="Garamond" w:cs="Times New Roman"/>
          <w:kern w:val="0"/>
          <w:sz w:val="22"/>
          <w:szCs w:val="22"/>
          <w14:ligatures w14:val="none"/>
        </w:rPr>
        <w:t xml:space="preserve">by </w:t>
      </w:r>
      <w:r>
        <w:rPr>
          <w:rFonts w:ascii="Garamond" w:eastAsia="Times New Roman" w:hAnsi="Garamond" w:cs="Times New Roman"/>
          <w:kern w:val="0"/>
          <w:sz w:val="22"/>
          <w:szCs w:val="22"/>
          <w14:ligatures w14:val="none"/>
        </w:rPr>
        <w:fldChar w:fldCharType="begin"/>
      </w:r>
      <w:r>
        <w:rPr>
          <w:rFonts w:ascii="Garamond" w:eastAsia="Times New Roman" w:hAnsi="Garamond" w:cs="Times New Roman"/>
          <w:kern w:val="0"/>
          <w:sz w:val="22"/>
          <w:szCs w:val="22"/>
          <w14:ligatures w14:val="none"/>
        </w:rPr>
        <w:instrText xml:space="preserve"> ADDIN ZOTERO_ITEM CSL_CITATION {"citationID":"W38QgOZ8","properties":{"formattedCitation":"(French et al., 2020)","plainCitation":"(French et al., 2020)","noteIndex":0},"citationItems":[{"id":1684,"uris":["http://zotero.org/users/8421274/items/M654PKRJ"],"itemData":{"id":1684,"type":"article-journal","abstract":"Riverine chemistry reflects both watershed conditions and instream processing, both of which vary across river networks, yet little is known about the scales at which watershed attributes regulate biogeochemical constituents. We used spatial stream network (SSN) models to quantify both watershed and instream effects on streamwater constituents in the Kuskokwim River (western Alaska), the largest free-flowing river in the United States. We assessed chemical constituents spanning from labile nutrients (nitrate [NO3−] and orthophosphate [PO43−]) to biologically and chemically conservative tracers (calcium [Ca2+], strontium [Sr2+], and Sr isotopes [87Sr/86Sr]). We also examined the behavior of dissolved organic carbon (DOC) relative to these constituents to understand whether bulk DOC behaved conservatively in a large boreal river network, where future changes in DOC and nutrient loading are expected under a shifting climate. We derived watershed spatial covariates comprising land cover, geology, and geomorphic characteristics at 14 different spatial extents based on stream order and relative to position in the river network to understand the effect of distant and proximal watershed attributes on streamwater constituents. For all constituents but 87Sr/86Sr, watershed attributes in low-order headwater catchments yielded the best predictive ability for streamwater constituent concentrations across the entire network. Spatial patterning for conservative tracers and bulk DOC showed strong spatial autocorrelation, whereas PO43− and NO3− exhibited spatial patchiness indicative of instream processing. Our work shows that headwater streams are disproportionately important contributors to network-wide biogeochemical constituents supporting aquatic food webs and that conservation and management of aquatic systems should include these small and often remote watershed areas.","container-title":"Journal of Geophysical Research: Biogeosciences","DOI":"10.1029/2020JG005851","ISSN":"2169-8961","issue":"12","language":"en","note":"_eprint: https://agupubs.onlinelibrary.wiley.com/doi/pdf/10.1029/2020JG005851","page":"e2020JG005851","source":"Wiley Online Library","title":"Headwater Catchments Govern Biogeochemistry in America's Largest Free-Flowing River Network","volume":"125","author":[{"family":"French","given":"David W."},{"family":"Schindler","given":"Daniel E."},{"family":"Brennan","given":"Sean R."},{"family":"Whited","given":"Diane"}],"issued":{"date-parts":[["2020"]]}}}],"schema":"https://github.com/citation-style-language/schema/raw/master/csl-citation.json"} </w:instrText>
      </w:r>
      <w:r>
        <w:rPr>
          <w:rFonts w:ascii="Garamond" w:eastAsia="Times New Roman" w:hAnsi="Garamond" w:cs="Times New Roman"/>
          <w:kern w:val="0"/>
          <w:sz w:val="22"/>
          <w:szCs w:val="22"/>
          <w14:ligatures w14:val="none"/>
        </w:rPr>
        <w:fldChar w:fldCharType="separate"/>
      </w:r>
      <w:r w:rsidR="00AF7B74">
        <w:rPr>
          <w:rFonts w:ascii="Garamond" w:eastAsia="Times New Roman" w:hAnsi="Garamond" w:cs="Times New Roman"/>
          <w:noProof/>
          <w:kern w:val="0"/>
          <w:sz w:val="22"/>
          <w:szCs w:val="22"/>
          <w14:ligatures w14:val="none"/>
        </w:rPr>
        <w:t>French et al., 2020</w:t>
      </w:r>
      <w:r>
        <w:rPr>
          <w:rFonts w:ascii="Garamond" w:eastAsia="Times New Roman" w:hAnsi="Garamond" w:cs="Times New Roman"/>
          <w:kern w:val="0"/>
          <w:sz w:val="22"/>
          <w:szCs w:val="22"/>
          <w14:ligatures w14:val="none"/>
        </w:rPr>
        <w:fldChar w:fldCharType="end"/>
      </w:r>
      <w:r w:rsidR="00AF7B74">
        <w:rPr>
          <w:rFonts w:ascii="Garamond" w:eastAsia="Times New Roman" w:hAnsi="Garamond" w:cs="Times New Roman"/>
          <w:kern w:val="0"/>
          <w:sz w:val="22"/>
          <w:szCs w:val="22"/>
          <w14:ligatures w14:val="none"/>
        </w:rPr>
        <w:t xml:space="preserve"> </w:t>
      </w:r>
      <w:r>
        <w:rPr>
          <w:rFonts w:ascii="Garamond" w:eastAsia="Times New Roman" w:hAnsi="Garamond" w:cs="Times New Roman"/>
          <w:kern w:val="0"/>
          <w:sz w:val="22"/>
          <w:szCs w:val="22"/>
          <w14:ligatures w14:val="none"/>
        </w:rPr>
        <w:t xml:space="preserve">, in which </w:t>
      </w:r>
      <w:r w:rsidR="009833DB" w:rsidRPr="006D1917">
        <w:rPr>
          <w:rFonts w:ascii="Garamond" w:eastAsia="Times New Roman" w:hAnsi="Garamond" w:cs="Times New Roman"/>
          <w:kern w:val="0"/>
          <w:sz w:val="22"/>
          <w:szCs w:val="22"/>
          <w14:ligatures w14:val="none"/>
        </w:rPr>
        <w:t>spatial variation in Sr</w:t>
      </w:r>
      <w:r w:rsidR="009833DB">
        <w:rPr>
          <w:rFonts w:ascii="Garamond" w:eastAsia="Times New Roman" w:hAnsi="Garamond" w:cs="Times New Roman"/>
          <w:kern w:val="0"/>
          <w:sz w:val="22"/>
          <w:szCs w:val="22"/>
          <w:vertAlign w:val="superscript"/>
          <w14:ligatures w14:val="none"/>
        </w:rPr>
        <w:t>87</w:t>
      </w:r>
      <w:r w:rsidR="009833DB">
        <w:rPr>
          <w:rFonts w:ascii="Garamond" w:eastAsia="Times New Roman" w:hAnsi="Garamond" w:cs="Times New Roman"/>
          <w:kern w:val="0"/>
          <w:sz w:val="22"/>
          <w:szCs w:val="22"/>
          <w14:ligatures w14:val="none"/>
        </w:rPr>
        <w:t>/Sr</w:t>
      </w:r>
      <w:r w:rsidR="009833DB">
        <w:rPr>
          <w:rFonts w:ascii="Garamond" w:eastAsia="Times New Roman" w:hAnsi="Garamond" w:cs="Times New Roman"/>
          <w:kern w:val="0"/>
          <w:sz w:val="22"/>
          <w:szCs w:val="22"/>
          <w:vertAlign w:val="superscript"/>
          <w14:ligatures w14:val="none"/>
        </w:rPr>
        <w:t>86</w:t>
      </w:r>
      <w:r w:rsidR="009833DB" w:rsidRPr="006D1917">
        <w:rPr>
          <w:rFonts w:ascii="Garamond" w:eastAsia="Times New Roman" w:hAnsi="Garamond" w:cs="Times New Roman"/>
          <w:kern w:val="0"/>
          <w:sz w:val="22"/>
          <w:szCs w:val="22"/>
          <w14:ligatures w14:val="none"/>
        </w:rPr>
        <w:t xml:space="preserve"> ratios across the river basin</w:t>
      </w:r>
      <w:r>
        <w:rPr>
          <w:rFonts w:ascii="Garamond" w:eastAsia="Times New Roman" w:hAnsi="Garamond" w:cs="Times New Roman"/>
          <w:kern w:val="0"/>
          <w:sz w:val="22"/>
          <w:szCs w:val="22"/>
          <w14:ligatures w14:val="none"/>
        </w:rPr>
        <w:t xml:space="preserve"> </w:t>
      </w:r>
      <w:r w:rsidR="009C079F">
        <w:rPr>
          <w:rFonts w:ascii="Garamond" w:eastAsia="Times New Roman" w:hAnsi="Garamond" w:cs="Times New Roman"/>
          <w:kern w:val="0"/>
          <w:sz w:val="22"/>
          <w:szCs w:val="22"/>
          <w14:ligatures w14:val="none"/>
        </w:rPr>
        <w:t xml:space="preserve">were </w:t>
      </w:r>
      <w:r>
        <w:rPr>
          <w:rFonts w:ascii="Garamond" w:eastAsia="Times New Roman" w:hAnsi="Garamond" w:cs="Times New Roman"/>
          <w:kern w:val="0"/>
          <w:sz w:val="22"/>
          <w:szCs w:val="22"/>
          <w14:ligatures w14:val="none"/>
        </w:rPr>
        <w:t>modeled using spatial stream network modeling (SSNM)</w:t>
      </w:r>
      <w:r w:rsidR="009C079F">
        <w:rPr>
          <w:rFonts w:ascii="Garamond" w:eastAsia="Times New Roman" w:hAnsi="Garamond" w:cs="Times New Roman"/>
          <w:kern w:val="0"/>
          <w:sz w:val="22"/>
          <w:szCs w:val="22"/>
          <w14:ligatures w14:val="none"/>
        </w:rPr>
        <w:t xml:space="preserve"> and derived from water samples collected throughout the river basin </w:t>
      </w:r>
      <w:r w:rsidR="00693A39" w:rsidRPr="00693A39">
        <w:rPr>
          <w:rFonts w:ascii="Garamond" w:eastAsia="Times New Roman" w:hAnsi="Garamond" w:cs="Times New Roman"/>
          <w:kern w:val="0"/>
          <w:sz w:val="22"/>
          <w:szCs w:val="22"/>
          <w14:ligatures w14:val="none"/>
          <w:rPrChange w:id="3" w:author="Benjamin J. Makhlouf" w:date="2025-07-26T13:00:00Z" w16du:dateUtc="2025-07-26T20:00:00Z">
            <w:rPr>
              <w:rFonts w:ascii="Garamond" w:eastAsia="Times New Roman" w:hAnsi="Garamond" w:cs="Times New Roman"/>
              <w:kern w:val="0"/>
              <w:sz w:val="22"/>
              <w:szCs w:val="22"/>
              <w:highlight w:val="yellow"/>
              <w14:ligatures w14:val="none"/>
            </w:rPr>
          </w:rPrChange>
        </w:rPr>
        <w:fldChar w:fldCharType="begin"/>
      </w:r>
      <w:r w:rsidR="00693A39" w:rsidRPr="00693A39">
        <w:rPr>
          <w:rFonts w:ascii="Garamond" w:eastAsia="Times New Roman" w:hAnsi="Garamond" w:cs="Times New Roman"/>
          <w:kern w:val="0"/>
          <w:sz w:val="22"/>
          <w:szCs w:val="22"/>
          <w14:ligatures w14:val="none"/>
          <w:rPrChange w:id="4" w:author="Benjamin J. Makhlouf" w:date="2025-07-26T13:00:00Z" w16du:dateUtc="2025-07-26T20:00:00Z">
            <w:rPr>
              <w:rFonts w:ascii="Garamond" w:eastAsia="Times New Roman" w:hAnsi="Garamond" w:cs="Times New Roman"/>
              <w:kern w:val="0"/>
              <w:sz w:val="22"/>
              <w:szCs w:val="22"/>
              <w:highlight w:val="yellow"/>
              <w14:ligatures w14:val="none"/>
            </w:rPr>
          </w:rPrChange>
        </w:rPr>
        <w:instrText xml:space="preserve"> ADDIN ZOTERO_ITEM CSL_CITATION {"citationID":"5Pp7WuA9","properties":{"formattedCitation":"(French et al., 2020)","plainCitation":"(French et al., 2020)","noteIndex":0},"citationItems":[{"id":1684,"uris":["http://zotero.org/users/8421274/items/M654PKRJ"],"itemData":{"id":1684,"type":"article-journal","abstract":"Riverine chemistry reflects both watershed conditions and instream processing, both of which vary across river networks, yet little is known about the scales at which watershed attributes regulate biogeochemical constituents. We used spatial stream network (SSN) models to quantify both watershed and instream effects on streamwater constituents in the Kuskokwim River (western Alaska), the largest free-flowing river in the United States. We assessed chemical constituents spanning from labile nutrients (nitrate [NO3−] and orthophosphate [PO43−]) to biologically and chemically conservative tracers (calcium [Ca2+], strontium [Sr2+], and Sr isotopes [87Sr/86Sr]). We also examined the behavior of dissolved organic carbon (DOC) relative to these constituents to understand whether bulk DOC behaved conservatively in a large boreal river network, where future changes in DOC and nutrient loading are expected under a shifting climate. We derived watershed spatial covariates comprising land cover, geology, and geomorphic characteristics at 14 different spatial extents based on stream order and relative to position in the river network to understand the effect of distant and proximal watershed attributes on streamwater constituents. For all constituents but 87Sr/86Sr, watershed attributes in low-order headwater catchments yielded the best predictive ability for streamwater constituent concentrations across the entire network. Spatial patterning for conservative tracers and bulk DOC showed strong spatial autocorrelation, whereas PO43− and NO3− exhibited spatial patchiness indicative of instream processing. Our work shows that headwater streams are disproportionately important contributors to network-wide biogeochemical constituents supporting aquatic food webs and that conservation and management of aquatic systems should include these small and often remote watershed areas.","container-title":"Journal of Geophysical Research: Biogeosciences","DOI":"10.1029/2020JG005851","ISSN":"2169-8961","issue":"12","language":"en","note":"_eprint: https://agupubs.onlinelibrary.wiley.com/doi/pdf/10.1029/2020JG005851","page":"e2020JG005851","source":"Wiley Online Library","title":"Headwater Catchments Govern Biogeochemistry in America's Largest Free-Flowing River Network","volume":"125","author":[{"family":"French","given":"David W."},{"family":"Schindler","given":"Daniel E."},{"family":"Brennan","given":"Sean R."},{"family":"Whited","given":"Diane"}],"issued":{"date-parts":[["2020"]]}}}],"schema":"https://github.com/citation-style-language/schema/raw/master/csl-citation.json"} </w:instrText>
      </w:r>
      <w:r w:rsidR="00693A39" w:rsidRPr="00693A39">
        <w:rPr>
          <w:rFonts w:ascii="Garamond" w:eastAsia="Times New Roman" w:hAnsi="Garamond" w:cs="Times New Roman"/>
          <w:kern w:val="0"/>
          <w:sz w:val="22"/>
          <w:szCs w:val="22"/>
          <w14:ligatures w14:val="none"/>
          <w:rPrChange w:id="5" w:author="Benjamin J. Makhlouf" w:date="2025-07-26T13:00:00Z" w16du:dateUtc="2025-07-26T20:00:00Z">
            <w:rPr>
              <w:rFonts w:ascii="Garamond" w:eastAsia="Times New Roman" w:hAnsi="Garamond" w:cs="Times New Roman"/>
              <w:kern w:val="0"/>
              <w:sz w:val="22"/>
              <w:szCs w:val="22"/>
              <w:highlight w:val="yellow"/>
              <w14:ligatures w14:val="none"/>
            </w:rPr>
          </w:rPrChange>
        </w:rPr>
        <w:fldChar w:fldCharType="separate"/>
      </w:r>
      <w:r w:rsidR="00693A39" w:rsidRPr="00693A39">
        <w:rPr>
          <w:rFonts w:ascii="Garamond" w:eastAsia="Times New Roman" w:hAnsi="Garamond" w:cs="Times New Roman"/>
          <w:noProof/>
          <w:kern w:val="0"/>
          <w:sz w:val="22"/>
          <w:szCs w:val="22"/>
          <w14:ligatures w14:val="none"/>
          <w:rPrChange w:id="6" w:author="Benjamin J. Makhlouf" w:date="2025-07-26T13:00:00Z" w16du:dateUtc="2025-07-26T20:00:00Z">
            <w:rPr>
              <w:rFonts w:ascii="Garamond" w:eastAsia="Times New Roman" w:hAnsi="Garamond" w:cs="Times New Roman"/>
              <w:noProof/>
              <w:kern w:val="0"/>
              <w:sz w:val="22"/>
              <w:szCs w:val="22"/>
              <w:highlight w:val="yellow"/>
              <w14:ligatures w14:val="none"/>
            </w:rPr>
          </w:rPrChange>
        </w:rPr>
        <w:t>(</w:t>
      </w:r>
      <w:r w:rsidR="00C50332" w:rsidRPr="00C50332">
        <w:rPr>
          <w:rFonts w:ascii="Garamond" w:eastAsia="Times New Roman" w:hAnsi="Garamond" w:cs="Times New Roman"/>
          <w:noProof/>
          <w:kern w:val="0"/>
          <w:sz w:val="22"/>
          <w:szCs w:val="22"/>
          <w14:ligatures w14:val="none"/>
        </w:rPr>
        <w:t xml:space="preserve"> </w:t>
      </w:r>
      <w:r w:rsidR="00C50332" w:rsidRPr="00693A39">
        <w:rPr>
          <w:rFonts w:ascii="Garamond" w:eastAsia="Times New Roman" w:hAnsi="Garamond" w:cs="Times New Roman"/>
          <w:noProof/>
          <w:kern w:val="0"/>
          <w:sz w:val="22"/>
          <w:szCs w:val="22"/>
          <w14:ligatures w14:val="none"/>
          <w:rPrChange w:id="7" w:author="Benjamin J. Makhlouf" w:date="2025-07-26T13:00:00Z" w16du:dateUtc="2025-07-26T20:00:00Z">
            <w:rPr>
              <w:rFonts w:ascii="Garamond" w:eastAsia="Times New Roman" w:hAnsi="Garamond" w:cs="Times New Roman"/>
              <w:noProof/>
              <w:kern w:val="0"/>
              <w:sz w:val="22"/>
              <w:szCs w:val="22"/>
              <w:highlight w:val="yellow"/>
              <w14:ligatures w14:val="none"/>
            </w:rPr>
          </w:rPrChange>
        </w:rPr>
        <w:t>N = 120</w:t>
      </w:r>
      <w:r w:rsidR="00C50332">
        <w:rPr>
          <w:rFonts w:ascii="Garamond" w:eastAsia="Times New Roman" w:hAnsi="Garamond" w:cs="Times New Roman"/>
          <w:noProof/>
          <w:kern w:val="0"/>
          <w:sz w:val="22"/>
          <w:szCs w:val="22"/>
          <w14:ligatures w14:val="none"/>
        </w:rPr>
        <w:t xml:space="preserve">, </w:t>
      </w:r>
      <w:r w:rsidR="00693A39" w:rsidRPr="00693A39">
        <w:rPr>
          <w:rFonts w:ascii="Garamond" w:eastAsia="Times New Roman" w:hAnsi="Garamond" w:cs="Times New Roman"/>
          <w:noProof/>
          <w:kern w:val="0"/>
          <w:sz w:val="22"/>
          <w:szCs w:val="22"/>
          <w14:ligatures w14:val="none"/>
          <w:rPrChange w:id="8" w:author="Benjamin J. Makhlouf" w:date="2025-07-26T13:00:00Z" w16du:dateUtc="2025-07-26T20:00:00Z">
            <w:rPr>
              <w:rFonts w:ascii="Garamond" w:eastAsia="Times New Roman" w:hAnsi="Garamond" w:cs="Times New Roman"/>
              <w:noProof/>
              <w:kern w:val="0"/>
              <w:sz w:val="22"/>
              <w:szCs w:val="22"/>
              <w:highlight w:val="yellow"/>
              <w14:ligatures w14:val="none"/>
            </w:rPr>
          </w:rPrChange>
        </w:rPr>
        <w:t>French et al., 2020)</w:t>
      </w:r>
      <w:r w:rsidR="00693A39" w:rsidRPr="00693A39">
        <w:rPr>
          <w:rFonts w:ascii="Garamond" w:eastAsia="Times New Roman" w:hAnsi="Garamond" w:cs="Times New Roman"/>
          <w:kern w:val="0"/>
          <w:sz w:val="22"/>
          <w:szCs w:val="22"/>
          <w14:ligatures w14:val="none"/>
          <w:rPrChange w:id="9" w:author="Benjamin J. Makhlouf" w:date="2025-07-26T13:00:00Z" w16du:dateUtc="2025-07-26T20:00:00Z">
            <w:rPr>
              <w:rFonts w:ascii="Garamond" w:eastAsia="Times New Roman" w:hAnsi="Garamond" w:cs="Times New Roman"/>
              <w:kern w:val="0"/>
              <w:sz w:val="22"/>
              <w:szCs w:val="22"/>
              <w:highlight w:val="yellow"/>
              <w14:ligatures w14:val="none"/>
            </w:rPr>
          </w:rPrChange>
        </w:rPr>
        <w:fldChar w:fldCharType="end"/>
      </w:r>
      <w:r w:rsidR="009C079F">
        <w:rPr>
          <w:rFonts w:ascii="Garamond" w:eastAsia="Times New Roman" w:hAnsi="Garamond" w:cs="Times New Roman"/>
          <w:kern w:val="0"/>
          <w:sz w:val="22"/>
          <w:szCs w:val="22"/>
          <w14:ligatures w14:val="none"/>
        </w:rPr>
        <w:t xml:space="preserve">. </w:t>
      </w:r>
      <w:r w:rsidR="00E212FE">
        <w:rPr>
          <w:rFonts w:ascii="Garamond" w:eastAsia="Times New Roman" w:hAnsi="Garamond" w:cs="Times New Roman"/>
          <w:kern w:val="0"/>
          <w:sz w:val="22"/>
          <w:szCs w:val="22"/>
          <w14:ligatures w14:val="none"/>
        </w:rPr>
        <w:t xml:space="preserve">This approach considered </w:t>
      </w:r>
      <w:r w:rsidR="009833DB" w:rsidRPr="006D1917">
        <w:rPr>
          <w:rFonts w:ascii="Garamond" w:eastAsia="Times New Roman" w:hAnsi="Garamond" w:cs="Times New Roman"/>
          <w:kern w:val="0"/>
          <w:sz w:val="22"/>
          <w:szCs w:val="22"/>
          <w14:ligatures w14:val="none"/>
        </w:rPr>
        <w:t>several geologic and hydrological covariates as well as</w:t>
      </w:r>
      <w:r w:rsidR="009C079F">
        <w:rPr>
          <w:rFonts w:ascii="Garamond" w:eastAsia="Times New Roman" w:hAnsi="Garamond" w:cs="Times New Roman"/>
          <w:kern w:val="0"/>
          <w:sz w:val="22"/>
          <w:szCs w:val="22"/>
          <w14:ligatures w14:val="none"/>
        </w:rPr>
        <w:t xml:space="preserve"> the effect of both </w:t>
      </w:r>
      <w:r w:rsidR="009833DB" w:rsidRPr="006D1917">
        <w:rPr>
          <w:rFonts w:ascii="Garamond" w:eastAsia="Times New Roman" w:hAnsi="Garamond" w:cs="Times New Roman"/>
          <w:kern w:val="0"/>
          <w:sz w:val="22"/>
          <w:szCs w:val="22"/>
          <w14:ligatures w14:val="none"/>
        </w:rPr>
        <w:t>Euclidian distance and hydrological connectivity between sampling sites</w:t>
      </w:r>
      <w:r w:rsidR="009C079F">
        <w:rPr>
          <w:rFonts w:ascii="Garamond" w:eastAsia="Times New Roman" w:hAnsi="Garamond" w:cs="Times New Roman"/>
          <w:kern w:val="0"/>
          <w:sz w:val="22"/>
          <w:szCs w:val="22"/>
          <w14:ligatures w14:val="none"/>
        </w:rPr>
        <w:t xml:space="preserve">, providing a </w:t>
      </w:r>
      <w:r w:rsidR="009C079F" w:rsidRPr="00293B26">
        <w:rPr>
          <w:rFonts w:ascii="Garamond" w:hAnsi="Garamond" w:cs="Times New Roman"/>
          <w:sz w:val="22"/>
          <w:szCs w:val="22"/>
        </w:rPr>
        <w:t xml:space="preserve">spatially continuous estimate of </w:t>
      </w:r>
      <w:r w:rsidR="009C079F" w:rsidRPr="006D1917">
        <w:rPr>
          <w:rFonts w:ascii="Garamond" w:eastAsia="Times New Roman" w:hAnsi="Garamond" w:cs="Times New Roman"/>
          <w:kern w:val="0"/>
          <w:sz w:val="22"/>
          <w:szCs w:val="22"/>
          <w14:ligatures w14:val="none"/>
        </w:rPr>
        <w:t>Sr</w:t>
      </w:r>
      <w:r w:rsidR="009C079F">
        <w:rPr>
          <w:rFonts w:ascii="Garamond" w:eastAsia="Times New Roman" w:hAnsi="Garamond" w:cs="Times New Roman"/>
          <w:kern w:val="0"/>
          <w:sz w:val="22"/>
          <w:szCs w:val="22"/>
          <w:vertAlign w:val="superscript"/>
          <w14:ligatures w14:val="none"/>
        </w:rPr>
        <w:t>87</w:t>
      </w:r>
      <w:r w:rsidR="009C079F">
        <w:rPr>
          <w:rFonts w:ascii="Garamond" w:eastAsia="Times New Roman" w:hAnsi="Garamond" w:cs="Times New Roman"/>
          <w:kern w:val="0"/>
          <w:sz w:val="22"/>
          <w:szCs w:val="22"/>
          <w14:ligatures w14:val="none"/>
        </w:rPr>
        <w:t>/Sr</w:t>
      </w:r>
      <w:r w:rsidR="009C079F">
        <w:rPr>
          <w:rFonts w:ascii="Garamond" w:eastAsia="Times New Roman" w:hAnsi="Garamond" w:cs="Times New Roman"/>
          <w:kern w:val="0"/>
          <w:sz w:val="22"/>
          <w:szCs w:val="22"/>
          <w:vertAlign w:val="superscript"/>
          <w14:ligatures w14:val="none"/>
        </w:rPr>
        <w:t>86</w:t>
      </w:r>
      <w:r w:rsidR="009C079F" w:rsidRPr="00293B26">
        <w:rPr>
          <w:rFonts w:ascii="Garamond" w:hAnsi="Garamond" w:cs="Times New Roman"/>
          <w:sz w:val="22"/>
          <w:szCs w:val="22"/>
        </w:rPr>
        <w:t xml:space="preserve"> </w:t>
      </w:r>
      <w:r w:rsidR="00C50332">
        <w:rPr>
          <w:rFonts w:ascii="Garamond" w:hAnsi="Garamond" w:cs="Times New Roman"/>
          <w:sz w:val="22"/>
          <w:szCs w:val="22"/>
        </w:rPr>
        <w:t>ratios</w:t>
      </w:r>
      <w:r w:rsidR="009C079F" w:rsidRPr="00293B26">
        <w:rPr>
          <w:rFonts w:ascii="Garamond" w:hAnsi="Garamond" w:cs="Times New Roman"/>
          <w:sz w:val="22"/>
          <w:szCs w:val="22"/>
        </w:rPr>
        <w:t xml:space="preserve"> and associated uncertainties for roughly every ~1km stretch of tributaries across the basin </w:t>
      </w:r>
      <w:commentRangeStart w:id="10"/>
      <w:r w:rsidR="009C079F" w:rsidRPr="00293B26">
        <w:rPr>
          <w:rFonts w:ascii="Garamond" w:hAnsi="Garamond" w:cs="Times New Roman"/>
          <w:sz w:val="22"/>
          <w:szCs w:val="22"/>
        </w:rPr>
        <w:t xml:space="preserve">(Figure </w:t>
      </w:r>
      <w:r w:rsidR="009C079F">
        <w:rPr>
          <w:rFonts w:ascii="Garamond" w:hAnsi="Garamond" w:cs="Times New Roman"/>
          <w:sz w:val="22"/>
          <w:szCs w:val="22"/>
        </w:rPr>
        <w:t>1</w:t>
      </w:r>
      <w:r w:rsidR="009C079F" w:rsidRPr="00293B26">
        <w:rPr>
          <w:rFonts w:ascii="Garamond" w:hAnsi="Garamond" w:cs="Times New Roman"/>
          <w:sz w:val="22"/>
          <w:szCs w:val="22"/>
        </w:rPr>
        <w:t>)</w:t>
      </w:r>
      <w:r w:rsidR="009C079F">
        <w:rPr>
          <w:rFonts w:ascii="Garamond" w:eastAsia="Times New Roman" w:hAnsi="Garamond" w:cs="Times New Roman"/>
          <w:kern w:val="0"/>
          <w:sz w:val="22"/>
          <w:szCs w:val="22"/>
          <w14:ligatures w14:val="none"/>
        </w:rPr>
        <w:t xml:space="preserve"> </w:t>
      </w:r>
      <w:commentRangeEnd w:id="10"/>
      <w:r w:rsidR="009C079F">
        <w:rPr>
          <w:rStyle w:val="CommentReference"/>
        </w:rPr>
        <w:commentReference w:id="10"/>
      </w:r>
      <w:r w:rsidR="009833DB" w:rsidRPr="00293B26">
        <w:rPr>
          <w:rFonts w:ascii="Garamond" w:eastAsia="Times New Roman" w:hAnsi="Garamond" w:cs="Times New Roman"/>
          <w:kern w:val="0"/>
          <w:sz w:val="22"/>
          <w:szCs w:val="22"/>
          <w14:ligatures w14:val="none"/>
        </w:rPr>
        <w:fldChar w:fldCharType="begin"/>
      </w:r>
      <w:r w:rsidR="00C50332">
        <w:rPr>
          <w:rFonts w:ascii="Garamond" w:eastAsia="Times New Roman" w:hAnsi="Garamond" w:cs="Times New Roman"/>
          <w:kern w:val="0"/>
          <w:sz w:val="22"/>
          <w:szCs w:val="22"/>
          <w14:ligatures w14:val="none"/>
        </w:rPr>
        <w:instrText xml:space="preserve"> ADDIN ZOTERO_ITEM CSL_CITATION {"citationID":"M10Aqb9z","properties":{"formattedCitation":"(Brennan et al., 2016; Ver Hoef &amp; Peterson, 2010)","plainCitation":"(Brennan et al., 2016; Ver Hoef &amp; Peterson, 2010)","noteIndex":0},"citationItems":[{"id":2315,"uris":["http://zotero.org/users/8421274/items/Q4IUGSIX"],"itemData":{"id":2315,"type":"article-journal","abstract":"A critical challenge for the Earth sciences is to trace the transport and flux of matter within and among aquatic, terrestrial, and atmospheric systems. Robust descriptions of isotopic patterns across space and time, called “isoscapes,” form the basis of a rapidly growing and wide-ranging body of research aimed at quantifying connectivity within and among Earth's systems. However, isoscapes of rivers have been limited by conventional Euclidean approaches in geostatistics and the lack of a quantitative framework to apportion the influence of processes driven by landscape features versus in-stream phenomena. Here we demonstrate how dendritic network models substantially improve the accuracy of isoscapes of strontium isotopes and partition the influence of hydrologic transport versus local geologic features on strontium isotope ratios in a large Alaska river. This work illustrates the analytical power of dendritic network models for the field of isotope biogeochemistry, particularly for provenance studies of modern and ancient animals.","container-title":"Geophysical Research Letters","DOI":"10.1002/2016GL068904","ISSN":"1944-8007","issue":"10","language":"en","note":"_eprint: https://onlinelibrary.wiley.com/doi/pdf/10.1002/2016GL068904","page":"5043-5051","source":"Wiley Online Library","title":"Dendritic network models: Improving isoscapes and quantifying influence of landscape and in-stream processes on strontium isotopes in rivers","title-short":"Dendritic network models","volume":"43","author":[{"family":"Brennan","given":"Sean R."},{"family":"Torgersen","given":"Christian E."},{"family":"Hollenbeck","given":"Jeff P."},{"family":"Fernandez","given":"Diego P."},{"family":"Jensen","given":"Carrie K."},{"family":"Schindler","given":"Daniel E."}],"issued":{"date-parts":[["2016"]]}}},{"id":4769,"uris":["http://zotero.org/users/8421274/items/XBJELDI4"],"itemData":{"id":4769,"type":"article-journal","container-title":"Journal of the American Statistical Association","DOI":"10.1198/jasa.2009.ap08248","ISSN":"0162-1459, 1537-274X","issue":"489","journalAbbreviation":"Journal of the American Statistical Association","language":"en","page":"6-18","source":"DOI.org (Crossref)","title":"A Moving Average Approach for Spatial Statistical Models of Stream Networks","volume":"105","author":[{"family":"Ver Hoef","given":"Jay M."},{"family":"Peterson","given":"Erin E."}],"issued":{"date-parts":[["2010",3,1]]}}}],"schema":"https://github.com/citation-style-language/schema/raw/master/csl-citation.json"} </w:instrText>
      </w:r>
      <w:r w:rsidR="009833DB" w:rsidRPr="00293B26">
        <w:rPr>
          <w:rFonts w:ascii="Garamond" w:eastAsia="Times New Roman" w:hAnsi="Garamond" w:cs="Times New Roman"/>
          <w:kern w:val="0"/>
          <w:sz w:val="22"/>
          <w:szCs w:val="22"/>
          <w14:ligatures w14:val="none"/>
        </w:rPr>
        <w:fldChar w:fldCharType="separate"/>
      </w:r>
      <w:r w:rsidR="00C50332">
        <w:rPr>
          <w:rFonts w:ascii="Garamond" w:eastAsia="Times New Roman" w:hAnsi="Garamond" w:cs="Times New Roman"/>
          <w:noProof/>
          <w:kern w:val="0"/>
          <w:sz w:val="22"/>
          <w:szCs w:val="22"/>
          <w14:ligatures w14:val="none"/>
        </w:rPr>
        <w:t>(Brennan et al., 2016; Ver Hoef &amp; Peterson, 2010)</w:t>
      </w:r>
      <w:r w:rsidR="009833DB" w:rsidRPr="00293B26">
        <w:rPr>
          <w:rFonts w:ascii="Garamond" w:eastAsia="Times New Roman" w:hAnsi="Garamond" w:cs="Times New Roman"/>
          <w:kern w:val="0"/>
          <w:sz w:val="22"/>
          <w:szCs w:val="22"/>
          <w14:ligatures w14:val="none"/>
        </w:rPr>
        <w:fldChar w:fldCharType="end"/>
      </w:r>
      <w:r w:rsidR="009833DB" w:rsidRPr="00293B26">
        <w:rPr>
          <w:rFonts w:ascii="Garamond" w:eastAsia="Times New Roman" w:hAnsi="Garamond" w:cs="Times New Roman"/>
          <w:kern w:val="0"/>
          <w:sz w:val="22"/>
          <w:szCs w:val="22"/>
          <w14:ligatures w14:val="none"/>
        </w:rPr>
        <w:t xml:space="preserve">. </w:t>
      </w:r>
      <w:commentRangeStart w:id="11"/>
      <w:r w:rsidR="009F3E36" w:rsidRPr="009F3E36">
        <w:rPr>
          <w:rFonts w:ascii="Garamond" w:hAnsi="Garamond" w:cs="Times New Roman"/>
          <w:sz w:val="22"/>
          <w:szCs w:val="22"/>
        </w:rPr>
        <w:t>To prevent over-assignment to tributaries with exceptionally low prediction error</w:t>
      </w:r>
      <w:r w:rsidR="009C079F">
        <w:rPr>
          <w:rFonts w:ascii="Garamond" w:hAnsi="Garamond" w:cs="Times New Roman"/>
          <w:sz w:val="22"/>
          <w:szCs w:val="22"/>
        </w:rPr>
        <w:t xml:space="preserve"> </w:t>
      </w:r>
      <w:r w:rsidR="009F3E36" w:rsidRPr="009F3E36">
        <w:rPr>
          <w:rFonts w:ascii="Garamond" w:hAnsi="Garamond" w:cs="Times New Roman"/>
          <w:sz w:val="22"/>
          <w:szCs w:val="22"/>
        </w:rPr>
        <w:t>minimum error values were constrained to 0.0006</w:t>
      </w:r>
      <w:r w:rsidR="009C079F">
        <w:rPr>
          <w:rFonts w:ascii="Garamond" w:hAnsi="Garamond" w:cs="Times New Roman"/>
          <w:sz w:val="22"/>
          <w:szCs w:val="22"/>
        </w:rPr>
        <w:t xml:space="preserve"> and above.</w:t>
      </w:r>
      <w:r w:rsidR="009F3E36" w:rsidRPr="009F3E36">
        <w:rPr>
          <w:rFonts w:ascii="Garamond" w:hAnsi="Garamond" w:cs="Times New Roman"/>
          <w:sz w:val="22"/>
          <w:szCs w:val="22"/>
        </w:rPr>
        <w:t xml:space="preserve"> </w:t>
      </w:r>
      <w:commentRangeEnd w:id="11"/>
      <w:r w:rsidR="009C079F">
        <w:rPr>
          <w:rStyle w:val="CommentReference"/>
        </w:rPr>
        <w:commentReference w:id="11"/>
      </w:r>
      <w:r w:rsidR="009F3E36" w:rsidRPr="009F3E36">
        <w:rPr>
          <w:rFonts w:ascii="Garamond" w:hAnsi="Garamond" w:cs="Times New Roman"/>
          <w:sz w:val="22"/>
          <w:szCs w:val="22"/>
        </w:rPr>
        <w:t xml:space="preserve">This threshold was selected </w:t>
      </w:r>
      <w:r w:rsidR="00AF7B74">
        <w:rPr>
          <w:rFonts w:ascii="Garamond" w:hAnsi="Garamond" w:cs="Times New Roman"/>
          <w:sz w:val="22"/>
          <w:szCs w:val="22"/>
        </w:rPr>
        <w:t xml:space="preserve">by visually examining the histogram for a cutoff which adjusted the error values for a small number of exceedingly low error tributaries while maintaining the general trend of uncertainty resulting from SSN model fit. </w:t>
      </w:r>
    </w:p>
    <w:p w14:paraId="015401CA" w14:textId="0E75DC0A" w:rsidR="002A3FE3" w:rsidRPr="00AF7B74" w:rsidRDefault="009833DB" w:rsidP="00AF7B74">
      <w:pPr>
        <w:spacing w:before="100" w:beforeAutospacing="1" w:after="100" w:afterAutospacing="1" w:line="480" w:lineRule="auto"/>
        <w:rPr>
          <w:rFonts w:ascii="Garamond" w:hAnsi="Garamond" w:cs="Times New Roman"/>
          <w:sz w:val="22"/>
          <w:szCs w:val="22"/>
        </w:rPr>
      </w:pPr>
      <w:r w:rsidRPr="006D1917">
        <w:rPr>
          <w:rFonts w:ascii="Garamond" w:eastAsia="Times New Roman" w:hAnsi="Garamond" w:cs="Times New Roman"/>
          <w:b/>
          <w:bCs/>
          <w:kern w:val="0"/>
          <w:sz w:val="22"/>
          <w:szCs w:val="22"/>
          <w14:ligatures w14:val="none"/>
        </w:rPr>
        <w:t>Assignment framework and prior</w:t>
      </w:r>
      <w:r w:rsidR="002A3FE3">
        <w:rPr>
          <w:rFonts w:ascii="Garamond" w:eastAsia="Times New Roman" w:hAnsi="Garamond" w:cs="Times New Roman"/>
          <w:b/>
          <w:bCs/>
          <w:kern w:val="0"/>
          <w:sz w:val="22"/>
          <w:szCs w:val="22"/>
          <w14:ligatures w14:val="none"/>
        </w:rPr>
        <w:t>s</w:t>
      </w:r>
    </w:p>
    <w:p w14:paraId="417575B8" w14:textId="5D8DD48E" w:rsidR="009833DB" w:rsidRPr="002A3FE3" w:rsidRDefault="002A3FE3" w:rsidP="002A3FE3">
      <w:pPr>
        <w:spacing w:before="100" w:beforeAutospacing="1" w:after="100" w:afterAutospacing="1" w:line="480" w:lineRule="auto"/>
        <w:ind w:firstLine="720"/>
        <w:rPr>
          <w:rFonts w:ascii="Garamond" w:eastAsia="Times New Roman" w:hAnsi="Garamond" w:cs="Times New Roman"/>
          <w:kern w:val="0"/>
          <w:sz w:val="22"/>
          <w:szCs w:val="22"/>
          <w14:ligatures w14:val="none"/>
        </w:rPr>
      </w:pPr>
      <w:r>
        <w:rPr>
          <w:rFonts w:ascii="Garamond" w:eastAsia="Times New Roman" w:hAnsi="Garamond" w:cs="Times New Roman"/>
          <w:kern w:val="0"/>
          <w:sz w:val="22"/>
          <w:szCs w:val="22"/>
          <w14:ligatures w14:val="none"/>
        </w:rPr>
        <w:t>P</w:t>
      </w:r>
      <w:r w:rsidR="009833DB" w:rsidRPr="005E64F6">
        <w:rPr>
          <w:rFonts w:ascii="Garamond" w:eastAsia="Times New Roman" w:hAnsi="Garamond" w:cs="Times New Roman"/>
          <w:kern w:val="0"/>
          <w:sz w:val="22"/>
          <w:szCs w:val="22"/>
          <w14:ligatures w14:val="none"/>
        </w:rPr>
        <w:t>osterior probability</w:t>
      </w:r>
      <w:r>
        <w:rPr>
          <w:rFonts w:ascii="Garamond" w:eastAsia="Times New Roman" w:hAnsi="Garamond" w:cs="Times New Roman"/>
          <w:kern w:val="0"/>
          <w:sz w:val="22"/>
          <w:szCs w:val="22"/>
          <w14:ligatures w14:val="none"/>
        </w:rPr>
        <w:t xml:space="preserve"> values were calculated for all fish and for all tributary segments across the river-basin using a </w:t>
      </w:r>
      <w:r w:rsidR="009833DB" w:rsidRPr="005E64F6">
        <w:rPr>
          <w:rFonts w:ascii="Garamond" w:eastAsia="Times New Roman" w:hAnsi="Garamond" w:cs="Times New Roman"/>
          <w:kern w:val="0"/>
          <w:sz w:val="22"/>
          <w:szCs w:val="22"/>
          <w14:ligatures w14:val="none"/>
        </w:rPr>
        <w:t xml:space="preserve">geographically continuous Bayesian framework </w:t>
      </w:r>
      <w:r w:rsidR="009833DB" w:rsidRPr="005E64F6">
        <w:rPr>
          <w:rFonts w:ascii="Garamond" w:eastAsia="Times New Roman" w:hAnsi="Garamond" w:cs="Times New Roman"/>
          <w:kern w:val="0"/>
          <w:sz w:val="22"/>
          <w:szCs w:val="22"/>
          <w14:ligatures w14:val="none"/>
        </w:rPr>
        <w:fldChar w:fldCharType="begin"/>
      </w:r>
      <w:r w:rsidR="009833DB" w:rsidRPr="005E64F6">
        <w:rPr>
          <w:rFonts w:ascii="Garamond" w:eastAsia="Times New Roman" w:hAnsi="Garamond" w:cs="Times New Roman"/>
          <w:kern w:val="0"/>
          <w:sz w:val="22"/>
          <w:szCs w:val="22"/>
          <w14:ligatures w14:val="none"/>
        </w:rPr>
        <w:instrText xml:space="preserve"> ADDIN ZOTERO_ITEM CSL_CITATION {"citationID":"x50ado7V","properties":{"formattedCitation":"(Brennan, Cline, et al., 2019)","plainCitation":"(Brennan, Cline, et al., 2019)","noteIndex":0},"citationItems":[{"id":1691,"uris":["http://zotero.org/users/8421274/items/IDMUTED4"],"itemData":{"id":1691,"type":"article-journal","abstract":"Migratory animals pose difficult challenges to conservation and management because identifying critical habitats used throughout their lives is rarely possible. Endogenous tracers (e.g. isotope ratios) recorded in sequentially growing biogenic tissues, however, represent a potential source of unique insights at the more elusive temporal and spatial scales central to understanding the ecology of mobile species. To this end, a general probabilistic framework has emerged that quantitatively compares predictive models of isotopic variation across landscapes (called isoscapes) to the isotopic composition recorded in a biological tissue to determine the provenance and movements of animals throughout their lives. Although this spatially continuous approach to isotope-based geographic assignment is becoming more common across taxa and ecosystems, adopting this framework to take advantage of serial isotope records stored within sequentially growing biogenic tissues (e.g. teeth or otoliths) is less common. Here, we construct a novel space-time isotope model of provenance (STIMP) that determines the habitat use through time of migratory fish across river basins. To do so, this model integrates: strontium isotope (87Sr/86Sr) ratios across a riverscape, the serial records of 87Sr/86Sr within otoliths, habitat geomorphology and the directional movement patterns of fish through river networks. To illustrate an application of the model, we applied it to a published dataset from Chinook salmon (Oncorhynchus tshawytscha) harvested in 2011 during a coastal fishery in Bristol Bay, Alaska, U.S.A. Using this model, we show how individuals exploit an array of habitat types to achieve their juvenile growth prior to ocean migration, and that the intensity of habitat use among habitat types across the basin shifts spatially over the course of freshwater residence (e.g. from headwaters to migration corridors). The STIMP presented here integrates diverse information sources to reveal the cryptic juvenile movement patterns of a highly migratory species, providing new insights critical to their conservation. This general framework is applicable to any migratory taxa that use isotopically heterogeneous landscapes during their lives and record such variation in sequentially growing biogenic tissues.","container-title":"Methods in Ecology and Evolution","DOI":"10.1111/2041-210X.13191","ISSN":"2041-210X","issue":"7","language":"en","note":"_eprint: https://besjournals.onlinelibrary.wiley.com/doi/pdf/10.1111/2041-210X.13191","page":"1036-1047","source":"Wiley Online Library","title":"Quantifying habitat use of migratory fish across riverscapes using space-time isotope models","volume":"10","author":[{"family":"Brennan","given":"Sean R."},{"family":"Cline","given":"Timothy J."},{"family":"Schindler","given":"Daniel E."}],"issued":{"date-parts":[["2019"]]}}}],"schema":"https://github.com/citation-style-language/schema/raw/master/csl-citation.json"} </w:instrText>
      </w:r>
      <w:r w:rsidR="009833DB" w:rsidRPr="005E64F6">
        <w:rPr>
          <w:rFonts w:ascii="Garamond" w:eastAsia="Times New Roman" w:hAnsi="Garamond" w:cs="Times New Roman"/>
          <w:kern w:val="0"/>
          <w:sz w:val="22"/>
          <w:szCs w:val="22"/>
          <w14:ligatures w14:val="none"/>
        </w:rPr>
        <w:fldChar w:fldCharType="separate"/>
      </w:r>
      <w:r w:rsidR="009833DB" w:rsidRPr="005E64F6">
        <w:rPr>
          <w:rFonts w:ascii="Garamond" w:eastAsia="Times New Roman" w:hAnsi="Garamond" w:cs="Times New Roman"/>
          <w:noProof/>
          <w:kern w:val="0"/>
          <w:sz w:val="22"/>
          <w:szCs w:val="22"/>
          <w14:ligatures w14:val="none"/>
        </w:rPr>
        <w:t>(Brennan, Cline, et al., 2019)</w:t>
      </w:r>
      <w:r w:rsidR="009833DB" w:rsidRPr="005E64F6">
        <w:rPr>
          <w:rFonts w:ascii="Garamond" w:eastAsia="Times New Roman" w:hAnsi="Garamond" w:cs="Times New Roman"/>
          <w:kern w:val="0"/>
          <w:sz w:val="22"/>
          <w:szCs w:val="22"/>
          <w14:ligatures w14:val="none"/>
        </w:rPr>
        <w:fldChar w:fldCharType="end"/>
      </w:r>
      <w:r w:rsidR="009833DB" w:rsidRPr="005E64F6">
        <w:rPr>
          <w:rFonts w:ascii="Garamond" w:eastAsia="Times New Roman" w:hAnsi="Garamond" w:cs="Times New Roman"/>
          <w:kern w:val="0"/>
          <w:sz w:val="22"/>
          <w:szCs w:val="22"/>
          <w14:ligatures w14:val="none"/>
        </w:rPr>
        <w:t xml:space="preserve">. This approach considers the relationship between extracted natal origin otolith </w:t>
      </w:r>
      <w:r w:rsidR="009833DB" w:rsidRPr="006D1917">
        <w:rPr>
          <w:rFonts w:ascii="Garamond" w:eastAsia="Times New Roman" w:hAnsi="Garamond" w:cs="Times New Roman"/>
          <w:kern w:val="0"/>
          <w:sz w:val="22"/>
          <w:szCs w:val="22"/>
          <w14:ligatures w14:val="none"/>
        </w:rPr>
        <w:t>Sr</w:t>
      </w:r>
      <w:r w:rsidR="009833DB">
        <w:rPr>
          <w:rFonts w:ascii="Garamond" w:eastAsia="Times New Roman" w:hAnsi="Garamond" w:cs="Times New Roman"/>
          <w:kern w:val="0"/>
          <w:sz w:val="22"/>
          <w:szCs w:val="22"/>
          <w:vertAlign w:val="superscript"/>
          <w14:ligatures w14:val="none"/>
        </w:rPr>
        <w:t>87</w:t>
      </w:r>
      <w:r w:rsidR="009833DB">
        <w:rPr>
          <w:rFonts w:ascii="Garamond" w:eastAsia="Times New Roman" w:hAnsi="Garamond" w:cs="Times New Roman"/>
          <w:kern w:val="0"/>
          <w:sz w:val="22"/>
          <w:szCs w:val="22"/>
          <w14:ligatures w14:val="none"/>
        </w:rPr>
        <w:t>/Sr</w:t>
      </w:r>
      <w:r w:rsidR="009833DB">
        <w:rPr>
          <w:rFonts w:ascii="Garamond" w:eastAsia="Times New Roman" w:hAnsi="Garamond" w:cs="Times New Roman"/>
          <w:kern w:val="0"/>
          <w:sz w:val="22"/>
          <w:szCs w:val="22"/>
          <w:vertAlign w:val="superscript"/>
          <w14:ligatures w14:val="none"/>
        </w:rPr>
        <w:t>86</w:t>
      </w:r>
      <w:r w:rsidR="009833DB" w:rsidRPr="005E64F6">
        <w:rPr>
          <w:rFonts w:ascii="Garamond" w:eastAsia="Times New Roman" w:hAnsi="Garamond" w:cs="Times New Roman"/>
          <w:kern w:val="0"/>
          <w:sz w:val="22"/>
          <w:szCs w:val="22"/>
          <w14:ligatures w14:val="none"/>
        </w:rPr>
        <w:t xml:space="preserve"> values as well as several variance generating processes including </w:t>
      </w:r>
      <w:r w:rsidR="009833DB" w:rsidRPr="005E64F6">
        <w:rPr>
          <w:rFonts w:ascii="Garamond" w:hAnsi="Garamond" w:cstheme="majorHAnsi"/>
          <w:sz w:val="22"/>
          <w:szCs w:val="22"/>
        </w:rPr>
        <w:t xml:space="preserve">analytical, within-population, and </w:t>
      </w:r>
      <w:proofErr w:type="spellStart"/>
      <w:r w:rsidR="009833DB" w:rsidRPr="005E64F6">
        <w:rPr>
          <w:rFonts w:ascii="Garamond" w:hAnsi="Garamond" w:cstheme="majorHAnsi"/>
          <w:sz w:val="22"/>
          <w:szCs w:val="22"/>
        </w:rPr>
        <w:t>isoscape</w:t>
      </w:r>
      <w:proofErr w:type="spellEnd"/>
      <w:r w:rsidR="009833DB" w:rsidRPr="005E64F6">
        <w:rPr>
          <w:rFonts w:ascii="Garamond" w:hAnsi="Garamond" w:cstheme="majorHAnsi"/>
          <w:sz w:val="22"/>
          <w:szCs w:val="22"/>
        </w:rPr>
        <w:t xml:space="preserve"> prediction error</w:t>
      </w:r>
      <w:r w:rsidR="00B07AE4">
        <w:rPr>
          <w:rFonts w:ascii="Garamond" w:hAnsi="Garamond" w:cstheme="majorHAnsi"/>
          <w:sz w:val="22"/>
          <w:szCs w:val="22"/>
        </w:rPr>
        <w:t>s</w:t>
      </w:r>
      <w:r w:rsidR="009833DB" w:rsidRPr="005E64F6">
        <w:rPr>
          <w:rFonts w:ascii="Garamond" w:hAnsi="Garamond" w:cstheme="majorHAnsi"/>
          <w:sz w:val="22"/>
          <w:szCs w:val="22"/>
        </w:rPr>
        <w:t xml:space="preserve">. </w:t>
      </w:r>
      <w:r w:rsidR="009833DB" w:rsidRPr="005E64F6">
        <w:rPr>
          <w:rFonts w:ascii="Garamond" w:eastAsia="Times New Roman" w:hAnsi="Garamond" w:cstheme="majorHAnsi"/>
          <w:color w:val="000000"/>
          <w:sz w:val="22"/>
          <w:szCs w:val="22"/>
        </w:rPr>
        <w:t xml:space="preserve">We assumed all errors were normally distributed, and combined them through the equation: </w:t>
      </w:r>
    </w:p>
    <w:p w14:paraId="5231EB5C" w14:textId="77777777" w:rsidR="009833DB" w:rsidRPr="005E64F6" w:rsidRDefault="00000000" w:rsidP="009833DB">
      <w:pPr>
        <w:spacing w:before="100" w:beforeAutospacing="1" w:after="100" w:afterAutospacing="1" w:line="480" w:lineRule="auto"/>
        <w:ind w:firstLine="720"/>
        <w:rPr>
          <w:rFonts w:ascii="Garamond" w:eastAsia="Times New Roman" w:hAnsi="Garamond" w:cs="Times New Roman"/>
          <w:kern w:val="0"/>
          <w:sz w:val="22"/>
          <w:szCs w:val="22"/>
          <w14:ligatures w14:val="none"/>
        </w:rPr>
      </w:pPr>
      <m:oMathPara>
        <m:oMath>
          <m:sSub>
            <m:sSubPr>
              <m:ctrlPr>
                <w:rPr>
                  <w:rFonts w:ascii="Cambria Math" w:eastAsia="Times New Roman" w:hAnsi="Cambria Math" w:cstheme="majorHAnsi"/>
                  <w:i/>
                  <w:color w:val="000000"/>
                </w:rPr>
              </m:ctrlPr>
            </m:sSubPr>
            <m:e>
              <m:r>
                <w:rPr>
                  <w:rFonts w:ascii="Cambria Math" w:eastAsia="Times New Roman" w:hAnsi="Cambria Math" w:cstheme="majorHAnsi"/>
                  <w:color w:val="000000"/>
                </w:rPr>
                <m:t>σ</m:t>
              </m:r>
            </m:e>
            <m:sub>
              <m:r>
                <w:rPr>
                  <w:rFonts w:ascii="Cambria Math" w:eastAsia="Times New Roman" w:hAnsi="Cambria Math" w:cstheme="majorHAnsi"/>
                  <w:color w:val="000000"/>
                </w:rPr>
                <m:t xml:space="preserve">combined= </m:t>
              </m:r>
              <m:rad>
                <m:radPr>
                  <m:degHide m:val="1"/>
                  <m:ctrlPr>
                    <w:rPr>
                      <w:rFonts w:ascii="Cambria Math" w:eastAsia="Times New Roman" w:hAnsi="Cambria Math" w:cstheme="majorHAnsi"/>
                      <w:i/>
                      <w:color w:val="000000"/>
                    </w:rPr>
                  </m:ctrlPr>
                </m:radPr>
                <m:deg/>
                <m:e>
                  <m:sSubSup>
                    <m:sSubSupPr>
                      <m:ctrlPr>
                        <w:rPr>
                          <w:rFonts w:ascii="Cambria Math" w:eastAsia="Times New Roman" w:hAnsi="Cambria Math" w:cstheme="majorHAnsi"/>
                          <w:i/>
                          <w:color w:val="000000"/>
                        </w:rPr>
                      </m:ctrlPr>
                    </m:sSubSupPr>
                    <m:e>
                      <m:r>
                        <w:rPr>
                          <w:rFonts w:ascii="Cambria Math" w:eastAsia="Times New Roman" w:hAnsi="Cambria Math" w:cstheme="majorHAnsi"/>
                          <w:color w:val="000000"/>
                        </w:rPr>
                        <m:t>σ</m:t>
                      </m:r>
                    </m:e>
                    <m:sub>
                      <m:r>
                        <w:rPr>
                          <w:rFonts w:ascii="Cambria Math" w:eastAsia="Times New Roman" w:hAnsi="Cambria Math" w:cstheme="majorHAnsi"/>
                          <w:color w:val="000000"/>
                        </w:rPr>
                        <m:t>Analytical</m:t>
                      </m:r>
                    </m:sub>
                    <m:sup>
                      <m:r>
                        <w:rPr>
                          <w:rFonts w:ascii="Cambria Math" w:eastAsia="Times New Roman" w:hAnsi="Cambria Math" w:cstheme="majorHAnsi"/>
                          <w:color w:val="000000"/>
                        </w:rPr>
                        <m:t>2</m:t>
                      </m:r>
                    </m:sup>
                  </m:sSubSup>
                  <m:r>
                    <w:rPr>
                      <w:rFonts w:ascii="Cambria Math" w:eastAsia="Times New Roman" w:hAnsi="Cambria Math" w:cstheme="majorHAnsi"/>
                      <w:color w:val="000000"/>
                    </w:rPr>
                    <m:t xml:space="preserve">+ </m:t>
                  </m:r>
                  <m:sSubSup>
                    <m:sSubSupPr>
                      <m:ctrlPr>
                        <w:rPr>
                          <w:rFonts w:ascii="Cambria Math" w:eastAsia="Times New Roman" w:hAnsi="Cambria Math" w:cstheme="majorHAnsi"/>
                          <w:i/>
                          <w:color w:val="000000"/>
                        </w:rPr>
                      </m:ctrlPr>
                    </m:sSubSupPr>
                    <m:e>
                      <m:r>
                        <w:rPr>
                          <w:rFonts w:ascii="Cambria Math" w:eastAsia="Times New Roman" w:hAnsi="Cambria Math" w:cstheme="majorHAnsi"/>
                          <w:color w:val="000000"/>
                        </w:rPr>
                        <m:t>σ</m:t>
                      </m:r>
                    </m:e>
                    <m:sub>
                      <m:r>
                        <w:rPr>
                          <w:rFonts w:ascii="Cambria Math" w:eastAsia="Times New Roman" w:hAnsi="Cambria Math" w:cstheme="majorHAnsi"/>
                          <w:color w:val="000000"/>
                        </w:rPr>
                        <m:t>Within-population</m:t>
                      </m:r>
                    </m:sub>
                    <m:sup>
                      <m:r>
                        <w:rPr>
                          <w:rFonts w:ascii="Cambria Math" w:eastAsia="Times New Roman" w:hAnsi="Cambria Math" w:cstheme="majorHAnsi"/>
                          <w:color w:val="000000"/>
                        </w:rPr>
                        <m:t>2</m:t>
                      </m:r>
                    </m:sup>
                  </m:sSubSup>
                  <m:r>
                    <w:rPr>
                      <w:rFonts w:ascii="Cambria Math" w:eastAsia="Times New Roman" w:hAnsi="Cambria Math" w:cstheme="majorHAnsi"/>
                      <w:color w:val="000000"/>
                    </w:rPr>
                    <m:t xml:space="preserve">+ </m:t>
                  </m:r>
                  <m:sSubSup>
                    <m:sSubSupPr>
                      <m:ctrlPr>
                        <w:rPr>
                          <w:rFonts w:ascii="Cambria Math" w:eastAsia="Times New Roman" w:hAnsi="Cambria Math" w:cstheme="majorHAnsi"/>
                          <w:i/>
                          <w:color w:val="000000"/>
                        </w:rPr>
                      </m:ctrlPr>
                    </m:sSubSupPr>
                    <m:e>
                      <m:r>
                        <w:rPr>
                          <w:rFonts w:ascii="Cambria Math" w:eastAsia="Times New Roman" w:hAnsi="Cambria Math" w:cstheme="majorHAnsi"/>
                          <w:color w:val="000000"/>
                        </w:rPr>
                        <m:t>σ</m:t>
                      </m:r>
                    </m:e>
                    <m:sub>
                      <m:r>
                        <w:rPr>
                          <w:rFonts w:ascii="Cambria Math" w:eastAsia="Times New Roman" w:hAnsi="Cambria Math" w:cstheme="majorHAnsi"/>
                          <w:color w:val="000000"/>
                        </w:rPr>
                        <m:t>isoscape</m:t>
                      </m:r>
                    </m:sub>
                    <m:sup>
                      <m:r>
                        <w:rPr>
                          <w:rFonts w:ascii="Cambria Math" w:eastAsia="Times New Roman" w:hAnsi="Cambria Math" w:cstheme="majorHAnsi"/>
                          <w:color w:val="000000"/>
                        </w:rPr>
                        <m:t>2</m:t>
                      </m:r>
                    </m:sup>
                  </m:sSubSup>
                </m:e>
              </m:rad>
            </m:sub>
          </m:sSub>
        </m:oMath>
      </m:oMathPara>
    </w:p>
    <w:p w14:paraId="601F0841" w14:textId="31DB0A95" w:rsidR="009833DB" w:rsidRPr="00617050" w:rsidRDefault="009833DB" w:rsidP="009833DB">
      <w:pPr>
        <w:spacing w:line="480" w:lineRule="auto"/>
        <w:ind w:firstLine="720"/>
        <w:rPr>
          <w:rFonts w:ascii="Garamond" w:hAnsi="Garamond" w:cstheme="majorHAnsi"/>
          <w:sz w:val="22"/>
          <w:szCs w:val="22"/>
        </w:rPr>
      </w:pPr>
      <w:r w:rsidRPr="00617050">
        <w:rPr>
          <w:rFonts w:ascii="Garamond" w:hAnsi="Garamond" w:cstheme="majorHAnsi"/>
          <w:sz w:val="22"/>
          <w:szCs w:val="22"/>
        </w:rPr>
        <w:lastRenderedPageBreak/>
        <w:t xml:space="preserve">Posterior probability values for each tributary (j) were then calculated using Bayes theorem </w:t>
      </w:r>
      <w:r w:rsidRPr="00617050">
        <w:rPr>
          <w:rFonts w:ascii="Garamond" w:hAnsi="Garamond" w:cstheme="majorHAnsi"/>
          <w:sz w:val="22"/>
          <w:szCs w:val="22"/>
        </w:rPr>
        <w:fldChar w:fldCharType="begin"/>
      </w:r>
      <w:r w:rsidRPr="00617050">
        <w:rPr>
          <w:rFonts w:ascii="Garamond" w:hAnsi="Garamond" w:cstheme="majorHAnsi"/>
          <w:sz w:val="22"/>
          <w:szCs w:val="22"/>
        </w:rPr>
        <w:instrText xml:space="preserve"> ADDIN ZOTERO_ITEM CSL_CITATION {"citationID":"s99EKqrE","properties":{"formattedCitation":"(Brennan &amp; Schindler, 2017; Wunder, 2010)","plainCitation":"(Brennan &amp; Schindler, 2017; Wunder, 2010)","noteIndex":0},"citationItems":[{"id":1694,"uris":["http://zotero.org/users/8421274/items/NSWL6YPN"],"itemData":{"id":1694,"type":"article-journal","abstract":"Production patterns of highly mobile species, such as anadromous fish, often exhibit high spatial and temporal heterogeneity across landscapes. Such variability is often asynchronous in time among habitats, which stabilizes production at aggregate scales of complexity. Reconstructing production patterns explicitly in space and time across multiple scales, however, remains difficult but is important for prioritizing habitat conservation. This is especially true for fishes inhabiting river basins due to long-range dispersal, high mortality at early life stages, complex population structure and elusive life history variation. We develop a new approach for mapping production patterns of Pacific salmon across a large river basin by integrating otolith microchemistry and dendritic isoscape models. The geographically continuous Bayesian assignment framework presented here yielded high accuracies (&gt;90%) and relatively high precisions (precisions &lt;4%; i.e., assignment areas of &lt;530 river km of the 13 100 km total river length) when used to determine the natal source of known-origin juvenile Chinook salmon captured throughout the study region. Integrating these methods enabled us to base estimates of provenance and habitat use of individuals on a per location basis using strontium isotopic data throughout the continuous spatial domain of a river network. Such a framework provides substantial advantages over the more common nominal approach to employing otolith microchemistry to reconstruct movement patterns of fish. In doing so, we reconstructed the spatial production patterns of adult Chinook salmon returning to a large watershed in Bristol Bay, Alaska and illustrate the power of such an approach to conservation efforts.","container-title":"Ecological Applications","DOI":"10.1002/eap.1474","ISSN":"1939-5582","issue":"2","language":"en","note":"_eprint: https://esajournals.onlinelibrary.wiley.com/doi/pdf/10.1002/eap.1474","page":"363-377","source":"Wiley Online Library","title":"Linking otolith microchemistry and dendritic isoscapes to map heterogeneous production of fish across river basins","volume":"27","author":[{"family":"Brennan","given":"Sean R."},{"family":"Schindler","given":"Daniel E."}],"issued":{"date-parts":[["2017"]]}}},{"id":1071,"uris":["http://zotero.org/users/8421274/items/7AQTJQK8"],"itemData":{"id":1071,"type":"chapter","container-title":"Isoscapes","event-place":"Dordrecht","ISBN":"978-90-481-3353-6","language":"en","note":"DOI: 10.1007/978-90-481-3354-3_12","page":"251-270","publisher":"Springer Netherlands","publisher-place":"Dordrecht","source":"DOI.org (Crossref)","title":"Using Isoscapes to Model Probability Surfaces for Determining Geographic Origins","URL":"http://link.springer.com/10.1007/978-90-481-3354-3_12","editor":[{"family":"West","given":"Jason B."},{"family":"Bowen","given":"Gabriel J."},{"family":"Dawson","given":"Todd E."},{"family":"Tu","given":"Kevin P."}],"author":[{"family":"Wunder","given":"Michael B."}],"accessed":{"date-parts":[["2022",9,22]]},"issued":{"date-parts":[["2010"]]}}}],"schema":"https://github.com/citation-style-language/schema/raw/master/csl-citation.json"} </w:instrText>
      </w:r>
      <w:r w:rsidRPr="00617050">
        <w:rPr>
          <w:rFonts w:ascii="Garamond" w:hAnsi="Garamond" w:cstheme="majorHAnsi"/>
          <w:sz w:val="22"/>
          <w:szCs w:val="22"/>
        </w:rPr>
        <w:fldChar w:fldCharType="separate"/>
      </w:r>
      <w:r w:rsidRPr="00617050">
        <w:rPr>
          <w:rFonts w:ascii="Garamond" w:hAnsi="Garamond" w:cstheme="majorHAnsi"/>
          <w:noProof/>
          <w:sz w:val="22"/>
          <w:szCs w:val="22"/>
        </w:rPr>
        <w:t>(Brennan &amp; Schindler, 2017; Wunder, 2010)</w:t>
      </w:r>
      <w:r w:rsidRPr="00617050">
        <w:rPr>
          <w:rFonts w:ascii="Garamond" w:hAnsi="Garamond" w:cstheme="majorHAnsi"/>
          <w:sz w:val="22"/>
          <w:szCs w:val="22"/>
        </w:rPr>
        <w:fldChar w:fldCharType="end"/>
      </w:r>
      <w:r w:rsidRPr="00617050">
        <w:rPr>
          <w:rFonts w:ascii="Garamond" w:hAnsi="Garamond" w:cstheme="majorHAnsi"/>
          <w:sz w:val="22"/>
          <w:szCs w:val="22"/>
        </w:rPr>
        <w:t xml:space="preserve"> ; </w:t>
      </w:r>
    </w:p>
    <w:p w14:paraId="218C8BAB" w14:textId="77777777" w:rsidR="009833DB" w:rsidRPr="005E64F6" w:rsidRDefault="009833DB" w:rsidP="009833DB">
      <w:pPr>
        <w:spacing w:before="100" w:beforeAutospacing="1" w:after="100" w:afterAutospacing="1" w:line="480" w:lineRule="auto"/>
        <w:rPr>
          <w:rFonts w:ascii="Garamond" w:eastAsia="Times New Roman" w:hAnsi="Garamond" w:cs="Times New Roman"/>
          <w:b/>
          <w:bCs/>
          <w:kern w:val="0"/>
          <w:sz w:val="22"/>
          <w:szCs w:val="22"/>
          <w14:ligatures w14:val="none"/>
        </w:rPr>
      </w:pPr>
      <m:oMathPara>
        <m:oMath>
          <m:r>
            <w:rPr>
              <w:rFonts w:ascii="Cambria Math" w:hAnsi="Cambria Math" w:cstheme="majorHAnsi"/>
              <w:sz w:val="18"/>
              <w:szCs w:val="18"/>
            </w:rPr>
            <m:t>P</m:t>
          </m:r>
          <m:d>
            <m:dPr>
              <m:endChr m:val="|"/>
              <m:ctrlPr>
                <w:rPr>
                  <w:rFonts w:ascii="Cambria Math" w:hAnsi="Cambria Math" w:cstheme="majorHAnsi"/>
                  <w:i/>
                  <w:sz w:val="18"/>
                  <w:szCs w:val="18"/>
                </w:rPr>
              </m:ctrlPr>
            </m:dPr>
            <m:e>
              <m:r>
                <w:rPr>
                  <w:rFonts w:ascii="Cambria Math" w:hAnsi="Cambria Math" w:cstheme="majorHAnsi"/>
                  <w:sz w:val="18"/>
                  <w:szCs w:val="18"/>
                </w:rPr>
                <m:t xml:space="preserve">J=j </m:t>
              </m:r>
            </m:e>
          </m:d>
          <m:r>
            <w:rPr>
              <w:rFonts w:ascii="Cambria Math" w:hAnsi="Cambria Math" w:cstheme="majorHAnsi"/>
              <w:sz w:val="18"/>
              <w:szCs w:val="18"/>
            </w:rPr>
            <m:t xml:space="preserve"> O=o, R=rj) ∝  </m:t>
          </m:r>
          <m:d>
            <m:dPr>
              <m:ctrlPr>
                <w:rPr>
                  <w:rFonts w:ascii="Cambria Math" w:hAnsi="Cambria Math" w:cstheme="majorHAnsi"/>
                  <w:i/>
                  <w:sz w:val="18"/>
                  <w:szCs w:val="18"/>
                </w:rPr>
              </m:ctrlPr>
            </m:dPr>
            <m:e>
              <m:sSup>
                <m:sSupPr>
                  <m:ctrlPr>
                    <w:rPr>
                      <w:rFonts w:ascii="Cambria Math" w:hAnsi="Cambria Math" w:cstheme="majorHAnsi"/>
                      <w:i/>
                      <w:sz w:val="18"/>
                      <w:szCs w:val="18"/>
                    </w:rPr>
                  </m:ctrlPr>
                </m:sSupPr>
                <m:e>
                  <m:r>
                    <w:rPr>
                      <w:rFonts w:ascii="Cambria Math" w:hAnsi="Cambria Math" w:cstheme="majorHAnsi"/>
                      <w:sz w:val="18"/>
                      <w:szCs w:val="18"/>
                    </w:rPr>
                    <m:t>1-</m:t>
                  </m:r>
                  <m:f>
                    <m:fPr>
                      <m:ctrlPr>
                        <w:rPr>
                          <w:rFonts w:ascii="Cambria Math" w:hAnsi="Cambria Math" w:cstheme="majorHAnsi"/>
                          <w:i/>
                          <w:sz w:val="18"/>
                          <w:szCs w:val="18"/>
                        </w:rPr>
                      </m:ctrlPr>
                    </m:fPr>
                    <m:num>
                      <m:r>
                        <w:rPr>
                          <w:rFonts w:ascii="Cambria Math" w:hAnsi="Cambria Math" w:cstheme="majorHAnsi"/>
                          <w:sz w:val="18"/>
                          <w:szCs w:val="18"/>
                        </w:rPr>
                        <m:t>1</m:t>
                      </m:r>
                    </m:num>
                    <m:den>
                      <m:r>
                        <w:rPr>
                          <w:rFonts w:ascii="Cambria Math" w:hAnsi="Cambria Math" w:cstheme="majorHAnsi"/>
                          <w:sz w:val="18"/>
                          <w:szCs w:val="18"/>
                        </w:rPr>
                        <m:t>2π</m:t>
                      </m:r>
                      <m:sSub>
                        <m:sSubPr>
                          <m:ctrlPr>
                            <w:rPr>
                              <w:rFonts w:ascii="Cambria Math" w:hAnsi="Cambria Math" w:cstheme="majorHAnsi"/>
                              <w:i/>
                              <w:sz w:val="18"/>
                              <w:szCs w:val="18"/>
                            </w:rPr>
                          </m:ctrlPr>
                        </m:sSubPr>
                        <m:e>
                          <m:r>
                            <w:rPr>
                              <w:rFonts w:ascii="Cambria Math" w:hAnsi="Cambria Math" w:cstheme="majorHAnsi"/>
                              <w:sz w:val="18"/>
                              <w:szCs w:val="18"/>
                            </w:rPr>
                            <m:t>σ</m:t>
                          </m:r>
                        </m:e>
                        <m:sub>
                          <m:r>
                            <w:rPr>
                              <w:rFonts w:ascii="Cambria Math" w:hAnsi="Cambria Math" w:cstheme="majorHAnsi"/>
                              <w:sz w:val="18"/>
                              <w:szCs w:val="18"/>
                            </w:rPr>
                            <m:t>combined</m:t>
                          </m:r>
                        </m:sub>
                      </m:sSub>
                    </m:den>
                  </m:f>
                </m:e>
                <m:sup>
                  <m:sSup>
                    <m:sSupPr>
                      <m:ctrlPr>
                        <w:rPr>
                          <w:rFonts w:ascii="Cambria Math" w:hAnsi="Cambria Math" w:cstheme="majorHAnsi"/>
                          <w:i/>
                          <w:sz w:val="18"/>
                          <w:szCs w:val="18"/>
                        </w:rPr>
                      </m:ctrlPr>
                    </m:sSupPr>
                    <m:e>
                      <m:r>
                        <w:rPr>
                          <w:rFonts w:ascii="Cambria Math" w:hAnsi="Cambria Math" w:cstheme="majorHAnsi"/>
                          <w:sz w:val="18"/>
                          <w:szCs w:val="18"/>
                        </w:rPr>
                        <m:t>(-(o-</m:t>
                      </m:r>
                      <m:sSub>
                        <m:sSubPr>
                          <m:ctrlPr>
                            <w:rPr>
                              <w:rFonts w:ascii="Cambria Math" w:hAnsi="Cambria Math" w:cstheme="majorHAnsi"/>
                              <w:i/>
                              <w:sz w:val="18"/>
                              <w:szCs w:val="18"/>
                            </w:rPr>
                          </m:ctrlPr>
                        </m:sSubPr>
                        <m:e>
                          <m:r>
                            <w:rPr>
                              <w:rFonts w:ascii="Cambria Math" w:hAnsi="Cambria Math" w:cstheme="majorHAnsi"/>
                              <w:sz w:val="18"/>
                              <w:szCs w:val="18"/>
                            </w:rPr>
                            <m:t>r</m:t>
                          </m:r>
                        </m:e>
                        <m:sub>
                          <m:r>
                            <w:rPr>
                              <w:rFonts w:ascii="Cambria Math" w:hAnsi="Cambria Math" w:cstheme="majorHAnsi"/>
                              <w:sz w:val="18"/>
                              <w:szCs w:val="18"/>
                            </w:rPr>
                            <m:t>j</m:t>
                          </m:r>
                        </m:sub>
                      </m:sSub>
                      <m:r>
                        <w:rPr>
                          <w:rFonts w:ascii="Cambria Math" w:hAnsi="Cambria Math" w:cstheme="majorHAnsi"/>
                          <w:sz w:val="18"/>
                          <w:szCs w:val="18"/>
                        </w:rPr>
                        <m:t>)</m:t>
                      </m:r>
                    </m:e>
                    <m:sup>
                      <m:r>
                        <w:rPr>
                          <w:rFonts w:ascii="Cambria Math" w:hAnsi="Cambria Math" w:cstheme="majorHAnsi"/>
                          <w:sz w:val="18"/>
                          <w:szCs w:val="18"/>
                        </w:rPr>
                        <m:t>2</m:t>
                      </m:r>
                    </m:sup>
                  </m:sSup>
                  <m:r>
                    <w:rPr>
                      <w:rFonts w:ascii="Cambria Math" w:hAnsi="Cambria Math" w:cstheme="majorHAnsi"/>
                      <w:sz w:val="18"/>
                      <w:szCs w:val="18"/>
                    </w:rPr>
                    <m:t>/2</m:t>
                  </m:r>
                  <m:sSub>
                    <m:sSubPr>
                      <m:ctrlPr>
                        <w:rPr>
                          <w:rFonts w:ascii="Cambria Math" w:hAnsi="Cambria Math" w:cstheme="majorHAnsi"/>
                          <w:i/>
                          <w:sz w:val="18"/>
                          <w:szCs w:val="18"/>
                        </w:rPr>
                      </m:ctrlPr>
                    </m:sSubPr>
                    <m:e>
                      <m:r>
                        <w:rPr>
                          <w:rFonts w:ascii="Cambria Math" w:hAnsi="Cambria Math" w:cstheme="majorHAnsi"/>
                          <w:sz w:val="18"/>
                          <w:szCs w:val="18"/>
                        </w:rPr>
                        <m:t>σ</m:t>
                      </m:r>
                    </m:e>
                    <m:sub>
                      <m:r>
                        <w:rPr>
                          <w:rFonts w:ascii="Cambria Math" w:hAnsi="Cambria Math" w:cstheme="majorHAnsi"/>
                          <w:sz w:val="18"/>
                          <w:szCs w:val="18"/>
                        </w:rPr>
                        <m:t>combined</m:t>
                      </m:r>
                    </m:sub>
                  </m:sSub>
                  <m:r>
                    <w:rPr>
                      <w:rFonts w:ascii="Cambria Math" w:hAnsi="Cambria Math" w:cstheme="majorHAnsi"/>
                      <w:sz w:val="18"/>
                      <w:szCs w:val="18"/>
                    </w:rPr>
                    <m:t>)</m:t>
                  </m:r>
                </m:sup>
              </m:sSup>
              <m:r>
                <w:rPr>
                  <w:rFonts w:ascii="Cambria Math" w:hAnsi="Cambria Math" w:cstheme="majorHAnsi"/>
                  <w:sz w:val="18"/>
                  <w:szCs w:val="18"/>
                </w:rPr>
                <m:t xml:space="preserve"> </m:t>
              </m:r>
            </m:e>
          </m:d>
          <m:r>
            <w:rPr>
              <w:rFonts w:ascii="Cambria Math" w:hAnsi="Cambria Math" w:cstheme="majorHAnsi"/>
              <w:sz w:val="18"/>
              <w:szCs w:val="18"/>
            </w:rPr>
            <m:t>* Phabitat</m:t>
          </m:r>
          <m:d>
            <m:dPr>
              <m:ctrlPr>
                <w:rPr>
                  <w:rFonts w:ascii="Cambria Math" w:hAnsi="Cambria Math" w:cstheme="majorHAnsi"/>
                  <w:i/>
                  <w:sz w:val="18"/>
                  <w:szCs w:val="18"/>
                </w:rPr>
              </m:ctrlPr>
            </m:dPr>
            <m:e>
              <m:r>
                <w:rPr>
                  <w:rFonts w:ascii="Cambria Math" w:hAnsi="Cambria Math" w:cstheme="majorHAnsi"/>
                  <w:sz w:val="18"/>
                  <w:szCs w:val="18"/>
                </w:rPr>
                <m:t>j</m:t>
              </m:r>
            </m:e>
          </m:d>
          <m:r>
            <w:rPr>
              <w:rFonts w:ascii="Cambria Math" w:hAnsi="Cambria Math" w:cstheme="majorHAnsi"/>
              <w:sz w:val="18"/>
              <w:szCs w:val="18"/>
            </w:rPr>
            <m:t>* PStreamOrder</m:t>
          </m:r>
          <m:d>
            <m:dPr>
              <m:ctrlPr>
                <w:rPr>
                  <w:rFonts w:ascii="Cambria Math" w:hAnsi="Cambria Math" w:cstheme="majorHAnsi"/>
                  <w:i/>
                  <w:sz w:val="18"/>
                  <w:szCs w:val="18"/>
                </w:rPr>
              </m:ctrlPr>
            </m:dPr>
            <m:e>
              <m:r>
                <w:rPr>
                  <w:rFonts w:ascii="Cambria Math" w:hAnsi="Cambria Math" w:cstheme="majorHAnsi"/>
                  <w:sz w:val="18"/>
                  <w:szCs w:val="18"/>
                </w:rPr>
                <m:t>j</m:t>
              </m:r>
            </m:e>
          </m:d>
          <m:r>
            <w:rPr>
              <w:rFonts w:ascii="Cambria Math" w:hAnsi="Cambria Math" w:cstheme="majorHAnsi"/>
              <w:sz w:val="18"/>
              <w:szCs w:val="18"/>
            </w:rPr>
            <m:t>* PPresence(j)</m:t>
          </m:r>
        </m:oMath>
      </m:oMathPara>
    </w:p>
    <w:p w14:paraId="27D6E1BC" w14:textId="002FB1D3" w:rsidR="009833DB" w:rsidRPr="002A3FE3" w:rsidRDefault="009833DB" w:rsidP="00EF730C">
      <w:pPr>
        <w:spacing w:line="480" w:lineRule="auto"/>
        <w:ind w:firstLine="720"/>
        <w:rPr>
          <w:rFonts w:ascii="Garamond" w:eastAsia="Times New Roman" w:hAnsi="Garamond" w:cs="Times New Roman"/>
          <w:kern w:val="0"/>
          <w:sz w:val="22"/>
          <w:szCs w:val="22"/>
          <w14:ligatures w14:val="none"/>
        </w:rPr>
      </w:pPr>
      <w:r w:rsidRPr="00F75AB6">
        <w:rPr>
          <w:rFonts w:ascii="Garamond" w:hAnsi="Garamond" w:cstheme="majorHAnsi"/>
          <w:sz w:val="22"/>
          <w:szCs w:val="22"/>
        </w:rPr>
        <w:t>The probability of an individual assigning to tributary j is defined as the product of the probability of the isotope ratio in the otolith of an individual (o) given the isotope ratio in tributary j (</w:t>
      </w:r>
      <w:proofErr w:type="spellStart"/>
      <w:r w:rsidRPr="00F75AB6">
        <w:rPr>
          <w:rFonts w:ascii="Garamond" w:hAnsi="Garamond" w:cstheme="majorHAnsi"/>
          <w:sz w:val="22"/>
          <w:szCs w:val="22"/>
        </w:rPr>
        <w:t>r_j</w:t>
      </w:r>
      <w:proofErr w:type="spellEnd"/>
      <w:r w:rsidRPr="00F75AB6">
        <w:rPr>
          <w:rFonts w:ascii="Garamond" w:hAnsi="Garamond" w:cstheme="majorHAnsi"/>
          <w:sz w:val="22"/>
          <w:szCs w:val="22"/>
        </w:rPr>
        <w:t>). The probability of the isotope ratio (</w:t>
      </w:r>
      <w:proofErr w:type="spellStart"/>
      <w:r w:rsidRPr="00F75AB6">
        <w:rPr>
          <w:rFonts w:ascii="Garamond" w:hAnsi="Garamond" w:cstheme="majorHAnsi"/>
          <w:sz w:val="22"/>
          <w:szCs w:val="22"/>
        </w:rPr>
        <w:t>rj</w:t>
      </w:r>
      <w:proofErr w:type="spellEnd"/>
      <w:r w:rsidRPr="00F75AB6">
        <w:rPr>
          <w:rFonts w:ascii="Garamond" w:hAnsi="Garamond" w:cstheme="majorHAnsi"/>
          <w:sz w:val="22"/>
          <w:szCs w:val="22"/>
        </w:rPr>
        <w:t xml:space="preserve">) was assumed to be normally distributed with a mean represented by the otolith isotope ratio (o) and an error of </w:t>
      </w:r>
      <m:oMath>
        <m:sSub>
          <m:sSubPr>
            <m:ctrlPr>
              <w:rPr>
                <w:rFonts w:ascii="Cambria Math" w:hAnsi="Cambria Math" w:cstheme="majorHAnsi"/>
                <w:i/>
                <w:sz w:val="22"/>
                <w:szCs w:val="22"/>
              </w:rPr>
            </m:ctrlPr>
          </m:sSubPr>
          <m:e>
            <m:r>
              <w:rPr>
                <w:rFonts w:ascii="Cambria Math" w:hAnsi="Cambria Math" w:cstheme="majorHAnsi"/>
                <w:sz w:val="22"/>
                <w:szCs w:val="22"/>
              </w:rPr>
              <m:t>σ</m:t>
            </m:r>
          </m:e>
          <m:sub>
            <m:r>
              <w:rPr>
                <w:rFonts w:ascii="Cambria Math" w:hAnsi="Cambria Math" w:cstheme="majorHAnsi"/>
                <w:sz w:val="22"/>
                <w:szCs w:val="22"/>
              </w:rPr>
              <m:t>combined</m:t>
            </m:r>
          </m:sub>
        </m:sSub>
      </m:oMath>
      <w:r w:rsidRPr="00F75AB6">
        <w:rPr>
          <w:rFonts w:ascii="Garamond" w:hAnsi="Garamond" w:cstheme="majorHAnsi"/>
          <w:sz w:val="22"/>
          <w:szCs w:val="22"/>
        </w:rPr>
        <w:t xml:space="preserve">. </w:t>
      </w:r>
      <w:r w:rsidRPr="00F75AB6">
        <w:rPr>
          <w:rFonts w:ascii="Garamond" w:eastAsia="Times New Roman" w:hAnsi="Garamond" w:cs="Times New Roman"/>
          <w:kern w:val="0"/>
          <w:sz w:val="22"/>
          <w:szCs w:val="22"/>
          <w14:ligatures w14:val="none"/>
        </w:rPr>
        <w:t xml:space="preserve">Several priors were included to limit assignments to areas within the river basin suitable for spawning Chinook salmon. </w:t>
      </w:r>
      <w:r w:rsidRPr="00F75AB6">
        <w:rPr>
          <w:rFonts w:ascii="Garamond" w:hAnsi="Garamond"/>
          <w:sz w:val="22"/>
          <w:szCs w:val="22"/>
        </w:rPr>
        <w:t xml:space="preserve">First, a </w:t>
      </w:r>
      <w:r w:rsidRPr="00F75AB6">
        <w:rPr>
          <w:rFonts w:ascii="Garamond" w:eastAsia="Times New Roman" w:hAnsi="Garamond"/>
          <w:sz w:val="22"/>
          <w:szCs w:val="22"/>
        </w:rPr>
        <w:t>stream order prior (</w:t>
      </w:r>
      <w:proofErr w:type="spellStart"/>
      <w:r w:rsidRPr="00F75AB6">
        <w:rPr>
          <w:rFonts w:ascii="Garamond" w:eastAsia="Times New Roman" w:hAnsi="Garamond"/>
          <w:sz w:val="22"/>
          <w:szCs w:val="22"/>
        </w:rPr>
        <w:t>PStreamOrder</w:t>
      </w:r>
      <w:proofErr w:type="spellEnd"/>
      <w:r w:rsidRPr="00F75AB6">
        <w:rPr>
          <w:rFonts w:ascii="Garamond" w:eastAsia="Times New Roman" w:hAnsi="Garamond"/>
          <w:sz w:val="22"/>
          <w:szCs w:val="22"/>
        </w:rPr>
        <w:t>)</w:t>
      </w:r>
      <w:r w:rsidRPr="00F75AB6">
        <w:rPr>
          <w:rFonts w:ascii="Garamond" w:hAnsi="Garamond"/>
          <w:sz w:val="22"/>
          <w:szCs w:val="22"/>
        </w:rPr>
        <w:t xml:space="preserve"> was applied to limit assignments to </w:t>
      </w:r>
      <w:r w:rsidR="002A3FE3">
        <w:rPr>
          <w:rFonts w:ascii="Garamond" w:hAnsi="Garamond"/>
          <w:sz w:val="22"/>
          <w:szCs w:val="22"/>
        </w:rPr>
        <w:t xml:space="preserve">tributaries with a stream order of 3 or greater, </w:t>
      </w:r>
      <w:r w:rsidRPr="00F75AB6">
        <w:rPr>
          <w:rFonts w:ascii="Garamond" w:hAnsi="Garamond"/>
          <w:sz w:val="22"/>
          <w:szCs w:val="22"/>
        </w:rPr>
        <w:t xml:space="preserve">reflecting Chinook </w:t>
      </w:r>
      <w:r w:rsidR="0039711B">
        <w:rPr>
          <w:rFonts w:ascii="Garamond" w:hAnsi="Garamond"/>
          <w:sz w:val="22"/>
          <w:szCs w:val="22"/>
        </w:rPr>
        <w:t>s</w:t>
      </w:r>
      <w:r w:rsidRPr="00F75AB6">
        <w:rPr>
          <w:rFonts w:ascii="Garamond" w:hAnsi="Garamond"/>
          <w:sz w:val="22"/>
          <w:szCs w:val="22"/>
        </w:rPr>
        <w:t>almon’s known preference for spawning in larger streams</w:t>
      </w:r>
      <w:r w:rsidR="00143768">
        <w:rPr>
          <w:rFonts w:ascii="Garamond" w:hAnsi="Garamond"/>
          <w:sz w:val="22"/>
          <w:szCs w:val="22"/>
        </w:rPr>
        <w:t xml:space="preserve"> </w:t>
      </w:r>
      <w:r w:rsidR="00143768">
        <w:rPr>
          <w:rFonts w:ascii="Garamond" w:hAnsi="Garamond"/>
          <w:sz w:val="22"/>
          <w:szCs w:val="22"/>
        </w:rPr>
        <w:fldChar w:fldCharType="begin"/>
      </w:r>
      <w:r w:rsidR="00143768">
        <w:rPr>
          <w:rFonts w:ascii="Garamond" w:hAnsi="Garamond"/>
          <w:sz w:val="22"/>
          <w:szCs w:val="22"/>
        </w:rPr>
        <w:instrText xml:space="preserve"> ADDIN ZOTERO_ITEM CSL_CITATION {"citationID":"hf3x3enX","properties":{"formattedCitation":"(Quinn, 2018)","plainCitation":"(Quinn, 2018)","noteIndex":0},"citationItems":[{"id":5568,"uris":["http://zotero.org/users/8421274/items/TBWE7PX7"],"itemData":{"id":5568,"type":"book","publisher":"American Fisheries Society, University of Washington Press","title":"The Behavior and Ecology of Pacific Salmon and Trout","author":[{"family":"Quinn","given":"Thomas P"}],"issued":{"date-parts":[["2018",10]]}}}],"schema":"https://github.com/citation-style-language/schema/raw/master/csl-citation.json"} </w:instrText>
      </w:r>
      <w:r w:rsidR="00143768">
        <w:rPr>
          <w:rFonts w:ascii="Garamond" w:hAnsi="Garamond"/>
          <w:sz w:val="22"/>
          <w:szCs w:val="22"/>
        </w:rPr>
        <w:fldChar w:fldCharType="separate"/>
      </w:r>
      <w:r w:rsidR="00143768">
        <w:rPr>
          <w:rFonts w:ascii="Garamond" w:hAnsi="Garamond"/>
          <w:noProof/>
          <w:sz w:val="22"/>
          <w:szCs w:val="22"/>
        </w:rPr>
        <w:t>(Quinn, 2018)</w:t>
      </w:r>
      <w:r w:rsidR="00143768">
        <w:rPr>
          <w:rFonts w:ascii="Garamond" w:hAnsi="Garamond"/>
          <w:sz w:val="22"/>
          <w:szCs w:val="22"/>
        </w:rPr>
        <w:fldChar w:fldCharType="end"/>
      </w:r>
      <w:r w:rsidR="00143768">
        <w:rPr>
          <w:rFonts w:ascii="Garamond" w:hAnsi="Garamond"/>
          <w:sz w:val="22"/>
          <w:szCs w:val="22"/>
        </w:rPr>
        <w:t>.</w:t>
      </w:r>
      <w:r w:rsidRPr="00F75AB6">
        <w:rPr>
          <w:rFonts w:ascii="Garamond" w:hAnsi="Garamond"/>
          <w:sz w:val="22"/>
          <w:szCs w:val="22"/>
        </w:rPr>
        <w:t xml:space="preserve">  </w:t>
      </w:r>
      <w:r w:rsidR="002A3FE3">
        <w:rPr>
          <w:rFonts w:ascii="Garamond" w:hAnsi="Garamond"/>
          <w:sz w:val="22"/>
          <w:szCs w:val="22"/>
        </w:rPr>
        <w:t>R</w:t>
      </w:r>
      <w:r w:rsidRPr="00F75AB6">
        <w:rPr>
          <w:rFonts w:ascii="Garamond" w:hAnsi="Garamond"/>
          <w:sz w:val="22"/>
          <w:szCs w:val="22"/>
        </w:rPr>
        <w:t xml:space="preserve">eaches with a stream order of </w:t>
      </w:r>
      <w:r w:rsidR="002A3FE3">
        <w:rPr>
          <w:rFonts w:ascii="Garamond" w:hAnsi="Garamond"/>
          <w:sz w:val="22"/>
          <w:szCs w:val="22"/>
        </w:rPr>
        <w:t>3</w:t>
      </w:r>
      <w:r w:rsidRPr="00F75AB6">
        <w:rPr>
          <w:rFonts w:ascii="Garamond" w:hAnsi="Garamond"/>
          <w:sz w:val="22"/>
          <w:szCs w:val="22"/>
        </w:rPr>
        <w:t xml:space="preserve"> or greater were included in assignments (assigned a prior value of 1), while smaller tributaries were excluded (assigned a value of 0). </w:t>
      </w:r>
      <w:r w:rsidRPr="00F75AB6">
        <w:rPr>
          <w:rFonts w:ascii="Garamond" w:eastAsia="Times New Roman" w:hAnsi="Garamond" w:cs="Times New Roman"/>
          <w:kern w:val="0"/>
          <w:sz w:val="22"/>
          <w:szCs w:val="22"/>
          <w14:ligatures w14:val="none"/>
        </w:rPr>
        <w:t>Second, a habitat suitability prior (</w:t>
      </w:r>
      <w:proofErr w:type="spellStart"/>
      <w:r w:rsidRPr="00F75AB6">
        <w:rPr>
          <w:rFonts w:ascii="Garamond" w:eastAsia="Times New Roman" w:hAnsi="Garamond" w:cs="Times New Roman"/>
          <w:kern w:val="0"/>
          <w:sz w:val="22"/>
          <w:szCs w:val="22"/>
          <w14:ligatures w14:val="none"/>
        </w:rPr>
        <w:t>PHabitat</w:t>
      </w:r>
      <w:proofErr w:type="spellEnd"/>
      <w:r w:rsidRPr="00F75AB6">
        <w:rPr>
          <w:rFonts w:ascii="Garamond" w:eastAsia="Times New Roman" w:hAnsi="Garamond" w:cs="Times New Roman"/>
          <w:kern w:val="0"/>
          <w:sz w:val="22"/>
          <w:szCs w:val="22"/>
          <w14:ligatures w14:val="none"/>
        </w:rPr>
        <w:t xml:space="preserve">) was used to exclude exceedingly slow or flat reaches determined to be unsuitable </w:t>
      </w:r>
      <w:r w:rsidR="0088327B">
        <w:rPr>
          <w:rFonts w:ascii="Garamond" w:eastAsia="Times New Roman" w:hAnsi="Garamond" w:cs="Times New Roman"/>
          <w:kern w:val="0"/>
          <w:sz w:val="22"/>
          <w:szCs w:val="22"/>
          <w14:ligatures w14:val="none"/>
        </w:rPr>
        <w:t xml:space="preserve">for </w:t>
      </w:r>
      <w:r w:rsidRPr="00F75AB6">
        <w:rPr>
          <w:rFonts w:ascii="Garamond" w:eastAsia="Times New Roman" w:hAnsi="Garamond" w:cs="Times New Roman"/>
          <w:kern w:val="0"/>
          <w:sz w:val="22"/>
          <w:szCs w:val="22"/>
          <w14:ligatures w14:val="none"/>
        </w:rPr>
        <w:t>spawning Chinook</w:t>
      </w:r>
      <w:r w:rsidR="0088327B">
        <w:rPr>
          <w:rFonts w:ascii="Garamond" w:eastAsia="Times New Roman" w:hAnsi="Garamond" w:cs="Times New Roman"/>
          <w:kern w:val="0"/>
          <w:sz w:val="22"/>
          <w:szCs w:val="22"/>
          <w14:ligatures w14:val="none"/>
        </w:rPr>
        <w:t xml:space="preserve"> salmon</w:t>
      </w:r>
      <w:r w:rsidR="00EF730C">
        <w:rPr>
          <w:rFonts w:ascii="Garamond" w:eastAsia="Times New Roman" w:hAnsi="Garamond" w:cs="Times New Roman"/>
          <w:kern w:val="0"/>
          <w:sz w:val="22"/>
          <w:szCs w:val="22"/>
          <w14:ligatures w14:val="none"/>
        </w:rPr>
        <w:t xml:space="preserve"> </w:t>
      </w:r>
      <w:commentRangeStart w:id="12"/>
      <w:r w:rsidR="00EF730C">
        <w:rPr>
          <w:rFonts w:ascii="Garamond" w:eastAsia="Times New Roman" w:hAnsi="Garamond" w:cs="Times New Roman"/>
          <w:kern w:val="0"/>
          <w:sz w:val="22"/>
          <w:szCs w:val="22"/>
          <w14:ligatures w14:val="none"/>
        </w:rPr>
        <w:fldChar w:fldCharType="begin"/>
      </w:r>
      <w:r w:rsidR="00EF730C">
        <w:rPr>
          <w:rFonts w:ascii="Garamond" w:eastAsia="Times New Roman" w:hAnsi="Garamond" w:cs="Times New Roman"/>
          <w:kern w:val="0"/>
          <w:sz w:val="22"/>
          <w:szCs w:val="22"/>
          <w14:ligatures w14:val="none"/>
        </w:rPr>
        <w:instrText xml:space="preserve"> ADDIN ZOTERO_ITEM CSL_CITATION {"citationID":"H4pJnquA","properties":{"formattedCitation":"(Makhlouf et al., 2025)","plainCitation":"(Makhlouf et al., 2025)","noteIndex":0},"citationItems":[{"id":5397,"uris":["http://zotero.org/users/8421274/items/WRVF2L9N"],"itemData":{"id":5397,"type":"article-journal","abstract":"Understanding the spatial ecology of migratory species is uniquely challenging using conventional approaches. In fisheries such as for Pacific salmon, genetic stock identification (GSI) and isotope-based methods have emerged as strategies for reconstructing spatial ecology but are limited by the spatial resolution of genetic differentiation and isotopic heterogeneity. We show that integrating these complementary datasets improve the spatial resolution of provenance assignments. To do so, we reconstructed basin-wide estimates of natal origin locations for Chinook salmon in the Yukon River using samples (n = 247) from an experimental fishery designed to assess in-season run timing. A combined framework improved precision of likely provenance assignments (stream km &gt; 0.7 posterior probability) by 92% over genetic assignments and 52% over strontium isotope methods. In doing so, we illustrate watershed scale estimates of natal origin distributions with a greater resolution available from GSI or isotope data alone.","container-title":"Limnology and Oceanography Letters","DOI":"10.1002/lol2.70025","ISSN":"2378-2242","issue":"n/a","language":"en","license":"© 2025 The Author(s). Limnology and Oceanography Letters published by Wiley Periodicals LLC on behalf of Association for the Sciences of Limnology and Oceanography.","note":"_eprint: https://onlinelibrary.wiley.com/doi/pdf/10.1002/lol2.70025","source":"Wiley Online Library","title":"Combining genetic and isotope frameworks improves reconstruction of fish provenance across riverscapes","URL":"https://onlinelibrary.wiley.com/doi/abs/10.1002/lol2.70025","volume":"n/a","author":[{"family":"Makhlouf","given":"Ben"},{"family":"Cline","given":"Timothy J."},{"family":"Fernandez","given":"Diego"},{"family":"Seeb","given":"Lisa"},{"family":"Lee","given":"Elizabeth"},{"family":"Gilk-Baumer","given":"Sara"},{"family":"Whited","given":"Diane"},{"family":"Zimmerman","given":"Christian E."},{"family":"Schindler","given":"Daniel E."}],"accessed":{"date-parts":[["2025",6,4]]},"issued":{"date-parts":[["2025"]]}}}],"schema":"https://github.com/citation-style-language/schema/raw/master/csl-citation.json"} </w:instrText>
      </w:r>
      <w:r w:rsidR="00EF730C">
        <w:rPr>
          <w:rFonts w:ascii="Garamond" w:eastAsia="Times New Roman" w:hAnsi="Garamond" w:cs="Times New Roman"/>
          <w:kern w:val="0"/>
          <w:sz w:val="22"/>
          <w:szCs w:val="22"/>
          <w14:ligatures w14:val="none"/>
        </w:rPr>
        <w:fldChar w:fldCharType="separate"/>
      </w:r>
      <w:r w:rsidR="00EF730C">
        <w:rPr>
          <w:rFonts w:ascii="Garamond" w:eastAsia="Times New Roman" w:hAnsi="Garamond" w:cs="Times New Roman"/>
          <w:noProof/>
          <w:kern w:val="0"/>
          <w:sz w:val="22"/>
          <w:szCs w:val="22"/>
          <w14:ligatures w14:val="none"/>
        </w:rPr>
        <w:t>(Makhlouf et al., 2025)</w:t>
      </w:r>
      <w:r w:rsidR="00EF730C">
        <w:rPr>
          <w:rFonts w:ascii="Garamond" w:eastAsia="Times New Roman" w:hAnsi="Garamond" w:cs="Times New Roman"/>
          <w:kern w:val="0"/>
          <w:sz w:val="22"/>
          <w:szCs w:val="22"/>
          <w14:ligatures w14:val="none"/>
        </w:rPr>
        <w:fldChar w:fldCharType="end"/>
      </w:r>
      <w:commentRangeEnd w:id="12"/>
      <w:r w:rsidR="00EF730C">
        <w:rPr>
          <w:rStyle w:val="CommentReference"/>
        </w:rPr>
        <w:commentReference w:id="12"/>
      </w:r>
      <w:r w:rsidRPr="00F75AB6">
        <w:rPr>
          <w:rFonts w:ascii="Garamond" w:eastAsia="Times New Roman" w:hAnsi="Garamond" w:cs="Times New Roman"/>
          <w:kern w:val="0"/>
          <w:sz w:val="22"/>
          <w:szCs w:val="22"/>
          <w14:ligatures w14:val="none"/>
        </w:rPr>
        <w:t xml:space="preserve">. </w:t>
      </w:r>
      <w:r w:rsidRPr="00EF730C">
        <w:rPr>
          <w:rFonts w:ascii="Garamond" w:eastAsia="Times New Roman" w:hAnsi="Garamond" w:cs="Times New Roman"/>
          <w:kern w:val="0"/>
          <w:sz w:val="22"/>
          <w:szCs w:val="22"/>
          <w14:ligatures w14:val="none"/>
        </w:rPr>
        <w:t xml:space="preserve">Finally, data was included on observed locations of spawning </w:t>
      </w:r>
      <w:r w:rsidR="0039711B" w:rsidRPr="00EF730C">
        <w:rPr>
          <w:rFonts w:ascii="Garamond" w:eastAsia="Times New Roman" w:hAnsi="Garamond" w:cs="Times New Roman"/>
          <w:kern w:val="0"/>
          <w:sz w:val="22"/>
          <w:szCs w:val="22"/>
          <w14:ligatures w14:val="none"/>
        </w:rPr>
        <w:t>C</w:t>
      </w:r>
      <w:r w:rsidRPr="00EF730C">
        <w:rPr>
          <w:rFonts w:ascii="Garamond" w:eastAsia="Times New Roman" w:hAnsi="Garamond" w:cs="Times New Roman"/>
          <w:kern w:val="0"/>
          <w:sz w:val="22"/>
          <w:szCs w:val="22"/>
          <w14:ligatures w14:val="none"/>
        </w:rPr>
        <w:t>hinook presence derived from USGS Arctic-Yukon-Kuskokwim (AYK) Chinook Salmon Intrinsic potential mapping</w:t>
      </w:r>
      <w:r w:rsidR="00983880" w:rsidRPr="00EF730C">
        <w:rPr>
          <w:rFonts w:ascii="Garamond" w:eastAsia="Times New Roman" w:hAnsi="Garamond" w:cs="Times New Roman"/>
          <w:kern w:val="0"/>
          <w:sz w:val="22"/>
          <w:szCs w:val="22"/>
          <w14:ligatures w14:val="none"/>
        </w:rPr>
        <w:t xml:space="preserve">, which </w:t>
      </w:r>
      <w:r w:rsidRPr="00EF730C">
        <w:rPr>
          <w:rFonts w:ascii="Garamond" w:eastAsia="Times New Roman" w:hAnsi="Garamond" w:cs="Times New Roman"/>
          <w:kern w:val="0"/>
          <w:sz w:val="22"/>
          <w:szCs w:val="22"/>
          <w14:ligatures w14:val="none"/>
        </w:rPr>
        <w:t>synthesize</w:t>
      </w:r>
      <w:r w:rsidR="00983880" w:rsidRPr="00EF730C">
        <w:rPr>
          <w:rFonts w:ascii="Garamond" w:eastAsia="Times New Roman" w:hAnsi="Garamond" w:cs="Times New Roman"/>
          <w:kern w:val="0"/>
          <w:sz w:val="22"/>
          <w:szCs w:val="22"/>
          <w14:ligatures w14:val="none"/>
        </w:rPr>
        <w:t>d</w:t>
      </w:r>
      <w:r w:rsidRPr="00EF730C">
        <w:rPr>
          <w:rFonts w:ascii="Garamond" w:eastAsia="Times New Roman" w:hAnsi="Garamond" w:cs="Times New Roman"/>
          <w:kern w:val="0"/>
          <w:sz w:val="22"/>
          <w:szCs w:val="22"/>
          <w14:ligatures w14:val="none"/>
        </w:rPr>
        <w:t xml:space="preserve"> several sources of data on observed Chinook salmon spawners to provide </w:t>
      </w:r>
      <w:r w:rsidR="00143768" w:rsidRPr="00EF730C">
        <w:rPr>
          <w:rFonts w:ascii="Garamond" w:eastAsia="Times New Roman" w:hAnsi="Garamond" w:cs="Times New Roman"/>
          <w:kern w:val="0"/>
          <w:sz w:val="22"/>
          <w:szCs w:val="22"/>
          <w14:ligatures w14:val="none"/>
        </w:rPr>
        <w:t xml:space="preserve">data on known </w:t>
      </w:r>
      <w:r w:rsidRPr="00EF730C">
        <w:rPr>
          <w:rFonts w:ascii="Garamond" w:eastAsia="Times New Roman" w:hAnsi="Garamond" w:cs="Times New Roman"/>
          <w:kern w:val="0"/>
          <w:sz w:val="22"/>
          <w:szCs w:val="22"/>
          <w14:ligatures w14:val="none"/>
        </w:rPr>
        <w:t xml:space="preserve">locations with or without </w:t>
      </w:r>
      <w:r w:rsidR="00143768" w:rsidRPr="00EF730C">
        <w:rPr>
          <w:rFonts w:ascii="Garamond" w:eastAsia="Times New Roman" w:hAnsi="Garamond" w:cs="Times New Roman"/>
          <w:kern w:val="0"/>
          <w:sz w:val="22"/>
          <w:szCs w:val="22"/>
          <w14:ligatures w14:val="none"/>
        </w:rPr>
        <w:t>Chinook sa</w:t>
      </w:r>
      <w:r w:rsidR="00EF730C">
        <w:rPr>
          <w:rFonts w:ascii="Garamond" w:eastAsia="Times New Roman" w:hAnsi="Garamond" w:cs="Times New Roman"/>
          <w:kern w:val="0"/>
          <w:sz w:val="22"/>
          <w:szCs w:val="22"/>
          <w14:ligatures w14:val="none"/>
        </w:rPr>
        <w:t>l</w:t>
      </w:r>
      <w:r w:rsidR="00143768" w:rsidRPr="00EF730C">
        <w:rPr>
          <w:rFonts w:ascii="Garamond" w:eastAsia="Times New Roman" w:hAnsi="Garamond" w:cs="Times New Roman"/>
          <w:kern w:val="0"/>
          <w:sz w:val="22"/>
          <w:szCs w:val="22"/>
          <w14:ligatures w14:val="none"/>
        </w:rPr>
        <w:t xml:space="preserve">mon spawners </w:t>
      </w:r>
      <w:r w:rsidR="0088327B" w:rsidRPr="00EF730C">
        <w:rPr>
          <w:rFonts w:ascii="Garamond" w:eastAsia="Times New Roman" w:hAnsi="Garamond" w:cs="Times New Roman"/>
          <w:kern w:val="0"/>
          <w:sz w:val="22"/>
          <w:szCs w:val="22"/>
          <w14:ligatures w14:val="none"/>
        </w:rPr>
        <w:fldChar w:fldCharType="begin"/>
      </w:r>
      <w:r w:rsidR="0088327B" w:rsidRPr="00EF730C">
        <w:rPr>
          <w:rFonts w:ascii="Garamond" w:eastAsia="Times New Roman" w:hAnsi="Garamond" w:cs="Times New Roman"/>
          <w:kern w:val="0"/>
          <w:sz w:val="22"/>
          <w:szCs w:val="22"/>
          <w14:ligatures w14:val="none"/>
        </w:rPr>
        <w:instrText xml:space="preserve"> ADDIN ZOTERO_ITEM CSL_CITATION {"citationID":"GgqWHCm6","properties":{"formattedCitation":"(Falke &amp; Paul, 2025)","plainCitation":"(Falke &amp; Paul, 2025)","noteIndex":0},"citationItems":[{"id":5400,"uris":["http://zotero.org/users/8421274/items/GG56Y5HB"],"itemData":{"id":5400,"type":"dataset","abstract":"Chinook Salmon (Oncorhynchus tshawytscha) are an important commercial, subsistence, and recreational fishery resource in Alaska, and recent population declines have resulted in closures of some Chinook Salmon fisheries. Research into environmental factors involved in the decline of salmon stocks has exposed information gaps regarding fine-scale freshwater habitat quality known to influence Chinook Salmon productivity. We developed spatially-explicit intrinsic habitat potential models for Chinook Salmon freshwater spawning and rearing life-stages based on geomorphic stream network attributes (e.g., gradient, mean annual flow, valley bottom width). Model predictions were applied to individual stream reaches and summarized across synthetic stream networks derived from high-resolution (5-meter) digital elevation models covering the Yukon River drainage west of the US-Canada border and the entire Kuskokwim River drainage (total stream length ~667,000 km across 1.3 million km2 area). Vector spatial datasets include unique reach contributing area (uRCA) and unique reach contributing area valley bottom (uRCA VB) polygons, and confluence to confluence streamline edges derived from the NetMap synthetic streamlines product. Tabular data includes a collection of stream attributes summarized by uRCA or uRCA VB polygons, and habitat model results derived from these stream attributes. See metadata records for individual data elements for a description of input sources, software\nenvironments, data quality, processing steps, and attribute information. Approximately 87,500 and 39,500 stream km were predicted to represent moderate to high (index scores 0.6-1.0) Chinook Salmon rearing and spawning habitat suitability, respectively. Our high-resolution, spatially explicit dataset provides many options for summarizing and visualizing habitat suitability across areal units (e.g., river basins, land management boundaries) and assessing the potential for high suitability habitats outside the known distribution of Chinook Salmon at scales useful for managers and the research community.","DOI":"10.5066/P95AV4JO","license":"Creative Commons Zero v1.0 Universal","medium":"csv,xml,shp","publisher":"U.S. Geological Survey","source":"DOI.org (Datacite)","title":"Stream Attributes and Habitat Intrinsic Potential Model Results to examine Freshwater Habitat Potential for Chinook Salmon in the Yukon and Kuskokwim River Basins, Alaska","URL":"https://www.sciencebase.gov/catalog/item/64df8deed34e5f6cd553baec","author":[{"family":"Falke","given":""},{"family":"Paul","given":""}],"accessed":{"date-parts":[["2025",6,4]]},"issued":{"date-parts":[["2025"]]}}}],"schema":"https://github.com/citation-style-language/schema/raw/master/csl-citation.json"} </w:instrText>
      </w:r>
      <w:r w:rsidR="0088327B" w:rsidRPr="00EF730C">
        <w:rPr>
          <w:rFonts w:ascii="Garamond" w:eastAsia="Times New Roman" w:hAnsi="Garamond" w:cs="Times New Roman"/>
          <w:kern w:val="0"/>
          <w:sz w:val="22"/>
          <w:szCs w:val="22"/>
          <w14:ligatures w14:val="none"/>
        </w:rPr>
        <w:fldChar w:fldCharType="separate"/>
      </w:r>
      <w:r w:rsidR="0088327B" w:rsidRPr="00EF730C">
        <w:rPr>
          <w:rFonts w:ascii="Garamond" w:eastAsia="Times New Roman" w:hAnsi="Garamond" w:cs="Times New Roman"/>
          <w:noProof/>
          <w:kern w:val="0"/>
          <w:sz w:val="22"/>
          <w:szCs w:val="22"/>
          <w14:ligatures w14:val="none"/>
        </w:rPr>
        <w:t>(Falke &amp; Paul, 2025)</w:t>
      </w:r>
      <w:r w:rsidR="0088327B" w:rsidRPr="00EF730C">
        <w:rPr>
          <w:rFonts w:ascii="Garamond" w:eastAsia="Times New Roman" w:hAnsi="Garamond" w:cs="Times New Roman"/>
          <w:kern w:val="0"/>
          <w:sz w:val="22"/>
          <w:szCs w:val="22"/>
          <w14:ligatures w14:val="none"/>
        </w:rPr>
        <w:fldChar w:fldCharType="end"/>
      </w:r>
      <w:r w:rsidR="0088327B" w:rsidRPr="00EF730C">
        <w:rPr>
          <w:rFonts w:ascii="Garamond" w:eastAsia="Times New Roman" w:hAnsi="Garamond" w:cs="Times New Roman"/>
          <w:kern w:val="0"/>
          <w:sz w:val="22"/>
          <w:szCs w:val="22"/>
          <w14:ligatures w14:val="none"/>
        </w:rPr>
        <w:t>.</w:t>
      </w:r>
      <w:r w:rsidR="0088327B">
        <w:rPr>
          <w:rFonts w:ascii="Garamond" w:eastAsia="Times New Roman" w:hAnsi="Garamond" w:cs="Times New Roman"/>
          <w:kern w:val="0"/>
          <w:sz w:val="22"/>
          <w:szCs w:val="22"/>
          <w14:ligatures w14:val="none"/>
        </w:rPr>
        <w:t xml:space="preserve"> </w:t>
      </w:r>
      <w:r w:rsidRPr="00F75AB6">
        <w:rPr>
          <w:rFonts w:ascii="Garamond" w:eastAsia="Times New Roman" w:hAnsi="Garamond" w:cs="Times New Roman"/>
          <w:kern w:val="0"/>
          <w:sz w:val="22"/>
          <w:szCs w:val="22"/>
          <w14:ligatures w14:val="none"/>
        </w:rPr>
        <w:t xml:space="preserve"> To avoid biasing regions without observations but with low sampling effort, this prior was only applied to </w:t>
      </w:r>
      <w:r w:rsidR="002A3FE3">
        <w:rPr>
          <w:rFonts w:ascii="Garamond" w:eastAsia="Times New Roman" w:hAnsi="Garamond" w:cs="Times New Roman"/>
          <w:kern w:val="0"/>
          <w:sz w:val="22"/>
          <w:szCs w:val="22"/>
          <w14:ligatures w14:val="none"/>
        </w:rPr>
        <w:t xml:space="preserve">the two highest stream orders in the dataset (Stream order &gt;= 6). </w:t>
      </w:r>
      <w:r w:rsidRPr="00F75AB6">
        <w:rPr>
          <w:rFonts w:ascii="Garamond" w:eastAsia="Times New Roman" w:hAnsi="Garamond" w:cs="Times New Roman"/>
          <w:kern w:val="0"/>
          <w:sz w:val="22"/>
          <w:szCs w:val="22"/>
          <w14:ligatures w14:val="none"/>
        </w:rPr>
        <w:t xml:space="preserve">From these tributaries, reaches identified as </w:t>
      </w:r>
      <w:r w:rsidR="00983880">
        <w:rPr>
          <w:rFonts w:ascii="Garamond" w:eastAsia="Times New Roman" w:hAnsi="Garamond" w:cs="Times New Roman"/>
          <w:kern w:val="0"/>
          <w:sz w:val="22"/>
          <w:szCs w:val="22"/>
          <w14:ligatures w14:val="none"/>
        </w:rPr>
        <w:t xml:space="preserve">consistently </w:t>
      </w:r>
      <w:r w:rsidRPr="00F75AB6">
        <w:rPr>
          <w:rFonts w:ascii="Garamond" w:eastAsia="Times New Roman" w:hAnsi="Garamond" w:cs="Times New Roman"/>
          <w:kern w:val="0"/>
          <w:sz w:val="22"/>
          <w:szCs w:val="22"/>
          <w14:ligatures w14:val="none"/>
        </w:rPr>
        <w:t xml:space="preserve">lacking observed Chinook spawning were assigned as a value of 0. </w:t>
      </w:r>
    </w:p>
    <w:p w14:paraId="3FE47FE6" w14:textId="77777777" w:rsidR="0097261B" w:rsidRDefault="009110AF" w:rsidP="000C429D">
      <w:pPr>
        <w:spacing w:line="480" w:lineRule="auto"/>
        <w:ind w:firstLine="720"/>
        <w:rPr>
          <w:rFonts w:ascii="Garamond" w:hAnsi="Garamond"/>
          <w:sz w:val="22"/>
          <w:szCs w:val="22"/>
        </w:rPr>
      </w:pPr>
      <w:r>
        <w:rPr>
          <w:rFonts w:ascii="Garamond" w:hAnsi="Garamond"/>
          <w:sz w:val="22"/>
          <w:szCs w:val="22"/>
        </w:rPr>
        <w:t xml:space="preserve">To estimate the spatial distribution of natal origins </w:t>
      </w:r>
      <w:r w:rsidR="00EF730C">
        <w:rPr>
          <w:rFonts w:ascii="Garamond" w:hAnsi="Garamond"/>
          <w:sz w:val="22"/>
          <w:szCs w:val="22"/>
        </w:rPr>
        <w:t>across</w:t>
      </w:r>
      <w:r>
        <w:rPr>
          <w:rFonts w:ascii="Garamond" w:hAnsi="Garamond"/>
          <w:sz w:val="22"/>
          <w:szCs w:val="22"/>
        </w:rPr>
        <w:t xml:space="preserve"> a subset of the population, </w:t>
      </w:r>
      <w:r w:rsidR="009F3E36" w:rsidRPr="009F3E36">
        <w:rPr>
          <w:rFonts w:ascii="Garamond" w:hAnsi="Garamond"/>
          <w:sz w:val="22"/>
          <w:szCs w:val="22"/>
        </w:rPr>
        <w:t xml:space="preserve">posterior probability values </w:t>
      </w:r>
      <w:r w:rsidR="00EF730C">
        <w:rPr>
          <w:rFonts w:ascii="Garamond" w:hAnsi="Garamond"/>
          <w:sz w:val="22"/>
          <w:szCs w:val="22"/>
        </w:rPr>
        <w:t xml:space="preserve">for all individuals in the subset </w:t>
      </w:r>
      <w:r>
        <w:rPr>
          <w:rFonts w:ascii="Garamond" w:hAnsi="Garamond"/>
          <w:sz w:val="22"/>
          <w:szCs w:val="22"/>
        </w:rPr>
        <w:t xml:space="preserve">were summed </w:t>
      </w:r>
      <w:r w:rsidR="00983880">
        <w:rPr>
          <w:rFonts w:ascii="Garamond" w:hAnsi="Garamond"/>
          <w:sz w:val="22"/>
          <w:szCs w:val="22"/>
        </w:rPr>
        <w:t xml:space="preserve">at </w:t>
      </w:r>
      <w:r w:rsidR="00EF730C">
        <w:rPr>
          <w:rFonts w:ascii="Garamond" w:hAnsi="Garamond"/>
          <w:sz w:val="22"/>
          <w:szCs w:val="22"/>
        </w:rPr>
        <w:t>each location</w:t>
      </w:r>
      <w:r w:rsidR="00983880">
        <w:rPr>
          <w:rFonts w:ascii="Garamond" w:hAnsi="Garamond"/>
          <w:sz w:val="22"/>
          <w:szCs w:val="22"/>
        </w:rPr>
        <w:t>.</w:t>
      </w:r>
      <w:r>
        <w:rPr>
          <w:rFonts w:ascii="Garamond" w:hAnsi="Garamond"/>
          <w:sz w:val="22"/>
          <w:szCs w:val="22"/>
        </w:rPr>
        <w:t xml:space="preserve"> </w:t>
      </w:r>
      <w:r w:rsidR="00EF730C">
        <w:rPr>
          <w:rFonts w:ascii="Garamond" w:hAnsi="Garamond"/>
          <w:sz w:val="22"/>
          <w:szCs w:val="22"/>
        </w:rPr>
        <w:t>Before summing, o</w:t>
      </w:r>
      <w:r>
        <w:rPr>
          <w:rFonts w:ascii="Garamond" w:hAnsi="Garamond"/>
          <w:sz w:val="22"/>
          <w:szCs w:val="22"/>
        </w:rPr>
        <w:t>nly highly likely locations</w:t>
      </w:r>
      <w:r w:rsidR="0097261B">
        <w:rPr>
          <w:rFonts w:ascii="Garamond" w:hAnsi="Garamond"/>
          <w:sz w:val="22"/>
          <w:szCs w:val="22"/>
        </w:rPr>
        <w:t xml:space="preserve"> (</w:t>
      </w:r>
      <w:r w:rsidR="00EF730C">
        <w:rPr>
          <w:rFonts w:ascii="Garamond" w:hAnsi="Garamond"/>
          <w:sz w:val="22"/>
          <w:szCs w:val="22"/>
        </w:rPr>
        <w:t xml:space="preserve">the top </w:t>
      </w:r>
      <w:r>
        <w:rPr>
          <w:rFonts w:ascii="Garamond" w:hAnsi="Garamond"/>
          <w:sz w:val="22"/>
          <w:szCs w:val="22"/>
        </w:rPr>
        <w:t>30% of posterior values</w:t>
      </w:r>
      <w:r w:rsidR="0097261B">
        <w:rPr>
          <w:rFonts w:ascii="Garamond" w:hAnsi="Garamond"/>
          <w:sz w:val="22"/>
          <w:szCs w:val="22"/>
        </w:rPr>
        <w:t>)</w:t>
      </w:r>
      <w:r>
        <w:rPr>
          <w:rFonts w:ascii="Garamond" w:hAnsi="Garamond"/>
          <w:sz w:val="22"/>
          <w:szCs w:val="22"/>
        </w:rPr>
        <w:t xml:space="preserve"> were retained whereas all other values were assigned a value of 0</w:t>
      </w:r>
      <w:r w:rsidR="0097261B">
        <w:rPr>
          <w:rFonts w:ascii="Garamond" w:hAnsi="Garamond"/>
          <w:sz w:val="22"/>
          <w:szCs w:val="22"/>
        </w:rPr>
        <w:t xml:space="preserve"> </w:t>
      </w:r>
      <w:r w:rsidR="0097261B">
        <w:rPr>
          <w:rFonts w:ascii="Garamond" w:hAnsi="Garamond"/>
          <w:sz w:val="22"/>
          <w:szCs w:val="22"/>
        </w:rPr>
        <w:fldChar w:fldCharType="begin"/>
      </w:r>
      <w:r w:rsidR="0097261B">
        <w:rPr>
          <w:rFonts w:ascii="Garamond" w:hAnsi="Garamond"/>
          <w:sz w:val="22"/>
          <w:szCs w:val="22"/>
        </w:rPr>
        <w:instrText xml:space="preserve"> ADDIN ZOTERO_ITEM CSL_CITATION {"citationID":"NBaxQoVY","properties":{"formattedCitation":"(Brennan &amp; Schindler, 2017; Vander Zanden et al., 2015)","plainCitation":"(Brennan &amp; Schindler, 2017; Vander Zanden et al., 2015)","noteIndex":0},"citationItems":[{"id":1694,"uris":["http://zotero.org/users/8421274/items/NSWL6YPN"],"itemData":{"id":1694,"type":"article-journal","abstract":"Production patterns of highly mobile species, such as anadromous fish, often exhibit high spatial and temporal heterogeneity across landscapes. Such variability is often asynchronous in time among habitats, which stabilizes production at aggregate scales of complexity. Reconstructing production patterns explicitly in space and time across multiple scales, however, remains difficult but is important for prioritizing habitat conservation. This is especially true for fishes inhabiting river basins due to long-range dispersal, high mortality at early life stages, complex population structure and elusive life history variation. We develop a new approach for mapping production patterns of Pacific salmon across a large river basin by integrating otolith microchemistry and dendritic isoscape models. The geographically continuous Bayesian assignment framework presented here yielded high accuracies (&gt;90%) and relatively high precisions (precisions &lt;4%; i.e., assignment areas of &lt;530 river km of the 13 100 km total river length) when used to determine the natal source of known-origin juvenile Chinook salmon captured throughout the study region. Integrating these methods enabled us to base estimates of provenance and habitat use of individuals on a per location basis using strontium isotopic data throughout the continuous spatial domain of a river network. Such a framework provides substantial advantages over the more common nominal approach to employing otolith microchemistry to reconstruct movement patterns of fish. In doing so, we reconstructed the spatial production patterns of adult Chinook salmon returning to a large watershed in Bristol Bay, Alaska and illustrate the power of such an approach to conservation efforts.","container-title":"Ecological Applications","DOI":"10.1002/eap.1474","ISSN":"1939-5582","issue":"2","language":"en","note":"_eprint: https://esajournals.onlinelibrary.wiley.com/doi/pdf/10.1002/eap.1474","page":"363-377","source":"Wiley Online Library","title":"Linking otolith microchemistry and dendritic isoscapes to map heterogeneous production of fish across river basins","volume":"27","author":[{"family":"Brennan","given":"Sean R."},{"family":"Schindler","given":"Daniel E."}],"issued":{"date-parts":[["2017"]]}}},{"id":5569,"uris":["http://zotero.org/users/8421274/items/MSKF925L"],"itemData":{"id":5569,"type":"article-journal","abstract":"Stable isotope analysis is a useful tool to track animal movements in both terrestrial and marine environments. These intrinsic markers are assimilated through the diet and may exhibit spatial gradients as a result of biogeochemical processes at the base of the food web. In the marine environment, maps to predict the spatial distribution of stable isotopes are limited, and thus determining geographic origin has been reliant upon integrating satellite telemetry and stable isotope data. Migratory sea turtles regularly move between foraging and reproductive areas. Whereas most nesting populations can be easily accessed and regularly monitored, little is known about the demographic trends in foraging populations. The purpose of the present study was to examine migration patterns of loggerhead nesting aggregations in the Gulf of Mexico (GoM), where sea turtles have been historically understudied. Two methods of geographic assignment using stable isotope values in known-origin samples from satellite telemetry were compared: (1) a nominal approach through discriminant analysis and (2) a novel continuous-surface approach using bivariate carbon and nitrogen isoscapes (isotopic landscapes) developed for this study. Tissue samples for stable isotope analysis were obtained from 60 satellite-tracked individuals at five nesting beaches within the GoM. Both methodological approaches for assignment resulted in high accuracy of foraging area determination, though each has advantages and disadvantages. The nominal approach is more appropriate when defined boundaries are necessary, but up to 42% of the individuals could not be considered in this approach. All individuals can be included in the continuous-surface approach, and individual results can be aggregated to identify geographic hotspots of foraging area use, though the accuracy rate was lower than nominal assignment. The methodological validation provides a foundation for future sea turtle studies in the region to inexpensively determine geographic origin for large numbers of untracked individuals. Regular monitoring of sea turtle nesting aggregations with stable isotope sampling can be used to fill critical data gaps regarding habitat use and migration patterns. Probabilistic assignment to origin with isoscapes has not been previously used in the marine environment, but the methods presented here could also be applied to other migratory marine species.","container-title":"Ecological Applications","DOI":"10.1890/14-0581.1","ISSN":"1939-5582","issue":"2","language":"en","license":"© 2015 by the Ecological Society of America","note":"_eprint: https://esajournals.onlinelibrary.wiley.com/doi/pdf/10.1890/14-0581.1","page":"320-335","source":"Wiley Online Library","title":"Determining origin in a migratory marine vertebrate: a novel method to integrate stable isotopes and satellite tracking","title-short":"Determining origin in a migratory marine vertebrate","volume":"25","author":[{"family":"Vander Zanden","given":"Hannah B."},{"family":"Tucker","given":"Anton D."},{"family":"Hart","given":"Kristen M."},{"family":"Lamont","given":"Margaret M."},{"family":"Fujisaki","given":"Ikuko"},{"family":"Addison","given":"David S."},{"family":"Mansfield","given":"Katherine L."},{"family":"Phillips","given":"Katrina F."},{"family":"Wunder","given":"Michael B."},{"family":"Bowen","given":"Gabriel J."},{"family":"Pajuelo","given":"Mariela"},{"family":"Bolten","given":"Alan B."},{"family":"Bjorndal","given":"Karen A."}],"issued":{"date-parts":[["2015"]]}}}],"schema":"https://github.com/citation-style-language/schema/raw/master/csl-citation.json"} </w:instrText>
      </w:r>
      <w:r w:rsidR="0097261B">
        <w:rPr>
          <w:rFonts w:ascii="Garamond" w:hAnsi="Garamond"/>
          <w:sz w:val="22"/>
          <w:szCs w:val="22"/>
        </w:rPr>
        <w:fldChar w:fldCharType="separate"/>
      </w:r>
      <w:r w:rsidR="0097261B">
        <w:rPr>
          <w:rFonts w:ascii="Garamond" w:hAnsi="Garamond"/>
          <w:noProof/>
          <w:sz w:val="22"/>
          <w:szCs w:val="22"/>
        </w:rPr>
        <w:t>(Brennan &amp; Schindler, 2017; Vander Zanden et al., 2015)</w:t>
      </w:r>
      <w:r w:rsidR="0097261B">
        <w:rPr>
          <w:rFonts w:ascii="Garamond" w:hAnsi="Garamond"/>
          <w:sz w:val="22"/>
          <w:szCs w:val="22"/>
        </w:rPr>
        <w:fldChar w:fldCharType="end"/>
      </w:r>
      <w:r w:rsidR="0097261B">
        <w:rPr>
          <w:rFonts w:ascii="Garamond" w:hAnsi="Garamond"/>
          <w:sz w:val="22"/>
          <w:szCs w:val="22"/>
        </w:rPr>
        <w:t>. Subsets for which estimates of n</w:t>
      </w:r>
      <w:r>
        <w:rPr>
          <w:rFonts w:ascii="Garamond" w:hAnsi="Garamond"/>
          <w:sz w:val="22"/>
          <w:szCs w:val="22"/>
        </w:rPr>
        <w:t xml:space="preserve">atal origin were produced </w:t>
      </w:r>
      <w:r w:rsidR="0097261B">
        <w:rPr>
          <w:rFonts w:ascii="Garamond" w:hAnsi="Garamond"/>
          <w:sz w:val="22"/>
          <w:szCs w:val="22"/>
        </w:rPr>
        <w:t xml:space="preserve">include </w:t>
      </w:r>
      <w:r w:rsidR="009F3E36" w:rsidRPr="009F3E36">
        <w:rPr>
          <w:rFonts w:ascii="Garamond" w:hAnsi="Garamond"/>
          <w:sz w:val="22"/>
          <w:szCs w:val="22"/>
        </w:rPr>
        <w:t xml:space="preserve">predefined </w:t>
      </w:r>
      <w:r w:rsidR="0097261B">
        <w:rPr>
          <w:rFonts w:ascii="Garamond" w:hAnsi="Garamond"/>
          <w:sz w:val="22"/>
          <w:szCs w:val="22"/>
        </w:rPr>
        <w:t xml:space="preserve">four </w:t>
      </w:r>
      <w:r w:rsidR="009F3E36" w:rsidRPr="009F3E36">
        <w:rPr>
          <w:rFonts w:ascii="Garamond" w:hAnsi="Garamond"/>
          <w:sz w:val="22"/>
          <w:szCs w:val="22"/>
        </w:rPr>
        <w:t xml:space="preserve">temporal quartiles </w:t>
      </w:r>
      <w:r w:rsidR="0039711B">
        <w:rPr>
          <w:rFonts w:ascii="Garamond" w:hAnsi="Garamond"/>
          <w:sz w:val="22"/>
          <w:szCs w:val="22"/>
        </w:rPr>
        <w:t xml:space="preserve">of the salmon migration season </w:t>
      </w:r>
      <w:r w:rsidR="009F3E36" w:rsidRPr="009F3E36">
        <w:rPr>
          <w:rFonts w:ascii="Garamond" w:hAnsi="Garamond"/>
          <w:sz w:val="22"/>
          <w:szCs w:val="22"/>
        </w:rPr>
        <w:t xml:space="preserve">based on capture </w:t>
      </w:r>
      <w:r w:rsidR="009F3E36" w:rsidRPr="009F3E36">
        <w:rPr>
          <w:rFonts w:ascii="Garamond" w:hAnsi="Garamond"/>
          <w:sz w:val="22"/>
          <w:szCs w:val="22"/>
        </w:rPr>
        <w:lastRenderedPageBreak/>
        <w:t>date: Q1 (run start through June 11), Q2 (June 12-21), Q3 (June 22-July 1), and Q4 (July 2 onward).</w:t>
      </w:r>
      <w:ins w:id="13" w:author="Daniel Schindler" w:date="2025-07-17T13:30:00Z" w16du:dateUtc="2025-07-17T21:30:00Z">
        <w:r w:rsidR="0015783A">
          <w:rPr>
            <w:rFonts w:ascii="Garamond" w:hAnsi="Garamond"/>
            <w:sz w:val="22"/>
            <w:szCs w:val="22"/>
          </w:rPr>
          <w:t xml:space="preserve"> </w:t>
        </w:r>
      </w:ins>
      <w:r w:rsidR="00863C27">
        <w:rPr>
          <w:rFonts w:ascii="Garamond" w:hAnsi="Garamond"/>
          <w:sz w:val="22"/>
          <w:szCs w:val="22"/>
        </w:rPr>
        <w:t xml:space="preserve">These dates were chosen to roughly split the full run into </w:t>
      </w:r>
      <w:r w:rsidR="0088327B">
        <w:rPr>
          <w:rFonts w:ascii="Garamond" w:hAnsi="Garamond"/>
          <w:sz w:val="22"/>
          <w:szCs w:val="22"/>
        </w:rPr>
        <w:t>four</w:t>
      </w:r>
      <w:r w:rsidR="00863C27">
        <w:rPr>
          <w:rFonts w:ascii="Garamond" w:hAnsi="Garamond"/>
          <w:sz w:val="22"/>
          <w:szCs w:val="22"/>
        </w:rPr>
        <w:t xml:space="preserve"> </w:t>
      </w:r>
      <w:r w:rsidR="0088327B">
        <w:rPr>
          <w:rFonts w:ascii="Garamond" w:hAnsi="Garamond"/>
          <w:sz w:val="22"/>
          <w:szCs w:val="22"/>
        </w:rPr>
        <w:t xml:space="preserve">equal </w:t>
      </w:r>
      <w:r w:rsidR="00863C27">
        <w:rPr>
          <w:rFonts w:ascii="Garamond" w:hAnsi="Garamond"/>
          <w:sz w:val="22"/>
          <w:szCs w:val="22"/>
        </w:rPr>
        <w:t>quartiles</w:t>
      </w:r>
      <w:r w:rsidR="0088327B">
        <w:rPr>
          <w:rFonts w:ascii="Garamond" w:hAnsi="Garamond"/>
          <w:sz w:val="22"/>
          <w:szCs w:val="22"/>
        </w:rPr>
        <w:t xml:space="preserve"> while allowing for direct comparison among years</w:t>
      </w:r>
      <w:r w:rsidR="00863C27">
        <w:rPr>
          <w:rFonts w:ascii="Garamond" w:hAnsi="Garamond"/>
          <w:sz w:val="22"/>
          <w:szCs w:val="22"/>
        </w:rPr>
        <w:t xml:space="preserve">. </w:t>
      </w:r>
      <w:r w:rsidR="0039711B">
        <w:rPr>
          <w:rFonts w:ascii="Garamond" w:hAnsi="Garamond"/>
          <w:sz w:val="22"/>
          <w:szCs w:val="22"/>
        </w:rPr>
        <w:t>The June 11 date was chosen specifically to match the end of the ‘front end closure’ of the subsistence fishery</w:t>
      </w:r>
      <w:r w:rsidR="0097261B">
        <w:rPr>
          <w:rFonts w:ascii="Garamond" w:hAnsi="Garamond"/>
          <w:sz w:val="22"/>
          <w:szCs w:val="22"/>
        </w:rPr>
        <w:t xml:space="preserve">. </w:t>
      </w:r>
      <w:r w:rsidR="00D149EB">
        <w:rPr>
          <w:rFonts w:ascii="Garamond" w:hAnsi="Garamond"/>
          <w:sz w:val="22"/>
          <w:szCs w:val="22"/>
        </w:rPr>
        <w:t xml:space="preserve">Estimates were also produced for the full run </w:t>
      </w:r>
      <w:r w:rsidR="000C429D">
        <w:rPr>
          <w:rFonts w:ascii="Garamond" w:hAnsi="Garamond"/>
          <w:sz w:val="22"/>
          <w:szCs w:val="22"/>
        </w:rPr>
        <w:t>in</w:t>
      </w:r>
      <w:r w:rsidR="00D149EB">
        <w:rPr>
          <w:rFonts w:ascii="Garamond" w:hAnsi="Garamond"/>
          <w:sz w:val="22"/>
          <w:szCs w:val="22"/>
        </w:rPr>
        <w:t xml:space="preserve"> each year.</w:t>
      </w:r>
      <w:r w:rsidR="000C429D">
        <w:rPr>
          <w:rFonts w:ascii="Garamond" w:hAnsi="Garamond"/>
          <w:sz w:val="22"/>
          <w:szCs w:val="22"/>
        </w:rPr>
        <w:t xml:space="preserve"> </w:t>
      </w:r>
    </w:p>
    <w:p w14:paraId="3CB550D3" w14:textId="53DD3F25" w:rsidR="000C429D" w:rsidRDefault="000C429D" w:rsidP="007F747D">
      <w:pPr>
        <w:spacing w:line="480" w:lineRule="auto"/>
        <w:ind w:firstLine="720"/>
        <w:rPr>
          <w:rFonts w:ascii="Garamond" w:hAnsi="Garamond"/>
          <w:sz w:val="22"/>
          <w:szCs w:val="22"/>
        </w:rPr>
      </w:pPr>
      <w:r w:rsidRPr="007F747D">
        <w:rPr>
          <w:rFonts w:ascii="Garamond" w:hAnsi="Garamond"/>
          <w:sz w:val="22"/>
          <w:szCs w:val="22"/>
        </w:rPr>
        <w:t>Twenty</w:t>
      </w:r>
      <w:r w:rsidR="009F3E36" w:rsidRPr="007F747D">
        <w:rPr>
          <w:rFonts w:ascii="Garamond" w:hAnsi="Garamond"/>
          <w:sz w:val="22"/>
          <w:szCs w:val="22"/>
        </w:rPr>
        <w:t>-one management units</w:t>
      </w:r>
      <w:r w:rsidR="007F747D" w:rsidRPr="007F747D">
        <w:rPr>
          <w:rFonts w:ascii="Garamond" w:hAnsi="Garamond"/>
          <w:sz w:val="22"/>
          <w:szCs w:val="22"/>
        </w:rPr>
        <w:t xml:space="preserve"> or “stocks”</w:t>
      </w:r>
      <w:r w:rsidR="009F3E36" w:rsidRPr="007F747D">
        <w:rPr>
          <w:rFonts w:ascii="Garamond" w:hAnsi="Garamond"/>
          <w:sz w:val="22"/>
          <w:szCs w:val="22"/>
        </w:rPr>
        <w:t xml:space="preserve"> were defined to aggregate tributary-level estimates into units relevant to current management practices (Figure 2). </w:t>
      </w:r>
      <w:r w:rsidR="0097261B" w:rsidRPr="007F747D">
        <w:rPr>
          <w:rFonts w:ascii="Garamond" w:hAnsi="Garamond"/>
          <w:sz w:val="22"/>
          <w:szCs w:val="22"/>
        </w:rPr>
        <w:t xml:space="preserve">Rivers </w:t>
      </w:r>
      <w:r w:rsidR="009F3E36" w:rsidRPr="007F747D">
        <w:rPr>
          <w:rFonts w:ascii="Garamond" w:hAnsi="Garamond"/>
          <w:sz w:val="22"/>
          <w:szCs w:val="22"/>
        </w:rPr>
        <w:t xml:space="preserve">of </w:t>
      </w:r>
      <w:r w:rsidR="0097261B" w:rsidRPr="007F747D">
        <w:rPr>
          <w:rFonts w:ascii="Garamond" w:hAnsi="Garamond"/>
          <w:sz w:val="22"/>
          <w:szCs w:val="22"/>
        </w:rPr>
        <w:t xml:space="preserve">management </w:t>
      </w:r>
      <w:r w:rsidR="009F3E36" w:rsidRPr="007F747D">
        <w:rPr>
          <w:rFonts w:ascii="Garamond" w:hAnsi="Garamond"/>
          <w:sz w:val="22"/>
          <w:szCs w:val="22"/>
        </w:rPr>
        <w:t xml:space="preserve">interest to the Alaska Department of Fish </w:t>
      </w:r>
      <w:r w:rsidR="00401EE2" w:rsidRPr="007F747D">
        <w:rPr>
          <w:rFonts w:ascii="Garamond" w:hAnsi="Garamond"/>
          <w:sz w:val="22"/>
          <w:szCs w:val="22"/>
        </w:rPr>
        <w:t xml:space="preserve">&amp; </w:t>
      </w:r>
      <w:r w:rsidR="009F3E36" w:rsidRPr="007F747D">
        <w:rPr>
          <w:rFonts w:ascii="Garamond" w:hAnsi="Garamond"/>
          <w:sz w:val="22"/>
          <w:szCs w:val="22"/>
        </w:rPr>
        <w:t>Game were identified by</w:t>
      </w:r>
      <w:r w:rsidR="003442B4" w:rsidRPr="007F747D">
        <w:rPr>
          <w:rFonts w:ascii="Garamond" w:hAnsi="Garamond"/>
          <w:sz w:val="22"/>
          <w:szCs w:val="22"/>
        </w:rPr>
        <w:t xml:space="preserve"> </w:t>
      </w:r>
      <w:commentRangeStart w:id="14"/>
      <w:ins w:id="15" w:author="Daniel Schindler" w:date="2025-07-17T13:31:00Z" w16du:dateUtc="2025-07-17T21:31:00Z">
        <w:r w:rsidR="00401EE2" w:rsidRPr="007F747D">
          <w:rPr>
            <w:rFonts w:ascii="Garamond" w:hAnsi="Garamond"/>
            <w:sz w:val="22"/>
            <w:szCs w:val="22"/>
          </w:rPr>
          <w:t>(Liller reference?)</w:t>
        </w:r>
      </w:ins>
      <w:r w:rsidR="007F747D" w:rsidRPr="007F747D">
        <w:rPr>
          <w:rStyle w:val="CommentReference"/>
          <w:rFonts w:ascii="Garamond" w:hAnsi="Garamond"/>
          <w:sz w:val="22"/>
          <w:szCs w:val="22"/>
        </w:rPr>
        <w:t xml:space="preserve">. </w:t>
      </w:r>
      <w:commentRangeEnd w:id="14"/>
      <w:r w:rsidR="00B27EC5">
        <w:rPr>
          <w:rStyle w:val="CommentReference"/>
        </w:rPr>
        <w:commentReference w:id="14"/>
      </w:r>
      <w:r w:rsidR="007F747D" w:rsidRPr="007F747D">
        <w:rPr>
          <w:rStyle w:val="CommentReference"/>
          <w:rFonts w:ascii="Garamond" w:hAnsi="Garamond"/>
          <w:sz w:val="22"/>
          <w:szCs w:val="22"/>
        </w:rPr>
        <w:t xml:space="preserve">From the furthest downstream connection of each of these tributaries to the mainstem all upstream segments were selected and assigned to a common identifier.  For some smaller units (i.e. the </w:t>
      </w:r>
      <w:proofErr w:type="spellStart"/>
      <w:r w:rsidR="007F747D" w:rsidRPr="007F747D">
        <w:rPr>
          <w:rStyle w:val="CommentReference"/>
          <w:rFonts w:ascii="Garamond" w:hAnsi="Garamond"/>
          <w:sz w:val="22"/>
          <w:szCs w:val="22"/>
        </w:rPr>
        <w:t>Takotna</w:t>
      </w:r>
      <w:proofErr w:type="spellEnd"/>
      <w:r w:rsidR="007F747D" w:rsidRPr="007F747D">
        <w:rPr>
          <w:rStyle w:val="CommentReference"/>
          <w:rFonts w:ascii="Garamond" w:hAnsi="Garamond"/>
          <w:sz w:val="22"/>
          <w:szCs w:val="22"/>
        </w:rPr>
        <w:t xml:space="preserve"> and Nixon fork), the units were combined into one to keep a relative comparable size. </w:t>
      </w:r>
      <w:r w:rsidR="009F3E36" w:rsidRPr="007F747D">
        <w:rPr>
          <w:rFonts w:ascii="Garamond" w:hAnsi="Garamond"/>
          <w:sz w:val="22"/>
          <w:szCs w:val="22"/>
        </w:rPr>
        <w:t xml:space="preserve">Remaining basin areas were </w:t>
      </w:r>
      <w:r w:rsidR="007F747D" w:rsidRPr="007F747D">
        <w:rPr>
          <w:rFonts w:ascii="Garamond" w:hAnsi="Garamond"/>
          <w:sz w:val="22"/>
          <w:szCs w:val="22"/>
        </w:rPr>
        <w:t xml:space="preserve">then </w:t>
      </w:r>
      <w:r w:rsidR="009F3E36" w:rsidRPr="007F747D">
        <w:rPr>
          <w:rFonts w:ascii="Garamond" w:hAnsi="Garamond"/>
          <w:sz w:val="22"/>
          <w:szCs w:val="22"/>
        </w:rPr>
        <w:t>manually grouped into units of comparable size to ensure complete basin coverage</w:t>
      </w:r>
      <w:r w:rsidR="007F747D" w:rsidRPr="007F747D">
        <w:rPr>
          <w:rFonts w:ascii="Garamond" w:hAnsi="Garamond"/>
          <w:sz w:val="22"/>
          <w:szCs w:val="22"/>
        </w:rPr>
        <w:t xml:space="preserve"> with attention paid to keeping spatially relevant regions in the same unit (i.e. Middle Kuskokwim mainstem). </w:t>
      </w:r>
    </w:p>
    <w:p w14:paraId="168A5EB6" w14:textId="7EFA64B8" w:rsidR="007F747D" w:rsidRPr="007F747D" w:rsidRDefault="007F747D" w:rsidP="007F747D">
      <w:pPr>
        <w:spacing w:line="480" w:lineRule="auto"/>
        <w:rPr>
          <w:rFonts w:ascii="Garamond" w:hAnsi="Garamond"/>
          <w:b/>
          <w:bCs/>
          <w:sz w:val="22"/>
          <w:szCs w:val="22"/>
        </w:rPr>
      </w:pPr>
      <w:r w:rsidRPr="007F747D">
        <w:rPr>
          <w:rFonts w:ascii="Garamond" w:hAnsi="Garamond"/>
          <w:b/>
          <w:bCs/>
          <w:sz w:val="22"/>
          <w:szCs w:val="22"/>
        </w:rPr>
        <w:t xml:space="preserve">Stock </w:t>
      </w:r>
      <w:r>
        <w:rPr>
          <w:rFonts w:ascii="Garamond" w:hAnsi="Garamond"/>
          <w:b/>
          <w:bCs/>
          <w:sz w:val="22"/>
          <w:szCs w:val="22"/>
        </w:rPr>
        <w:t>C</w:t>
      </w:r>
      <w:r w:rsidRPr="007F747D">
        <w:rPr>
          <w:rFonts w:ascii="Garamond" w:hAnsi="Garamond"/>
          <w:b/>
          <w:bCs/>
          <w:sz w:val="22"/>
          <w:szCs w:val="22"/>
        </w:rPr>
        <w:t xml:space="preserve">ontribution </w:t>
      </w:r>
      <w:r>
        <w:rPr>
          <w:rFonts w:ascii="Garamond" w:hAnsi="Garamond"/>
          <w:b/>
          <w:bCs/>
          <w:sz w:val="22"/>
          <w:szCs w:val="22"/>
        </w:rPr>
        <w:t>A</w:t>
      </w:r>
      <w:r w:rsidRPr="007F747D">
        <w:rPr>
          <w:rFonts w:ascii="Garamond" w:hAnsi="Garamond"/>
          <w:b/>
          <w:bCs/>
          <w:sz w:val="22"/>
          <w:szCs w:val="22"/>
        </w:rPr>
        <w:t xml:space="preserve">nalysis </w:t>
      </w:r>
    </w:p>
    <w:p w14:paraId="1A241D7B" w14:textId="6EC61373" w:rsidR="004A0003" w:rsidRPr="00E20CE9" w:rsidRDefault="00E20CE9" w:rsidP="00E20CE9">
      <w:pPr>
        <w:spacing w:line="480" w:lineRule="auto"/>
        <w:ind w:firstLine="720"/>
        <w:rPr>
          <w:rFonts w:ascii="Garamond" w:hAnsi="Garamond"/>
          <w:b/>
          <w:bCs/>
          <w:sz w:val="22"/>
          <w:szCs w:val="22"/>
        </w:rPr>
      </w:pPr>
      <w:r w:rsidRPr="00E20CE9">
        <w:rPr>
          <w:rFonts w:ascii="Garamond" w:hAnsi="Garamond"/>
          <w:sz w:val="22"/>
          <w:szCs w:val="22"/>
        </w:rPr>
        <w:t xml:space="preserve">For each year and seasonal quartile, tributary-level natal origin estimates were aggregated into management units and normalized to sum to one across the basin, representing each unit's proportional contribution to the seasonal quartile. Summary statistics were then calculated across all years for each management unit, with Figure 3a displaying mean contributions by management unit (darker colors indicating higher values) and corresponding boxplots showing median and range values for each quartile, ordered from furthest upstream (top) to downstream (bottom) by watershed position. Cumulative distribution functions were constructed to examine relative run timing independent of stock abundance by aggregating natal origin distributions by management unit for each 3-day interval and comparing against full-season totals without normalization, allowing comparison of actual return numbers over time and showing the cumulative proportion of each stock's total seasonal contribution at each time point. To evaluate the stock-specific effect of the current implemented front-end closure, we evaluated the proportion of each stock's total return occurring within the current closure window (the first seasonal quartile in our dataset). The relative protection </w:t>
      </w:r>
      <w:r w:rsidRPr="00E20CE9">
        <w:rPr>
          <w:rFonts w:ascii="Garamond" w:hAnsi="Garamond"/>
          <w:sz w:val="22"/>
          <w:szCs w:val="22"/>
        </w:rPr>
        <w:lastRenderedPageBreak/>
        <w:t>across all years was used produce boxplots visualizing the variability in this protection over the dataset, again ordered from furthest upstream to furthest downstream.</w:t>
      </w:r>
    </w:p>
    <w:p w14:paraId="3C658E27" w14:textId="7FE23393" w:rsidR="004A0003" w:rsidRDefault="004A0003" w:rsidP="009833DB">
      <w:pPr>
        <w:spacing w:line="480" w:lineRule="auto"/>
        <w:rPr>
          <w:rFonts w:ascii="Garamond" w:hAnsi="Garamond"/>
          <w:b/>
          <w:bCs/>
          <w:sz w:val="22"/>
          <w:szCs w:val="22"/>
        </w:rPr>
      </w:pPr>
    </w:p>
    <w:p w14:paraId="1B967039" w14:textId="77777777" w:rsidR="004A0003" w:rsidRDefault="0019169F" w:rsidP="004A0003">
      <w:pPr>
        <w:spacing w:line="480" w:lineRule="auto"/>
        <w:rPr>
          <w:rFonts w:ascii="Garamond" w:hAnsi="Garamond"/>
          <w:b/>
          <w:bCs/>
          <w:sz w:val="36"/>
          <w:szCs w:val="36"/>
        </w:rPr>
      </w:pPr>
      <w:r w:rsidRPr="004A0003">
        <w:rPr>
          <w:rFonts w:ascii="Garamond" w:hAnsi="Garamond"/>
          <w:b/>
          <w:bCs/>
          <w:sz w:val="36"/>
          <w:szCs w:val="36"/>
        </w:rPr>
        <w:t>Results</w:t>
      </w:r>
    </w:p>
    <w:p w14:paraId="10DADB8B" w14:textId="01898D5A" w:rsidR="00397FF6" w:rsidRPr="004A0003" w:rsidRDefault="00C50733" w:rsidP="004A0003">
      <w:pPr>
        <w:spacing w:line="480" w:lineRule="auto"/>
        <w:rPr>
          <w:rFonts w:ascii="Garamond" w:hAnsi="Garamond"/>
          <w:b/>
          <w:bCs/>
          <w:sz w:val="36"/>
          <w:szCs w:val="36"/>
        </w:rPr>
      </w:pPr>
      <w:r w:rsidRPr="00AD7B82">
        <w:rPr>
          <w:rFonts w:ascii="Garamond" w:hAnsi="Garamond"/>
          <w:b/>
          <w:bCs/>
          <w:sz w:val="22"/>
          <w:szCs w:val="22"/>
        </w:rPr>
        <w:t>T</w:t>
      </w:r>
      <w:r w:rsidR="00397FF6" w:rsidRPr="00AD7B82">
        <w:rPr>
          <w:rFonts w:ascii="Garamond" w:hAnsi="Garamond"/>
          <w:b/>
          <w:bCs/>
          <w:sz w:val="22"/>
          <w:szCs w:val="22"/>
        </w:rPr>
        <w:t xml:space="preserve">rends in stock </w:t>
      </w:r>
      <w:r w:rsidR="006D6AEE">
        <w:rPr>
          <w:rFonts w:ascii="Garamond" w:hAnsi="Garamond"/>
          <w:b/>
          <w:bCs/>
          <w:sz w:val="22"/>
          <w:szCs w:val="22"/>
        </w:rPr>
        <w:t>return timing</w:t>
      </w:r>
      <w:r w:rsidRPr="00AD7B82">
        <w:rPr>
          <w:rFonts w:ascii="Garamond" w:hAnsi="Garamond"/>
          <w:b/>
          <w:bCs/>
          <w:sz w:val="22"/>
          <w:szCs w:val="22"/>
        </w:rPr>
        <w:t xml:space="preserve"> </w:t>
      </w:r>
      <w:r w:rsidR="00536536">
        <w:rPr>
          <w:rFonts w:ascii="Garamond" w:hAnsi="Garamond"/>
          <w:b/>
          <w:bCs/>
          <w:sz w:val="22"/>
          <w:szCs w:val="22"/>
        </w:rPr>
        <w:t xml:space="preserve">within </w:t>
      </w:r>
      <w:r w:rsidR="006D6AEE">
        <w:rPr>
          <w:rFonts w:ascii="Garamond" w:hAnsi="Garamond"/>
          <w:b/>
          <w:bCs/>
          <w:sz w:val="22"/>
          <w:szCs w:val="22"/>
        </w:rPr>
        <w:t>season</w:t>
      </w:r>
    </w:p>
    <w:p w14:paraId="520A88C7" w14:textId="54CC201F" w:rsidR="00121BC7" w:rsidRDefault="00D625F2" w:rsidP="005A53C9">
      <w:pPr>
        <w:pStyle w:val="whitespace-normal"/>
        <w:spacing w:line="480" w:lineRule="auto"/>
        <w:rPr>
          <w:rFonts w:ascii="Garamond" w:hAnsi="Garamond"/>
          <w:sz w:val="22"/>
          <w:szCs w:val="22"/>
        </w:rPr>
      </w:pPr>
      <w:r w:rsidRPr="00AD7B82">
        <w:rPr>
          <w:rFonts w:ascii="Garamond" w:hAnsi="Garamond"/>
          <w:b/>
          <w:bCs/>
          <w:sz w:val="22"/>
          <w:szCs w:val="22"/>
        </w:rPr>
        <w:tab/>
      </w:r>
      <w:r w:rsidR="005C58CB" w:rsidRPr="000C429D">
        <w:rPr>
          <w:rFonts w:ascii="Garamond" w:hAnsi="Garamond"/>
          <w:sz w:val="22"/>
          <w:szCs w:val="22"/>
        </w:rPr>
        <w:t xml:space="preserve">Across all years of our dataset (2017-2021), returns to the 21 stock units exhibited </w:t>
      </w:r>
      <w:r w:rsidR="00C50733" w:rsidRPr="000C429D">
        <w:rPr>
          <w:rFonts w:ascii="Garamond" w:hAnsi="Garamond"/>
          <w:sz w:val="22"/>
          <w:szCs w:val="22"/>
        </w:rPr>
        <w:t>a</w:t>
      </w:r>
      <w:r w:rsidR="005C58CB" w:rsidRPr="000C429D">
        <w:rPr>
          <w:rFonts w:ascii="Garamond" w:hAnsi="Garamond"/>
          <w:sz w:val="22"/>
          <w:szCs w:val="22"/>
        </w:rPr>
        <w:t xml:space="preserve"> </w:t>
      </w:r>
      <w:r w:rsidR="00C50733" w:rsidRPr="000C429D">
        <w:rPr>
          <w:rFonts w:ascii="Garamond" w:hAnsi="Garamond"/>
          <w:sz w:val="22"/>
          <w:szCs w:val="22"/>
        </w:rPr>
        <w:t xml:space="preserve">general transition </w:t>
      </w:r>
      <w:r w:rsidR="005C58CB" w:rsidRPr="000C429D">
        <w:rPr>
          <w:rFonts w:ascii="Garamond" w:hAnsi="Garamond"/>
          <w:sz w:val="22"/>
          <w:szCs w:val="22"/>
        </w:rPr>
        <w:t>from upstream to downstream stock</w:t>
      </w:r>
      <w:r w:rsidR="00C50733" w:rsidRPr="000C429D">
        <w:rPr>
          <w:rFonts w:ascii="Garamond" w:hAnsi="Garamond"/>
          <w:sz w:val="22"/>
          <w:szCs w:val="22"/>
        </w:rPr>
        <w:t>s</w:t>
      </w:r>
      <w:r w:rsidR="005C58CB" w:rsidRPr="000C429D">
        <w:rPr>
          <w:rFonts w:ascii="Garamond" w:hAnsi="Garamond"/>
          <w:sz w:val="22"/>
          <w:szCs w:val="22"/>
        </w:rPr>
        <w:t xml:space="preserve"> as the season progressed. Early season returns (Q1: start of run through June 11</w:t>
      </w:r>
      <w:r w:rsidR="00B27EC5">
        <w:rPr>
          <w:rFonts w:ascii="Garamond" w:hAnsi="Garamond"/>
          <w:sz w:val="22"/>
          <w:szCs w:val="22"/>
        </w:rPr>
        <w:t>, Figure 3a.</w:t>
      </w:r>
      <w:r w:rsidR="005C58CB" w:rsidRPr="000C429D">
        <w:rPr>
          <w:rFonts w:ascii="Garamond" w:hAnsi="Garamond"/>
          <w:sz w:val="22"/>
          <w:szCs w:val="22"/>
        </w:rPr>
        <w:t xml:space="preserve">) were </w:t>
      </w:r>
      <w:r w:rsidR="00E355B2">
        <w:rPr>
          <w:rFonts w:ascii="Garamond" w:hAnsi="Garamond"/>
          <w:sz w:val="22"/>
          <w:szCs w:val="22"/>
        </w:rPr>
        <w:t xml:space="preserve">driven primarily </w:t>
      </w:r>
      <w:r w:rsidR="005C58CB" w:rsidRPr="000C429D">
        <w:rPr>
          <w:rFonts w:ascii="Garamond" w:hAnsi="Garamond"/>
          <w:sz w:val="22"/>
          <w:szCs w:val="22"/>
        </w:rPr>
        <w:t>by stocks from the upper portions of the watershed</w:t>
      </w:r>
      <w:r w:rsidR="00E355B2">
        <w:rPr>
          <w:rFonts w:ascii="Garamond" w:hAnsi="Garamond"/>
          <w:sz w:val="22"/>
          <w:szCs w:val="22"/>
        </w:rPr>
        <w:t xml:space="preserve"> including</w:t>
      </w:r>
      <w:r w:rsidR="005C58CB" w:rsidRPr="000C429D">
        <w:rPr>
          <w:rFonts w:ascii="Garamond" w:hAnsi="Garamond"/>
          <w:sz w:val="22"/>
          <w:szCs w:val="22"/>
        </w:rPr>
        <w:t xml:space="preserve"> </w:t>
      </w:r>
      <w:r w:rsidR="00121BC7">
        <w:rPr>
          <w:rFonts w:ascii="Garamond" w:hAnsi="Garamond"/>
          <w:sz w:val="22"/>
          <w:szCs w:val="22"/>
        </w:rPr>
        <w:t xml:space="preserve">Big River ( </w:t>
      </w:r>
      <w:r w:rsidR="00E355B2">
        <w:rPr>
          <w:rFonts w:ascii="Garamond" w:hAnsi="Garamond"/>
          <w:sz w:val="22"/>
          <w:szCs w:val="22"/>
        </w:rPr>
        <w:t>median 12.8%, range 4.6 – 16.1%), Swift River (median: 11.6%, range 5.7-14.4%), Stony River (median: 10.5%, range 9.6-12.4%), and Upper Kuskokwim Main (median: 8.9%, range 5.5-10.8%)</w:t>
      </w:r>
      <w:r w:rsidR="00B27EC5">
        <w:rPr>
          <w:rFonts w:ascii="Garamond" w:hAnsi="Garamond"/>
          <w:sz w:val="22"/>
          <w:szCs w:val="22"/>
        </w:rPr>
        <w:t xml:space="preserve">. </w:t>
      </w:r>
      <w:r w:rsidR="00E355B2">
        <w:rPr>
          <w:rFonts w:ascii="Garamond" w:hAnsi="Garamond"/>
          <w:sz w:val="22"/>
          <w:szCs w:val="22"/>
        </w:rPr>
        <w:t xml:space="preserve">Notably, the uppermost stocks (North, East, and South Fork Kuskokwim) consistently contributed very little (&lt; 2.5%) and the </w:t>
      </w:r>
      <w:proofErr w:type="spellStart"/>
      <w:r w:rsidR="00E355B2">
        <w:rPr>
          <w:rFonts w:ascii="Garamond" w:hAnsi="Garamond"/>
          <w:sz w:val="22"/>
          <w:szCs w:val="22"/>
        </w:rPr>
        <w:t>Takotna</w:t>
      </w:r>
      <w:proofErr w:type="spellEnd"/>
      <w:r w:rsidR="00E355B2">
        <w:rPr>
          <w:rFonts w:ascii="Garamond" w:hAnsi="Garamond"/>
          <w:sz w:val="22"/>
          <w:szCs w:val="22"/>
        </w:rPr>
        <w:t xml:space="preserve"> and Nixon fork </w:t>
      </w:r>
      <w:r w:rsidR="00B27EC5">
        <w:rPr>
          <w:rFonts w:ascii="Garamond" w:hAnsi="Garamond"/>
          <w:sz w:val="22"/>
          <w:szCs w:val="22"/>
        </w:rPr>
        <w:t>stock as well as the</w:t>
      </w:r>
      <w:r w:rsidR="00E355B2">
        <w:rPr>
          <w:rFonts w:ascii="Garamond" w:hAnsi="Garamond"/>
          <w:sz w:val="22"/>
          <w:szCs w:val="22"/>
        </w:rPr>
        <w:t xml:space="preserve"> </w:t>
      </w:r>
      <w:proofErr w:type="spellStart"/>
      <w:r w:rsidR="00E355B2">
        <w:rPr>
          <w:rFonts w:ascii="Garamond" w:hAnsi="Garamond"/>
          <w:sz w:val="22"/>
          <w:szCs w:val="22"/>
        </w:rPr>
        <w:t>Tatlawiksuk</w:t>
      </w:r>
      <w:proofErr w:type="spellEnd"/>
      <w:r w:rsidR="00E355B2">
        <w:rPr>
          <w:rFonts w:ascii="Garamond" w:hAnsi="Garamond"/>
          <w:sz w:val="22"/>
          <w:szCs w:val="22"/>
        </w:rPr>
        <w:t xml:space="preserve"> </w:t>
      </w:r>
      <w:r w:rsidR="00B27EC5">
        <w:rPr>
          <w:rFonts w:ascii="Garamond" w:hAnsi="Garamond"/>
          <w:sz w:val="22"/>
          <w:szCs w:val="22"/>
        </w:rPr>
        <w:t xml:space="preserve">river </w:t>
      </w:r>
      <w:r w:rsidR="00E355B2">
        <w:rPr>
          <w:rFonts w:ascii="Garamond" w:hAnsi="Garamond"/>
          <w:sz w:val="22"/>
          <w:szCs w:val="22"/>
        </w:rPr>
        <w:t xml:space="preserve">stock each contributed only modestly (median 3% and 5% respectively) despite their position near the top of the watershed. The second quartile ( </w:t>
      </w:r>
      <w:r w:rsidR="00C10AF2">
        <w:rPr>
          <w:rFonts w:ascii="Garamond" w:hAnsi="Garamond"/>
          <w:sz w:val="22"/>
          <w:szCs w:val="22"/>
        </w:rPr>
        <w:t>June 12</w:t>
      </w:r>
      <w:r w:rsidR="00C10AF2" w:rsidRPr="00C10AF2">
        <w:rPr>
          <w:rFonts w:ascii="Garamond" w:hAnsi="Garamond"/>
          <w:sz w:val="22"/>
          <w:szCs w:val="22"/>
          <w:vertAlign w:val="superscript"/>
        </w:rPr>
        <w:t>th</w:t>
      </w:r>
      <w:r w:rsidR="00C10AF2">
        <w:rPr>
          <w:rFonts w:ascii="Garamond" w:hAnsi="Garamond"/>
          <w:sz w:val="22"/>
          <w:szCs w:val="22"/>
        </w:rPr>
        <w:t xml:space="preserve"> – 21</w:t>
      </w:r>
      <w:r w:rsidR="00C10AF2" w:rsidRPr="00C10AF2">
        <w:rPr>
          <w:rFonts w:ascii="Garamond" w:hAnsi="Garamond"/>
          <w:sz w:val="22"/>
          <w:szCs w:val="22"/>
          <w:vertAlign w:val="superscript"/>
        </w:rPr>
        <w:t>st</w:t>
      </w:r>
      <w:r w:rsidR="00B27EC5">
        <w:rPr>
          <w:rFonts w:ascii="Garamond" w:hAnsi="Garamond"/>
          <w:sz w:val="22"/>
          <w:szCs w:val="22"/>
        </w:rPr>
        <w:t>, Figure 3b.)</w:t>
      </w:r>
      <w:r w:rsidR="00C10AF2">
        <w:rPr>
          <w:rFonts w:ascii="Garamond" w:hAnsi="Garamond"/>
          <w:sz w:val="22"/>
          <w:szCs w:val="22"/>
        </w:rPr>
        <w:t xml:space="preserve"> saw a more even distribution of returns across much of the middle watershed, with Upper Kuskokwim Main, Big River, </w:t>
      </w:r>
      <w:proofErr w:type="spellStart"/>
      <w:r w:rsidR="00C10AF2">
        <w:rPr>
          <w:rFonts w:ascii="Garamond" w:hAnsi="Garamond"/>
          <w:sz w:val="22"/>
          <w:szCs w:val="22"/>
        </w:rPr>
        <w:t>Takotna</w:t>
      </w:r>
      <w:proofErr w:type="spellEnd"/>
      <w:r w:rsidR="00C10AF2">
        <w:rPr>
          <w:rFonts w:ascii="Garamond" w:hAnsi="Garamond"/>
          <w:sz w:val="22"/>
          <w:szCs w:val="22"/>
        </w:rPr>
        <w:t xml:space="preserve"> River and Nixon Fork, Swift River, </w:t>
      </w:r>
      <w:proofErr w:type="spellStart"/>
      <w:r w:rsidR="00C10AF2">
        <w:rPr>
          <w:rFonts w:ascii="Garamond" w:hAnsi="Garamond"/>
          <w:sz w:val="22"/>
          <w:szCs w:val="22"/>
        </w:rPr>
        <w:t>Holitna</w:t>
      </w:r>
      <w:proofErr w:type="spellEnd"/>
      <w:r w:rsidR="00C10AF2">
        <w:rPr>
          <w:rFonts w:ascii="Garamond" w:hAnsi="Garamond"/>
          <w:sz w:val="22"/>
          <w:szCs w:val="22"/>
        </w:rPr>
        <w:t xml:space="preserve"> River, </w:t>
      </w:r>
      <w:proofErr w:type="spellStart"/>
      <w:r w:rsidR="00C10AF2">
        <w:rPr>
          <w:rFonts w:ascii="Garamond" w:hAnsi="Garamond"/>
          <w:sz w:val="22"/>
          <w:szCs w:val="22"/>
        </w:rPr>
        <w:t>Hoholitna</w:t>
      </w:r>
      <w:proofErr w:type="spellEnd"/>
      <w:r w:rsidR="00C10AF2">
        <w:rPr>
          <w:rFonts w:ascii="Garamond" w:hAnsi="Garamond"/>
          <w:sz w:val="22"/>
          <w:szCs w:val="22"/>
        </w:rPr>
        <w:t xml:space="preserve"> River, Middle Kuskokwim Main, Aniak</w:t>
      </w:r>
      <w:r w:rsidR="00B27EC5">
        <w:rPr>
          <w:rFonts w:ascii="Garamond" w:hAnsi="Garamond"/>
          <w:sz w:val="22"/>
          <w:szCs w:val="22"/>
        </w:rPr>
        <w:t xml:space="preserve"> River</w:t>
      </w:r>
      <w:r w:rsidR="00C10AF2">
        <w:rPr>
          <w:rFonts w:ascii="Garamond" w:hAnsi="Garamond"/>
          <w:sz w:val="22"/>
          <w:szCs w:val="22"/>
        </w:rPr>
        <w:t xml:space="preserve">, and </w:t>
      </w:r>
      <w:proofErr w:type="spellStart"/>
      <w:r w:rsidR="00C10AF2">
        <w:rPr>
          <w:rFonts w:ascii="Garamond" w:hAnsi="Garamond"/>
          <w:sz w:val="22"/>
          <w:szCs w:val="22"/>
        </w:rPr>
        <w:t>Kisarlik</w:t>
      </w:r>
      <w:proofErr w:type="spellEnd"/>
      <w:r w:rsidR="00C10AF2">
        <w:rPr>
          <w:rFonts w:ascii="Garamond" w:hAnsi="Garamond"/>
          <w:sz w:val="22"/>
          <w:szCs w:val="22"/>
        </w:rPr>
        <w:t xml:space="preserve"> all contributing between 5 and 10%. Only the Stony River had an average contribution of greater than 10% (median 11.5%) with a relative constrained range (10.7 – 12.2%) indicating consistent contribution to the 2</w:t>
      </w:r>
      <w:r w:rsidR="00C10AF2" w:rsidRPr="00C10AF2">
        <w:rPr>
          <w:rFonts w:ascii="Garamond" w:hAnsi="Garamond"/>
          <w:sz w:val="22"/>
          <w:szCs w:val="22"/>
          <w:vertAlign w:val="superscript"/>
        </w:rPr>
        <w:t>nd</w:t>
      </w:r>
      <w:r w:rsidR="00C10AF2">
        <w:rPr>
          <w:rFonts w:ascii="Garamond" w:hAnsi="Garamond"/>
          <w:sz w:val="22"/>
          <w:szCs w:val="22"/>
        </w:rPr>
        <w:t xml:space="preserve"> quartile. This pattern largely holds in the 3</w:t>
      </w:r>
      <w:r w:rsidR="00C10AF2" w:rsidRPr="00C10AF2">
        <w:rPr>
          <w:rFonts w:ascii="Garamond" w:hAnsi="Garamond"/>
          <w:sz w:val="22"/>
          <w:szCs w:val="22"/>
          <w:vertAlign w:val="superscript"/>
        </w:rPr>
        <w:t>rd</w:t>
      </w:r>
      <w:r w:rsidR="00C10AF2">
        <w:rPr>
          <w:rFonts w:ascii="Garamond" w:hAnsi="Garamond"/>
          <w:sz w:val="22"/>
          <w:szCs w:val="22"/>
        </w:rPr>
        <w:t xml:space="preserve"> quartile (June 22</w:t>
      </w:r>
      <w:r w:rsidR="00C10AF2" w:rsidRPr="00C10AF2">
        <w:rPr>
          <w:rFonts w:ascii="Garamond" w:hAnsi="Garamond"/>
          <w:sz w:val="22"/>
          <w:szCs w:val="22"/>
          <w:vertAlign w:val="superscript"/>
        </w:rPr>
        <w:t>nd</w:t>
      </w:r>
      <w:r w:rsidR="00C10AF2">
        <w:rPr>
          <w:rFonts w:ascii="Garamond" w:hAnsi="Garamond"/>
          <w:sz w:val="22"/>
          <w:szCs w:val="22"/>
        </w:rPr>
        <w:t>-</w:t>
      </w:r>
      <w:r w:rsidR="00B27EC5">
        <w:rPr>
          <w:rFonts w:ascii="Garamond" w:hAnsi="Garamond"/>
          <w:sz w:val="22"/>
          <w:szCs w:val="22"/>
        </w:rPr>
        <w:t xml:space="preserve"> </w:t>
      </w:r>
      <w:r w:rsidR="00C10AF2">
        <w:rPr>
          <w:rFonts w:ascii="Garamond" w:hAnsi="Garamond"/>
          <w:sz w:val="22"/>
          <w:szCs w:val="22"/>
        </w:rPr>
        <w:t>July1st</w:t>
      </w:r>
      <w:r w:rsidR="00B27EC5">
        <w:rPr>
          <w:rFonts w:ascii="Garamond" w:hAnsi="Garamond"/>
          <w:sz w:val="22"/>
          <w:szCs w:val="22"/>
        </w:rPr>
        <w:t>, Figure 3c.</w:t>
      </w:r>
      <w:r w:rsidR="00C10AF2">
        <w:rPr>
          <w:rFonts w:ascii="Garamond" w:hAnsi="Garamond"/>
          <w:sz w:val="22"/>
          <w:szCs w:val="22"/>
        </w:rPr>
        <w:t xml:space="preserve">), but with increased contribution from the </w:t>
      </w:r>
      <w:proofErr w:type="spellStart"/>
      <w:r w:rsidR="00C10AF2">
        <w:rPr>
          <w:rFonts w:ascii="Garamond" w:hAnsi="Garamond"/>
          <w:sz w:val="22"/>
          <w:szCs w:val="22"/>
        </w:rPr>
        <w:t>Holitna</w:t>
      </w:r>
      <w:proofErr w:type="spellEnd"/>
      <w:r w:rsidR="00C10AF2">
        <w:rPr>
          <w:rFonts w:ascii="Garamond" w:hAnsi="Garamond"/>
          <w:sz w:val="22"/>
          <w:szCs w:val="22"/>
        </w:rPr>
        <w:t xml:space="preserve"> River (median; 10.4%, range 9.5-13.6%), </w:t>
      </w:r>
      <w:proofErr w:type="spellStart"/>
      <w:r w:rsidR="00C10AF2">
        <w:rPr>
          <w:rFonts w:ascii="Garamond" w:hAnsi="Garamond"/>
          <w:sz w:val="22"/>
          <w:szCs w:val="22"/>
        </w:rPr>
        <w:t>Hoholitna</w:t>
      </w:r>
      <w:proofErr w:type="spellEnd"/>
      <w:r w:rsidR="00C10AF2">
        <w:rPr>
          <w:rFonts w:ascii="Garamond" w:hAnsi="Garamond"/>
          <w:sz w:val="22"/>
          <w:szCs w:val="22"/>
        </w:rPr>
        <w:t xml:space="preserve"> River (median 9.6%, range 8.8-12.2%), and Aniak river (median 8.2%, range 5.7-10.1%). </w:t>
      </w:r>
      <w:r w:rsidR="002D12FE">
        <w:rPr>
          <w:rFonts w:ascii="Garamond" w:hAnsi="Garamond"/>
          <w:sz w:val="22"/>
          <w:szCs w:val="22"/>
        </w:rPr>
        <w:t>Late season returns (July 2</w:t>
      </w:r>
      <w:r w:rsidR="002D12FE" w:rsidRPr="002D12FE">
        <w:rPr>
          <w:rFonts w:ascii="Garamond" w:hAnsi="Garamond"/>
          <w:sz w:val="22"/>
          <w:szCs w:val="22"/>
          <w:vertAlign w:val="superscript"/>
        </w:rPr>
        <w:t>nd</w:t>
      </w:r>
      <w:r w:rsidR="002D12FE">
        <w:rPr>
          <w:rFonts w:ascii="Garamond" w:hAnsi="Garamond"/>
          <w:sz w:val="22"/>
          <w:szCs w:val="22"/>
        </w:rPr>
        <w:t xml:space="preserve"> onward</w:t>
      </w:r>
      <w:r w:rsidR="00B27EC5">
        <w:rPr>
          <w:rFonts w:ascii="Garamond" w:hAnsi="Garamond"/>
          <w:sz w:val="22"/>
          <w:szCs w:val="22"/>
        </w:rPr>
        <w:t>, Figure 3d.</w:t>
      </w:r>
      <w:r w:rsidR="002D12FE">
        <w:rPr>
          <w:rFonts w:ascii="Garamond" w:hAnsi="Garamond"/>
          <w:sz w:val="22"/>
          <w:szCs w:val="22"/>
        </w:rPr>
        <w:t>) displayed further decreasing contribution from Upper Kuskokwim stocks (</w:t>
      </w:r>
      <w:proofErr w:type="spellStart"/>
      <w:r w:rsidR="002D12FE">
        <w:rPr>
          <w:rFonts w:ascii="Garamond" w:hAnsi="Garamond"/>
          <w:sz w:val="22"/>
          <w:szCs w:val="22"/>
        </w:rPr>
        <w:t>i.e</w:t>
      </w:r>
      <w:proofErr w:type="spellEnd"/>
      <w:r w:rsidR="002D12FE">
        <w:rPr>
          <w:rFonts w:ascii="Garamond" w:hAnsi="Garamond"/>
          <w:sz w:val="22"/>
          <w:szCs w:val="22"/>
        </w:rPr>
        <w:t xml:space="preserve"> Upper Kuskokwim Main, Big River, </w:t>
      </w:r>
      <w:proofErr w:type="spellStart"/>
      <w:r w:rsidR="002D12FE">
        <w:rPr>
          <w:rFonts w:ascii="Garamond" w:hAnsi="Garamond"/>
          <w:sz w:val="22"/>
          <w:szCs w:val="22"/>
        </w:rPr>
        <w:t>Takotna</w:t>
      </w:r>
      <w:proofErr w:type="spellEnd"/>
      <w:r w:rsidR="002D12FE">
        <w:rPr>
          <w:rFonts w:ascii="Garamond" w:hAnsi="Garamond"/>
          <w:sz w:val="22"/>
          <w:szCs w:val="22"/>
        </w:rPr>
        <w:t xml:space="preserve"> River and Nixon Fork, </w:t>
      </w:r>
      <w:proofErr w:type="spellStart"/>
      <w:r w:rsidR="002D12FE">
        <w:rPr>
          <w:rFonts w:ascii="Garamond" w:hAnsi="Garamond"/>
          <w:sz w:val="22"/>
          <w:szCs w:val="22"/>
        </w:rPr>
        <w:t>Tatlawiksuk</w:t>
      </w:r>
      <w:proofErr w:type="spellEnd"/>
      <w:r w:rsidR="002D12FE">
        <w:rPr>
          <w:rFonts w:ascii="Garamond" w:hAnsi="Garamond"/>
          <w:sz w:val="22"/>
          <w:szCs w:val="22"/>
        </w:rPr>
        <w:t xml:space="preserve"> River, and Swift River). The </w:t>
      </w:r>
      <w:proofErr w:type="spellStart"/>
      <w:r w:rsidR="002D12FE">
        <w:rPr>
          <w:rFonts w:ascii="Garamond" w:hAnsi="Garamond"/>
          <w:sz w:val="22"/>
          <w:szCs w:val="22"/>
        </w:rPr>
        <w:t>Hoholitna</w:t>
      </w:r>
      <w:proofErr w:type="spellEnd"/>
      <w:r w:rsidR="002D12FE">
        <w:rPr>
          <w:rFonts w:ascii="Garamond" w:hAnsi="Garamond"/>
          <w:sz w:val="22"/>
          <w:szCs w:val="22"/>
        </w:rPr>
        <w:t xml:space="preserve"> and Middle Kuskokwim River saw slight decreases and increases in contribution, respectively, but with </w:t>
      </w:r>
      <w:r w:rsidR="00536536">
        <w:rPr>
          <w:rFonts w:ascii="Garamond" w:hAnsi="Garamond"/>
          <w:sz w:val="22"/>
          <w:szCs w:val="22"/>
        </w:rPr>
        <w:t xml:space="preserve">an associated </w:t>
      </w:r>
      <w:r w:rsidR="002D12FE">
        <w:rPr>
          <w:rFonts w:ascii="Garamond" w:hAnsi="Garamond"/>
          <w:sz w:val="22"/>
          <w:szCs w:val="22"/>
        </w:rPr>
        <w:t xml:space="preserve">increase in range </w:t>
      </w:r>
      <w:r w:rsidR="002D12FE">
        <w:rPr>
          <w:rFonts w:ascii="Garamond" w:hAnsi="Garamond"/>
          <w:sz w:val="22"/>
          <w:szCs w:val="22"/>
        </w:rPr>
        <w:lastRenderedPageBreak/>
        <w:t xml:space="preserve">indicating variability </w:t>
      </w:r>
      <w:r w:rsidR="00536536">
        <w:rPr>
          <w:rFonts w:ascii="Garamond" w:hAnsi="Garamond"/>
          <w:sz w:val="22"/>
          <w:szCs w:val="22"/>
        </w:rPr>
        <w:t xml:space="preserve">across </w:t>
      </w:r>
      <w:r w:rsidR="002D12FE">
        <w:rPr>
          <w:rFonts w:ascii="Garamond" w:hAnsi="Garamond"/>
          <w:sz w:val="22"/>
          <w:szCs w:val="22"/>
        </w:rPr>
        <w:t>the dataset. Contribution from the Aniak</w:t>
      </w:r>
      <w:r w:rsidR="00536536">
        <w:rPr>
          <w:rFonts w:ascii="Garamond" w:hAnsi="Garamond"/>
          <w:sz w:val="22"/>
          <w:szCs w:val="22"/>
        </w:rPr>
        <w:t xml:space="preserve"> (median; 11.6%), </w:t>
      </w:r>
      <w:proofErr w:type="spellStart"/>
      <w:r w:rsidR="002D12FE">
        <w:rPr>
          <w:rFonts w:ascii="Garamond" w:hAnsi="Garamond"/>
          <w:sz w:val="22"/>
          <w:szCs w:val="22"/>
        </w:rPr>
        <w:t>Tuluksak</w:t>
      </w:r>
      <w:proofErr w:type="spellEnd"/>
      <w:r w:rsidR="00536536">
        <w:rPr>
          <w:rFonts w:ascii="Garamond" w:hAnsi="Garamond"/>
          <w:sz w:val="22"/>
          <w:szCs w:val="22"/>
        </w:rPr>
        <w:t xml:space="preserve"> (median; 6.1%) </w:t>
      </w:r>
      <w:r w:rsidR="002D12FE">
        <w:rPr>
          <w:rFonts w:ascii="Garamond" w:hAnsi="Garamond"/>
          <w:sz w:val="22"/>
          <w:szCs w:val="22"/>
        </w:rPr>
        <w:t xml:space="preserve">, </w:t>
      </w:r>
      <w:proofErr w:type="spellStart"/>
      <w:r w:rsidR="002D12FE">
        <w:rPr>
          <w:rFonts w:ascii="Garamond" w:hAnsi="Garamond"/>
          <w:sz w:val="22"/>
          <w:szCs w:val="22"/>
        </w:rPr>
        <w:t>Kisaralik</w:t>
      </w:r>
      <w:proofErr w:type="spellEnd"/>
      <w:r w:rsidR="00536536">
        <w:rPr>
          <w:rFonts w:ascii="Garamond" w:hAnsi="Garamond"/>
          <w:sz w:val="22"/>
          <w:szCs w:val="22"/>
        </w:rPr>
        <w:t xml:space="preserve"> (median 8.2%) </w:t>
      </w:r>
      <w:r w:rsidR="002D12FE">
        <w:rPr>
          <w:rFonts w:ascii="Garamond" w:hAnsi="Garamond"/>
          <w:sz w:val="22"/>
          <w:szCs w:val="22"/>
        </w:rPr>
        <w:t>and Kwethluk</w:t>
      </w:r>
      <w:r w:rsidR="00536536">
        <w:rPr>
          <w:rFonts w:ascii="Garamond" w:hAnsi="Garamond"/>
          <w:sz w:val="22"/>
          <w:szCs w:val="22"/>
        </w:rPr>
        <w:t xml:space="preserve"> (median 6.7%) </w:t>
      </w:r>
      <w:r w:rsidR="002D12FE">
        <w:rPr>
          <w:rFonts w:ascii="Garamond" w:hAnsi="Garamond"/>
          <w:sz w:val="22"/>
          <w:szCs w:val="22"/>
        </w:rPr>
        <w:t xml:space="preserve"> all reached their peak contribution during this period, consistent with late returns for stocks in the lower portion of the watershed. </w:t>
      </w:r>
    </w:p>
    <w:p w14:paraId="708701AB" w14:textId="6EBA9821" w:rsidR="006D6AEE" w:rsidRDefault="00536536" w:rsidP="006D6AEE">
      <w:pPr>
        <w:pStyle w:val="whitespace-normal"/>
        <w:spacing w:line="480" w:lineRule="auto"/>
        <w:ind w:firstLine="720"/>
        <w:rPr>
          <w:rFonts w:ascii="Garamond" w:hAnsi="Garamond"/>
          <w:sz w:val="22"/>
          <w:szCs w:val="22"/>
        </w:rPr>
      </w:pPr>
      <w:r w:rsidRPr="00536536">
        <w:rPr>
          <w:rFonts w:ascii="Garamond" w:hAnsi="Garamond"/>
          <w:sz w:val="22"/>
          <w:szCs w:val="22"/>
        </w:rPr>
        <w:t xml:space="preserve">Cumulative distribution plots </w:t>
      </w:r>
      <w:r w:rsidR="006D6AEE">
        <w:rPr>
          <w:rFonts w:ascii="Garamond" w:hAnsi="Garamond"/>
          <w:sz w:val="22"/>
          <w:szCs w:val="22"/>
        </w:rPr>
        <w:t xml:space="preserve">(Figure 4) </w:t>
      </w:r>
      <w:r w:rsidRPr="00536536">
        <w:rPr>
          <w:rFonts w:ascii="Garamond" w:hAnsi="Garamond"/>
          <w:sz w:val="22"/>
          <w:szCs w:val="22"/>
        </w:rPr>
        <w:t>corroborated the a</w:t>
      </w:r>
      <w:r>
        <w:rPr>
          <w:rFonts w:ascii="Garamond" w:hAnsi="Garamond"/>
          <w:sz w:val="22"/>
          <w:szCs w:val="22"/>
        </w:rPr>
        <w:t xml:space="preserve">bove </w:t>
      </w:r>
      <w:r w:rsidR="004A0003">
        <w:rPr>
          <w:rFonts w:ascii="Garamond" w:hAnsi="Garamond"/>
          <w:sz w:val="22"/>
          <w:szCs w:val="22"/>
        </w:rPr>
        <w:t>patterns but</w:t>
      </w:r>
      <w:r>
        <w:rPr>
          <w:rFonts w:ascii="Garamond" w:hAnsi="Garamond"/>
          <w:sz w:val="22"/>
          <w:szCs w:val="22"/>
        </w:rPr>
        <w:t xml:space="preserve"> illustrated </w:t>
      </w:r>
      <w:r w:rsidR="00CF03CC" w:rsidRPr="00AD7B82">
        <w:rPr>
          <w:rFonts w:ascii="Garamond" w:hAnsi="Garamond"/>
          <w:sz w:val="22"/>
          <w:szCs w:val="22"/>
        </w:rPr>
        <w:t xml:space="preserve">variation in run timing among stocks at a finer </w:t>
      </w:r>
      <w:r>
        <w:rPr>
          <w:rFonts w:ascii="Garamond" w:hAnsi="Garamond"/>
          <w:sz w:val="22"/>
          <w:szCs w:val="22"/>
        </w:rPr>
        <w:t xml:space="preserve">temporal scale and independent of the total contribution of each stock to the overall run. </w:t>
      </w:r>
      <w:r w:rsidR="004A0003" w:rsidRPr="00724D0B">
        <w:rPr>
          <w:rFonts w:ascii="Garamond" w:hAnsi="Garamond"/>
          <w:sz w:val="22"/>
          <w:szCs w:val="22"/>
        </w:rPr>
        <w:t xml:space="preserve">The results display a clear pattern of earliest returning stocks (closer to red) arriving earlier in the season, with 50% of the run for stocks such as the East Fork Kuskokwim and Big River arriving within </w:t>
      </w:r>
      <w:r w:rsidR="00724D0B" w:rsidRPr="00724D0B">
        <w:rPr>
          <w:rFonts w:ascii="Garamond" w:hAnsi="Garamond"/>
          <w:sz w:val="22"/>
          <w:szCs w:val="22"/>
        </w:rPr>
        <w:t>14 and 16</w:t>
      </w:r>
      <w:r w:rsidR="004A0003" w:rsidRPr="00724D0B">
        <w:rPr>
          <w:rFonts w:ascii="Garamond" w:hAnsi="Garamond"/>
          <w:sz w:val="22"/>
          <w:szCs w:val="22"/>
        </w:rPr>
        <w:t xml:space="preserve"> days </w:t>
      </w:r>
      <w:r w:rsidR="00724D0B" w:rsidRPr="00724D0B">
        <w:rPr>
          <w:rFonts w:ascii="Garamond" w:hAnsi="Garamond"/>
          <w:sz w:val="22"/>
          <w:szCs w:val="22"/>
        </w:rPr>
        <w:t xml:space="preserve">from </w:t>
      </w:r>
      <w:r w:rsidR="004A0003" w:rsidRPr="00724D0B">
        <w:rPr>
          <w:rFonts w:ascii="Garamond" w:hAnsi="Garamond"/>
          <w:sz w:val="22"/>
          <w:szCs w:val="22"/>
        </w:rPr>
        <w:t>the start of the run</w:t>
      </w:r>
      <w:r w:rsidR="00724D0B" w:rsidRPr="00724D0B">
        <w:rPr>
          <w:rFonts w:ascii="Garamond" w:hAnsi="Garamond"/>
          <w:sz w:val="22"/>
          <w:szCs w:val="22"/>
        </w:rPr>
        <w:t>, on average.</w:t>
      </w:r>
      <w:r w:rsidR="00724D0B">
        <w:rPr>
          <w:rFonts w:ascii="Garamond" w:hAnsi="Garamond"/>
          <w:sz w:val="22"/>
          <w:szCs w:val="22"/>
        </w:rPr>
        <w:t xml:space="preserve"> </w:t>
      </w:r>
      <w:r w:rsidR="004A0003">
        <w:rPr>
          <w:rFonts w:ascii="Garamond" w:hAnsi="Garamond"/>
          <w:sz w:val="22"/>
          <w:szCs w:val="22"/>
        </w:rPr>
        <w:t xml:space="preserve">In contrast, lower Kuskokwim stocks arrive later in the season, with stocks such as the </w:t>
      </w:r>
      <w:proofErr w:type="spellStart"/>
      <w:r w:rsidR="004A0003">
        <w:rPr>
          <w:rFonts w:ascii="Garamond" w:hAnsi="Garamond"/>
          <w:sz w:val="22"/>
          <w:szCs w:val="22"/>
        </w:rPr>
        <w:t>Hoholitna</w:t>
      </w:r>
      <w:proofErr w:type="spellEnd"/>
      <w:r w:rsidR="004A0003">
        <w:rPr>
          <w:rFonts w:ascii="Garamond" w:hAnsi="Garamond"/>
          <w:sz w:val="22"/>
          <w:szCs w:val="22"/>
        </w:rPr>
        <w:t xml:space="preserve"> and Aniak river reaching 50% of their total run nearly </w:t>
      </w:r>
      <w:r w:rsidR="00724D0B">
        <w:rPr>
          <w:rFonts w:ascii="Garamond" w:hAnsi="Garamond"/>
          <w:sz w:val="22"/>
          <w:szCs w:val="22"/>
        </w:rPr>
        <w:t xml:space="preserve">23 </w:t>
      </w:r>
      <w:r w:rsidR="004A0003">
        <w:rPr>
          <w:rFonts w:ascii="Garamond" w:hAnsi="Garamond"/>
          <w:sz w:val="22"/>
          <w:szCs w:val="22"/>
        </w:rPr>
        <w:t>days from the start of the season</w:t>
      </w:r>
      <w:r w:rsidR="00663FC6">
        <w:rPr>
          <w:rFonts w:ascii="Garamond" w:hAnsi="Garamond"/>
          <w:sz w:val="22"/>
          <w:szCs w:val="22"/>
        </w:rPr>
        <w:t xml:space="preserve"> on average</w:t>
      </w:r>
      <w:r w:rsidR="00724D0B">
        <w:rPr>
          <w:rFonts w:ascii="Garamond" w:hAnsi="Garamond"/>
          <w:sz w:val="22"/>
          <w:szCs w:val="22"/>
        </w:rPr>
        <w:t>.</w:t>
      </w:r>
      <w:r w:rsidR="004A0003">
        <w:rPr>
          <w:rFonts w:ascii="Garamond" w:hAnsi="Garamond"/>
          <w:sz w:val="22"/>
          <w:szCs w:val="22"/>
        </w:rPr>
        <w:t xml:space="preserve"> </w:t>
      </w:r>
      <w:r w:rsidR="006D6AEE">
        <w:rPr>
          <w:rFonts w:ascii="Garamond" w:hAnsi="Garamond"/>
          <w:sz w:val="22"/>
          <w:szCs w:val="22"/>
        </w:rPr>
        <w:t>Some variability in this pattern does exist</w:t>
      </w:r>
      <w:r w:rsidR="00663FC6">
        <w:rPr>
          <w:rFonts w:ascii="Garamond" w:hAnsi="Garamond"/>
          <w:sz w:val="22"/>
          <w:szCs w:val="22"/>
        </w:rPr>
        <w:t xml:space="preserve">, with some </w:t>
      </w:r>
      <w:r w:rsidR="006D6AEE">
        <w:rPr>
          <w:rFonts w:ascii="Garamond" w:hAnsi="Garamond"/>
          <w:sz w:val="22"/>
          <w:szCs w:val="22"/>
        </w:rPr>
        <w:t>middle Kuskokwim stocks (yellow or orange) appear</w:t>
      </w:r>
      <w:r w:rsidR="00663FC6">
        <w:rPr>
          <w:rFonts w:ascii="Garamond" w:hAnsi="Garamond"/>
          <w:sz w:val="22"/>
          <w:szCs w:val="22"/>
        </w:rPr>
        <w:t>ing</w:t>
      </w:r>
      <w:r w:rsidR="006D6AEE">
        <w:rPr>
          <w:rFonts w:ascii="Garamond" w:hAnsi="Garamond"/>
          <w:sz w:val="22"/>
          <w:szCs w:val="22"/>
        </w:rPr>
        <w:t xml:space="preserve"> to arrive </w:t>
      </w:r>
      <w:r w:rsidR="00663FC6">
        <w:rPr>
          <w:rFonts w:ascii="Garamond" w:hAnsi="Garamond"/>
          <w:sz w:val="22"/>
          <w:szCs w:val="22"/>
        </w:rPr>
        <w:t xml:space="preserve">with or </w:t>
      </w:r>
      <w:r w:rsidR="006D6AEE">
        <w:rPr>
          <w:rFonts w:ascii="Garamond" w:hAnsi="Garamond"/>
          <w:sz w:val="22"/>
          <w:szCs w:val="22"/>
        </w:rPr>
        <w:t>after</w:t>
      </w:r>
      <w:r w:rsidR="00663FC6">
        <w:rPr>
          <w:rFonts w:ascii="Garamond" w:hAnsi="Garamond"/>
          <w:sz w:val="22"/>
          <w:szCs w:val="22"/>
        </w:rPr>
        <w:t xml:space="preserve"> those in the lower Kuskokwim in some years</w:t>
      </w:r>
      <w:r w:rsidR="006D6AEE">
        <w:rPr>
          <w:rFonts w:ascii="Garamond" w:hAnsi="Garamond"/>
          <w:sz w:val="22"/>
          <w:szCs w:val="22"/>
        </w:rPr>
        <w:t xml:space="preserve">. However, the general downstream trajectory of returning stocks remains consistent across our dataset independent of the relative </w:t>
      </w:r>
      <w:r w:rsidR="00470C70">
        <w:rPr>
          <w:rFonts w:ascii="Garamond" w:hAnsi="Garamond"/>
          <w:sz w:val="22"/>
          <w:szCs w:val="22"/>
        </w:rPr>
        <w:t xml:space="preserve">timing </w:t>
      </w:r>
      <w:r w:rsidR="00470C70" w:rsidRPr="00AD7B82">
        <w:rPr>
          <w:rFonts w:ascii="Garamond" w:hAnsi="Garamond"/>
          <w:sz w:val="22"/>
          <w:szCs w:val="22"/>
        </w:rPr>
        <w:t>(</w:t>
      </w:r>
      <w:r w:rsidR="00CF03CC" w:rsidRPr="00AD7B82">
        <w:rPr>
          <w:rFonts w:ascii="Garamond" w:hAnsi="Garamond"/>
          <w:sz w:val="22"/>
          <w:szCs w:val="22"/>
        </w:rPr>
        <w:t>i.e. early returning vs late returning</w:t>
      </w:r>
      <w:r w:rsidR="006D6AEE">
        <w:rPr>
          <w:rFonts w:ascii="Garamond" w:hAnsi="Garamond"/>
          <w:sz w:val="22"/>
          <w:szCs w:val="22"/>
        </w:rPr>
        <w:t>) or duration (</w:t>
      </w:r>
      <w:r w:rsidR="001419E1" w:rsidRPr="00AD7B82">
        <w:rPr>
          <w:rFonts w:ascii="Garamond" w:hAnsi="Garamond"/>
          <w:sz w:val="22"/>
          <w:szCs w:val="22"/>
        </w:rPr>
        <w:t xml:space="preserve">protracted </w:t>
      </w:r>
      <w:r w:rsidR="00CF03CC" w:rsidRPr="00AD7B82">
        <w:rPr>
          <w:rFonts w:ascii="Garamond" w:hAnsi="Garamond"/>
          <w:sz w:val="22"/>
          <w:szCs w:val="22"/>
        </w:rPr>
        <w:t xml:space="preserve">vs </w:t>
      </w:r>
      <w:r w:rsidR="00470C70" w:rsidRPr="00AD7B82">
        <w:rPr>
          <w:rFonts w:ascii="Garamond" w:hAnsi="Garamond"/>
          <w:sz w:val="22"/>
          <w:szCs w:val="22"/>
        </w:rPr>
        <w:t>extended)</w:t>
      </w:r>
      <w:r w:rsidR="00470C70">
        <w:rPr>
          <w:rFonts w:ascii="Garamond" w:hAnsi="Garamond"/>
          <w:sz w:val="22"/>
          <w:szCs w:val="22"/>
        </w:rPr>
        <w:t xml:space="preserve"> </w:t>
      </w:r>
      <w:r w:rsidR="006D6AEE">
        <w:rPr>
          <w:rFonts w:ascii="Garamond" w:hAnsi="Garamond"/>
          <w:sz w:val="22"/>
          <w:szCs w:val="22"/>
        </w:rPr>
        <w:t xml:space="preserve">of the run. </w:t>
      </w:r>
    </w:p>
    <w:p w14:paraId="425125A7" w14:textId="3D2EEC4D" w:rsidR="00397FF6" w:rsidRPr="006D6AEE" w:rsidRDefault="00397FF6" w:rsidP="006D6AEE">
      <w:pPr>
        <w:pStyle w:val="whitespace-normal"/>
        <w:spacing w:line="480" w:lineRule="auto"/>
        <w:rPr>
          <w:rFonts w:ascii="Garamond" w:hAnsi="Garamond"/>
          <w:sz w:val="22"/>
          <w:szCs w:val="22"/>
        </w:rPr>
      </w:pPr>
      <w:r w:rsidRPr="00354EC0">
        <w:rPr>
          <w:rFonts w:ascii="Garamond" w:hAnsi="Garamond"/>
          <w:b/>
          <w:bCs/>
          <w:sz w:val="20"/>
          <w:szCs w:val="20"/>
        </w:rPr>
        <w:t xml:space="preserve">Front end closure protections </w:t>
      </w:r>
    </w:p>
    <w:p w14:paraId="67527FF1" w14:textId="7A6E2EB5" w:rsidR="00966E61" w:rsidRDefault="00470C70" w:rsidP="00E86789">
      <w:pPr>
        <w:pStyle w:val="whitespace-normal"/>
        <w:spacing w:line="480" w:lineRule="auto"/>
        <w:ind w:firstLine="720"/>
        <w:rPr>
          <w:rFonts w:ascii="Garamond" w:hAnsi="Garamond"/>
          <w:sz w:val="22"/>
          <w:szCs w:val="22"/>
        </w:rPr>
      </w:pPr>
      <w:r>
        <w:rPr>
          <w:rFonts w:ascii="Garamond" w:hAnsi="Garamond"/>
          <w:sz w:val="22"/>
          <w:szCs w:val="22"/>
        </w:rPr>
        <w:t>A pattern of early returning upper Kuskokwim stocks clearly affords higher protection to these stocks from a front end closure ending on June 12</w:t>
      </w:r>
      <w:r w:rsidRPr="00470C70">
        <w:rPr>
          <w:rFonts w:ascii="Garamond" w:hAnsi="Garamond"/>
          <w:sz w:val="22"/>
          <w:szCs w:val="22"/>
          <w:vertAlign w:val="superscript"/>
        </w:rPr>
        <w:t>th</w:t>
      </w:r>
      <w:r>
        <w:rPr>
          <w:rFonts w:ascii="Garamond" w:hAnsi="Garamond"/>
          <w:sz w:val="22"/>
          <w:szCs w:val="22"/>
        </w:rPr>
        <w:t xml:space="preserve">.  Nearly all stocks upstream of Swift River received median protection &gt;10% of the total stock contribution across all years of our dataset, with several notable </w:t>
      </w:r>
      <w:proofErr w:type="spellStart"/>
      <w:r>
        <w:rPr>
          <w:rFonts w:ascii="Garamond" w:hAnsi="Garamond"/>
          <w:sz w:val="22"/>
          <w:szCs w:val="22"/>
        </w:rPr>
        <w:t>outlkiers</w:t>
      </w:r>
      <w:proofErr w:type="spellEnd"/>
      <w:r>
        <w:rPr>
          <w:rFonts w:ascii="Garamond" w:hAnsi="Garamond"/>
          <w:sz w:val="22"/>
          <w:szCs w:val="22"/>
        </w:rPr>
        <w:t xml:space="preserve"> &gt;30% protection in some years. An exception is the </w:t>
      </w:r>
      <w:proofErr w:type="spellStart"/>
      <w:r>
        <w:rPr>
          <w:rFonts w:ascii="Garamond" w:hAnsi="Garamond"/>
          <w:sz w:val="22"/>
          <w:szCs w:val="22"/>
        </w:rPr>
        <w:t>Takotna</w:t>
      </w:r>
      <w:proofErr w:type="spellEnd"/>
      <w:r>
        <w:rPr>
          <w:rFonts w:ascii="Garamond" w:hAnsi="Garamond"/>
          <w:sz w:val="22"/>
          <w:szCs w:val="22"/>
        </w:rPr>
        <w:t xml:space="preserve"> river and Nixon Fork stocks, which received a median protection of only 6.6%. Several stocks which contribute only minimally to the overall run are afforded significant protection. For example, although the East Fork Kuskokwim contributes minimally to the total run</w:t>
      </w:r>
      <w:r w:rsidR="00DC75BB" w:rsidRPr="000C429D">
        <w:rPr>
          <w:rFonts w:ascii="Garamond" w:hAnsi="Garamond"/>
          <w:sz w:val="22"/>
          <w:szCs w:val="22"/>
        </w:rPr>
        <w:t xml:space="preserve"> (~2-3% annually), approximately one-quarter of its total returns are protected by a front-end closure. </w:t>
      </w:r>
      <w:r>
        <w:rPr>
          <w:rFonts w:ascii="Garamond" w:hAnsi="Garamond"/>
          <w:sz w:val="22"/>
          <w:szCs w:val="22"/>
        </w:rPr>
        <w:t xml:space="preserve">Stocks positioned lower in the watershed received less protection due to their generally late arrival, with all stocks downstream or the Swift River receiving </w:t>
      </w:r>
      <w:r w:rsidR="00966E61">
        <w:rPr>
          <w:rFonts w:ascii="Garamond" w:hAnsi="Garamond"/>
          <w:sz w:val="22"/>
          <w:szCs w:val="22"/>
        </w:rPr>
        <w:t xml:space="preserve">median protection of less than 10%. The stony and </w:t>
      </w:r>
      <w:proofErr w:type="spellStart"/>
      <w:r w:rsidR="00966E61">
        <w:rPr>
          <w:rFonts w:ascii="Garamond" w:hAnsi="Garamond"/>
          <w:sz w:val="22"/>
          <w:szCs w:val="22"/>
        </w:rPr>
        <w:lastRenderedPageBreak/>
        <w:t>Hoholitna</w:t>
      </w:r>
      <w:proofErr w:type="spellEnd"/>
      <w:r w:rsidR="00966E61">
        <w:rPr>
          <w:rFonts w:ascii="Garamond" w:hAnsi="Garamond"/>
          <w:sz w:val="22"/>
          <w:szCs w:val="22"/>
        </w:rPr>
        <w:t xml:space="preserve"> River stocks, however, contain outliers of 22.1% and 18.4%, indicating that a front end closure may afford these stocks substantial protection in some years. </w:t>
      </w:r>
    </w:p>
    <w:p w14:paraId="558FF82F" w14:textId="77777777" w:rsidR="00966E61" w:rsidRDefault="000854BE" w:rsidP="00F55974">
      <w:pPr>
        <w:pStyle w:val="whitespace-normal"/>
        <w:spacing w:line="480" w:lineRule="auto"/>
        <w:rPr>
          <w:rFonts w:ascii="Garamond" w:hAnsi="Garamond"/>
          <w:b/>
          <w:bCs/>
          <w:sz w:val="32"/>
          <w:szCs w:val="32"/>
          <w:u w:val="single"/>
        </w:rPr>
      </w:pPr>
      <w:r w:rsidRPr="00966E61">
        <w:rPr>
          <w:rFonts w:ascii="Garamond" w:hAnsi="Garamond"/>
          <w:b/>
          <w:bCs/>
          <w:sz w:val="32"/>
          <w:szCs w:val="32"/>
          <w:u w:val="single"/>
        </w:rPr>
        <w:t>Discussion</w:t>
      </w:r>
    </w:p>
    <w:p w14:paraId="360F35EC" w14:textId="493F6930" w:rsidR="00E10F4A" w:rsidRDefault="00A005B7" w:rsidP="00E10F4A">
      <w:pPr>
        <w:pStyle w:val="whitespace-normal"/>
        <w:spacing w:line="480" w:lineRule="auto"/>
        <w:ind w:firstLine="720"/>
        <w:rPr>
          <w:rFonts w:ascii="Garamond" w:hAnsi="Garamond"/>
          <w:sz w:val="22"/>
          <w:szCs w:val="22"/>
        </w:rPr>
      </w:pPr>
      <w:r w:rsidRPr="009C42BD">
        <w:rPr>
          <w:rFonts w:ascii="Garamond" w:hAnsi="Garamond"/>
          <w:sz w:val="22"/>
          <w:szCs w:val="22"/>
        </w:rPr>
        <w:t xml:space="preserve">The analysis presented here illustrates the spatiotemporal patterns of Chinook salmon in the Kuskokwim river-basin at a finer spatial scale and over a longer </w:t>
      </w:r>
      <w:r w:rsidR="002C1C99" w:rsidRPr="009C42BD">
        <w:rPr>
          <w:rFonts w:ascii="Garamond" w:hAnsi="Garamond"/>
          <w:sz w:val="22"/>
          <w:szCs w:val="22"/>
        </w:rPr>
        <w:t>time period</w:t>
      </w:r>
      <w:r w:rsidRPr="009C42BD">
        <w:rPr>
          <w:rFonts w:ascii="Garamond" w:hAnsi="Garamond"/>
          <w:sz w:val="22"/>
          <w:szCs w:val="22"/>
        </w:rPr>
        <w:t xml:space="preserve"> than had previously </w:t>
      </w:r>
      <w:r w:rsidR="009C42BD">
        <w:rPr>
          <w:rFonts w:ascii="Garamond" w:hAnsi="Garamond"/>
          <w:sz w:val="22"/>
          <w:szCs w:val="22"/>
        </w:rPr>
        <w:t xml:space="preserve">been </w:t>
      </w:r>
      <w:r w:rsidRPr="009C42BD">
        <w:rPr>
          <w:rFonts w:ascii="Garamond" w:hAnsi="Garamond"/>
          <w:sz w:val="22"/>
          <w:szCs w:val="22"/>
        </w:rPr>
        <w:t xml:space="preserve">available. In doing so, we corroborated </w:t>
      </w:r>
      <w:r w:rsidR="009C42BD">
        <w:rPr>
          <w:rFonts w:ascii="Garamond" w:hAnsi="Garamond"/>
          <w:sz w:val="22"/>
          <w:szCs w:val="22"/>
        </w:rPr>
        <w:t>a preliminarily observed</w:t>
      </w:r>
      <w:r w:rsidRPr="009C42BD">
        <w:rPr>
          <w:rFonts w:ascii="Garamond" w:hAnsi="Garamond"/>
          <w:sz w:val="22"/>
          <w:szCs w:val="22"/>
        </w:rPr>
        <w:t xml:space="preserve"> relationship between run timing and watershed position, where </w:t>
      </w:r>
      <w:r w:rsidR="009C42BD">
        <w:rPr>
          <w:rFonts w:ascii="Garamond" w:hAnsi="Garamond"/>
          <w:sz w:val="22"/>
          <w:szCs w:val="22"/>
        </w:rPr>
        <w:t>return timing reflects a gradient in watershed position from the earliest retuning upstream stocks to late returning lower watershed stocks. T</w:t>
      </w:r>
      <w:r w:rsidR="00E10F4A" w:rsidRPr="009C42BD">
        <w:rPr>
          <w:rFonts w:ascii="Garamond" w:hAnsi="Garamond"/>
          <w:sz w:val="22"/>
          <w:szCs w:val="22"/>
        </w:rPr>
        <w:t xml:space="preserve">his pattern </w:t>
      </w:r>
      <w:r w:rsidR="009C42BD">
        <w:rPr>
          <w:rFonts w:ascii="Garamond" w:hAnsi="Garamond"/>
          <w:sz w:val="22"/>
          <w:szCs w:val="22"/>
        </w:rPr>
        <w:t xml:space="preserve">was observed </w:t>
      </w:r>
      <w:r w:rsidR="002C1C99">
        <w:rPr>
          <w:rFonts w:ascii="Garamond" w:hAnsi="Garamond"/>
          <w:sz w:val="22"/>
          <w:szCs w:val="22"/>
        </w:rPr>
        <w:t>consistently</w:t>
      </w:r>
      <w:r w:rsidR="00E10F4A" w:rsidRPr="009C42BD">
        <w:rPr>
          <w:rFonts w:ascii="Garamond" w:hAnsi="Garamond"/>
          <w:sz w:val="22"/>
          <w:szCs w:val="22"/>
        </w:rPr>
        <w:t xml:space="preserve"> throughout our multi-year dataset despite significant differences in run timing and overall run strength. The</w:t>
      </w:r>
      <w:r w:rsidR="009C42BD">
        <w:rPr>
          <w:rFonts w:ascii="Garamond" w:hAnsi="Garamond"/>
          <w:sz w:val="22"/>
          <w:szCs w:val="22"/>
        </w:rPr>
        <w:t>se results highlight the consistency of this pattern in the Kuskokwim river basin, and has significant implications for management strategy which aims to protect up stream stocks. In our evaluation of the current implemented front-end closure ending on June 11</w:t>
      </w:r>
      <w:r w:rsidR="009C42BD" w:rsidRPr="009C42BD">
        <w:rPr>
          <w:rFonts w:ascii="Garamond" w:hAnsi="Garamond"/>
          <w:sz w:val="22"/>
          <w:szCs w:val="22"/>
          <w:vertAlign w:val="superscript"/>
        </w:rPr>
        <w:t>th</w:t>
      </w:r>
      <w:r w:rsidR="009C42BD">
        <w:rPr>
          <w:rFonts w:ascii="Garamond" w:hAnsi="Garamond"/>
          <w:sz w:val="22"/>
          <w:szCs w:val="22"/>
        </w:rPr>
        <w:t xml:space="preserve">, upper Kuskokwim stocks such as ____, ____, and ____ were afforded significant protection from the fishery. In doing so, this strategy appears to successfully allow upper Kuskokwim fish to return to upstream tributaries, thereby providing subsistence opportunities for upper Kuskokwim communities and </w:t>
      </w:r>
      <w:r w:rsidR="002C1C99">
        <w:rPr>
          <w:rFonts w:ascii="Garamond" w:hAnsi="Garamond"/>
          <w:sz w:val="22"/>
          <w:szCs w:val="22"/>
        </w:rPr>
        <w:t xml:space="preserve">protecting a significant portion of the overall returns from downstream harvest in subsistence or commercial fisheries. </w:t>
      </w:r>
    </w:p>
    <w:p w14:paraId="5A1D0A0C" w14:textId="77777777" w:rsidR="0013324E" w:rsidRDefault="002C1C99" w:rsidP="0013324E">
      <w:pPr>
        <w:pStyle w:val="whitespace-normal"/>
        <w:spacing w:line="480" w:lineRule="auto"/>
        <w:ind w:firstLine="720"/>
        <w:rPr>
          <w:rFonts w:ascii="Garamond" w:hAnsi="Garamond"/>
          <w:sz w:val="22"/>
          <w:szCs w:val="22"/>
        </w:rPr>
      </w:pPr>
      <w:r>
        <w:rPr>
          <w:rFonts w:ascii="Garamond" w:hAnsi="Garamond"/>
          <w:sz w:val="22"/>
          <w:szCs w:val="22"/>
        </w:rPr>
        <w:t>Despite</w:t>
      </w:r>
      <w:r w:rsidR="00BF0C62">
        <w:rPr>
          <w:rFonts w:ascii="Garamond" w:hAnsi="Garamond"/>
          <w:sz w:val="22"/>
          <w:szCs w:val="22"/>
        </w:rPr>
        <w:t xml:space="preserve"> </w:t>
      </w:r>
      <w:r>
        <w:rPr>
          <w:rFonts w:ascii="Garamond" w:hAnsi="Garamond"/>
          <w:sz w:val="22"/>
          <w:szCs w:val="22"/>
        </w:rPr>
        <w:t>clear</w:t>
      </w:r>
      <w:r w:rsidR="00BF0C62">
        <w:rPr>
          <w:rFonts w:ascii="Garamond" w:hAnsi="Garamond"/>
          <w:sz w:val="22"/>
          <w:szCs w:val="22"/>
        </w:rPr>
        <w:t>ly higher</w:t>
      </w:r>
      <w:r>
        <w:rPr>
          <w:rFonts w:ascii="Garamond" w:hAnsi="Garamond"/>
          <w:sz w:val="22"/>
          <w:szCs w:val="22"/>
        </w:rPr>
        <w:t xml:space="preserve"> average protection afforded </w:t>
      </w:r>
      <w:r w:rsidR="0013324E">
        <w:rPr>
          <w:rFonts w:ascii="Garamond" w:hAnsi="Garamond"/>
          <w:sz w:val="22"/>
          <w:szCs w:val="22"/>
        </w:rPr>
        <w:t xml:space="preserve">to upper watershed stocks by the front-end closure, the range of protection values in our dataset is notable (Figure 5). </w:t>
      </w:r>
      <w:r w:rsidR="00BF0C62">
        <w:rPr>
          <w:rFonts w:ascii="Garamond" w:hAnsi="Garamond"/>
          <w:sz w:val="22"/>
          <w:szCs w:val="22"/>
        </w:rPr>
        <w:t>Although the closure operates on a fixed date, return timing is variable among year</w:t>
      </w:r>
      <w:r w:rsidR="0013324E">
        <w:rPr>
          <w:rFonts w:ascii="Garamond" w:hAnsi="Garamond"/>
          <w:sz w:val="22"/>
          <w:szCs w:val="22"/>
        </w:rPr>
        <w:t>s and t</w:t>
      </w:r>
      <w:r w:rsidR="00BF0C62">
        <w:rPr>
          <w:rFonts w:ascii="Garamond" w:hAnsi="Garamond"/>
          <w:sz w:val="22"/>
          <w:szCs w:val="22"/>
        </w:rPr>
        <w:t>he relative proportion of the run within the front-end window is dependent on both the timing (early vs late) and the duration (extended vs protracted) of the overall return. Late return timing or extended run duration may result in less proportional contribution within the closure window as comp</w:t>
      </w:r>
      <w:r w:rsidR="0013324E">
        <w:rPr>
          <w:rFonts w:ascii="Garamond" w:hAnsi="Garamond"/>
          <w:sz w:val="22"/>
          <w:szCs w:val="22"/>
        </w:rPr>
        <w:t>a</w:t>
      </w:r>
      <w:r w:rsidR="00BF0C62">
        <w:rPr>
          <w:rFonts w:ascii="Garamond" w:hAnsi="Garamond"/>
          <w:sz w:val="22"/>
          <w:szCs w:val="22"/>
        </w:rPr>
        <w:t>red to earlier returning and more protracted run timing. As a result,</w:t>
      </w:r>
      <w:r w:rsidR="0013324E">
        <w:rPr>
          <w:rFonts w:ascii="Garamond" w:hAnsi="Garamond"/>
          <w:sz w:val="22"/>
          <w:szCs w:val="22"/>
        </w:rPr>
        <w:t xml:space="preserve"> both the amount of protection as well as the number of stocks afforded that protection depend on the interaction </w:t>
      </w:r>
      <w:r w:rsidR="0013324E">
        <w:rPr>
          <w:rFonts w:ascii="Garamond" w:hAnsi="Garamond"/>
          <w:sz w:val="22"/>
          <w:szCs w:val="22"/>
        </w:rPr>
        <w:lastRenderedPageBreak/>
        <w:t xml:space="preserve">between the run dynamics and the timing of the closure. A more dynamic closure which is flexible based on the timing of the run may provide more consistent protection to upstream stocks. </w:t>
      </w:r>
    </w:p>
    <w:p w14:paraId="2F164875" w14:textId="77777777" w:rsidR="005858F1" w:rsidRDefault="0013324E" w:rsidP="005858F1">
      <w:pPr>
        <w:pStyle w:val="whitespace-normal"/>
        <w:spacing w:line="480" w:lineRule="auto"/>
        <w:ind w:firstLine="720"/>
        <w:rPr>
          <w:rFonts w:ascii="Garamond" w:hAnsi="Garamond"/>
          <w:sz w:val="22"/>
          <w:szCs w:val="22"/>
        </w:rPr>
      </w:pPr>
      <w:r>
        <w:rPr>
          <w:rFonts w:ascii="Garamond" w:hAnsi="Garamond"/>
          <w:sz w:val="22"/>
          <w:szCs w:val="22"/>
        </w:rPr>
        <w:t>In addition to providing a more thorough understanding of the spatiotemporal patterns of returning Chinook salmon in the Kuskokwim-river basin, t</w:t>
      </w:r>
      <w:r w:rsidR="00E671EF" w:rsidRPr="00E671EF">
        <w:rPr>
          <w:rFonts w:ascii="Garamond" w:hAnsi="Garamond"/>
          <w:sz w:val="22"/>
          <w:szCs w:val="22"/>
        </w:rPr>
        <w:t xml:space="preserve">hese results </w:t>
      </w:r>
      <w:r>
        <w:rPr>
          <w:rFonts w:ascii="Garamond" w:hAnsi="Garamond"/>
          <w:sz w:val="22"/>
          <w:szCs w:val="22"/>
        </w:rPr>
        <w:t xml:space="preserve">contribute to a body of knowledge on Pacific Salmon ecology in large, free flowing, and relatively pristine river systems. </w:t>
      </w:r>
      <w:r w:rsidR="00065DC6" w:rsidRPr="00065DC6">
        <w:rPr>
          <w:rFonts w:ascii="Garamond" w:hAnsi="Garamond"/>
          <w:sz w:val="22"/>
          <w:szCs w:val="22"/>
        </w:rPr>
        <w:t>The patterns observed in our dataset support both the preliminary understanding of the relationship between return timing and watershed position and the well-established understanding of salmon ecosystem dynamics at annual and sub-annual timescales.</w:t>
      </w:r>
      <w:r>
        <w:rPr>
          <w:rFonts w:ascii="Garamond" w:hAnsi="Garamond"/>
          <w:sz w:val="22"/>
          <w:szCs w:val="22"/>
        </w:rPr>
        <w:t xml:space="preserve"> </w:t>
      </w:r>
      <w:r w:rsidR="00385F28" w:rsidRPr="00385F28">
        <w:rPr>
          <w:rFonts w:ascii="Garamond" w:hAnsi="Garamond"/>
          <w:sz w:val="22"/>
          <w:szCs w:val="22"/>
        </w:rPr>
        <w:t>Exploring ecosystem-wide patterns at the tributary scale may provide managers with a more complete understanding of ecosystem processes, offering both comprehensive basin-wide insights and fine-scale estimates relevant to localized management decisions</w:t>
      </w:r>
      <w:r w:rsidR="00CD3038">
        <w:rPr>
          <w:rFonts w:ascii="Garamond" w:hAnsi="Garamond"/>
          <w:sz w:val="22"/>
          <w:szCs w:val="22"/>
        </w:rPr>
        <w:t xml:space="preserve">. </w:t>
      </w:r>
      <w:r w:rsidR="00385F28" w:rsidRPr="00385F28">
        <w:rPr>
          <w:rFonts w:ascii="Garamond" w:hAnsi="Garamond"/>
          <w:sz w:val="22"/>
          <w:szCs w:val="22"/>
        </w:rPr>
        <w:t xml:space="preserve">While otolith-based methods used in this study have not been explicitly validated for the Kuskokwim River Basin, they have demonstrated high assignment accuracy for Pacific salmon in similar Alaska watersheds. These methods do contain some limitations for large-scale implementation in </w:t>
      </w:r>
      <w:r w:rsidR="005858F1" w:rsidRPr="00385F28">
        <w:rPr>
          <w:rFonts w:ascii="Garamond" w:hAnsi="Garamond"/>
          <w:sz w:val="22"/>
          <w:szCs w:val="22"/>
        </w:rPr>
        <w:t>management;</w:t>
      </w:r>
      <w:r w:rsidR="00385F28" w:rsidRPr="00385F28">
        <w:rPr>
          <w:rFonts w:ascii="Garamond" w:hAnsi="Garamond"/>
          <w:sz w:val="22"/>
          <w:szCs w:val="22"/>
        </w:rPr>
        <w:t xml:space="preserve"> most notably significant turnaround time compared to genetics-based techniques and the potential for assignment error due to limitations in isotopic heterogeneity. </w:t>
      </w:r>
      <w:r w:rsidR="005858F1" w:rsidRPr="005858F1">
        <w:rPr>
          <w:rFonts w:ascii="Garamond" w:hAnsi="Garamond"/>
          <w:sz w:val="22"/>
          <w:szCs w:val="22"/>
        </w:rPr>
        <w:t>Despite these limitations, otolith microchemistry remains well-suited for exploring spatial patterns across large, remote watersheds where e</w:t>
      </w:r>
      <w:r w:rsidR="005858F1">
        <w:rPr>
          <w:rFonts w:ascii="Garamond" w:hAnsi="Garamond"/>
          <w:sz w:val="22"/>
          <w:szCs w:val="22"/>
        </w:rPr>
        <w:t>xtensive</w:t>
      </w:r>
      <w:r w:rsidR="005858F1" w:rsidRPr="005858F1">
        <w:rPr>
          <w:rFonts w:ascii="Garamond" w:hAnsi="Garamond"/>
          <w:sz w:val="22"/>
          <w:szCs w:val="22"/>
        </w:rPr>
        <w:t xml:space="preserve"> </w:t>
      </w:r>
      <w:r w:rsidR="005858F1" w:rsidRPr="005858F1">
        <w:rPr>
          <w:rFonts w:ascii="Garamond" w:hAnsi="Garamond"/>
          <w:sz w:val="22"/>
          <w:szCs w:val="22"/>
        </w:rPr>
        <w:t>monitoring</w:t>
      </w:r>
      <w:r w:rsidR="005858F1" w:rsidRPr="005858F1">
        <w:rPr>
          <w:rFonts w:ascii="Garamond" w:hAnsi="Garamond"/>
          <w:sz w:val="22"/>
          <w:szCs w:val="22"/>
        </w:rPr>
        <w:t xml:space="preserve"> programs </w:t>
      </w:r>
      <w:r w:rsidR="005858F1">
        <w:rPr>
          <w:rFonts w:ascii="Garamond" w:hAnsi="Garamond"/>
          <w:sz w:val="22"/>
          <w:szCs w:val="22"/>
        </w:rPr>
        <w:t>are</w:t>
      </w:r>
      <w:r w:rsidR="005858F1" w:rsidRPr="005858F1">
        <w:rPr>
          <w:rFonts w:ascii="Garamond" w:hAnsi="Garamond"/>
          <w:sz w:val="22"/>
          <w:szCs w:val="22"/>
        </w:rPr>
        <w:t xml:space="preserve"> impractical, and provides the unique advantage of retrospective analysis through archived samples</w:t>
      </w:r>
    </w:p>
    <w:p w14:paraId="6B9C8693" w14:textId="37BC98E4" w:rsidR="0013324E" w:rsidRDefault="001430A9" w:rsidP="005858F1">
      <w:pPr>
        <w:pStyle w:val="whitespace-normal"/>
        <w:spacing w:line="480" w:lineRule="auto"/>
        <w:ind w:firstLine="720"/>
        <w:rPr>
          <w:rFonts w:ascii="Garamond" w:hAnsi="Garamond"/>
          <w:sz w:val="22"/>
          <w:szCs w:val="22"/>
        </w:rPr>
      </w:pPr>
      <w:r w:rsidRPr="001430A9">
        <w:rPr>
          <w:rFonts w:ascii="Garamond" w:hAnsi="Garamond"/>
          <w:sz w:val="22"/>
          <w:szCs w:val="22"/>
        </w:rPr>
        <w:t>More broadly, our results underscore the value of exploring ecosystem function and evaluating management strategies at the subpopulation scale, where fine-scale spatial and temporal patterns can reveal underlying biocomplexity that is critical to population resilience. By explicitly incorporating the spatiotemporal dynamics of metapopulations, managers may be better equipped to design conservation strategies that meet human resource needs while safeguarding the ecological diversity and life history variation that underpin healthy, functioning ecosystems</w:t>
      </w:r>
      <w:r>
        <w:rPr>
          <w:rFonts w:ascii="Garamond" w:hAnsi="Garamond"/>
          <w:sz w:val="22"/>
          <w:szCs w:val="22"/>
        </w:rPr>
        <w:t xml:space="preserve">. </w:t>
      </w:r>
      <w:r w:rsidR="005858F1">
        <w:rPr>
          <w:rFonts w:ascii="Garamond" w:hAnsi="Garamond"/>
          <w:sz w:val="22"/>
          <w:szCs w:val="22"/>
        </w:rPr>
        <w:t xml:space="preserve">Given growing global resource needs as well as increased uncertainty of ecosystem processes in a novel climate and under novel management </w:t>
      </w:r>
      <w:r>
        <w:rPr>
          <w:rFonts w:ascii="Garamond" w:hAnsi="Garamond"/>
          <w:sz w:val="22"/>
          <w:szCs w:val="22"/>
        </w:rPr>
        <w:t>regimes,</w:t>
      </w:r>
      <w:r w:rsidR="005858F1">
        <w:rPr>
          <w:rFonts w:ascii="Garamond" w:hAnsi="Garamond"/>
          <w:sz w:val="22"/>
          <w:szCs w:val="22"/>
        </w:rPr>
        <w:t xml:space="preserve"> there is an established and growing need to understand ecosystem processes at multiple spatial and temporal scales</w:t>
      </w:r>
      <w:r>
        <w:rPr>
          <w:rFonts w:ascii="Garamond" w:hAnsi="Garamond"/>
          <w:sz w:val="22"/>
          <w:szCs w:val="22"/>
        </w:rPr>
        <w:t xml:space="preserve">. </w:t>
      </w:r>
      <w:r w:rsidRPr="001430A9">
        <w:rPr>
          <w:rFonts w:ascii="Garamond" w:hAnsi="Garamond"/>
          <w:sz w:val="22"/>
          <w:szCs w:val="22"/>
        </w:rPr>
        <w:lastRenderedPageBreak/>
        <w:t>Doing so is essential not only for detecting shifts in ecosystem function but also for developing adaptive strategies that sustain ecosystem services and support long-term resilience in the face of future uncertainty.</w:t>
      </w:r>
    </w:p>
    <w:p w14:paraId="558FBC3D" w14:textId="77777777" w:rsidR="00310A9F" w:rsidRDefault="00310A9F" w:rsidP="00310A9F">
      <w:pPr>
        <w:pStyle w:val="whitespace-normal"/>
        <w:pBdr>
          <w:bottom w:val="single" w:sz="6" w:space="1" w:color="auto"/>
        </w:pBdr>
        <w:spacing w:line="480" w:lineRule="auto"/>
        <w:ind w:firstLine="720"/>
        <w:rPr>
          <w:rFonts w:ascii="Garamond" w:hAnsi="Garamond"/>
          <w:sz w:val="22"/>
          <w:szCs w:val="22"/>
        </w:rPr>
      </w:pPr>
    </w:p>
    <w:p w14:paraId="7A0B8536" w14:textId="77777777" w:rsidR="003610A6" w:rsidRDefault="003610A6" w:rsidP="00310A9F">
      <w:pPr>
        <w:pStyle w:val="whitespace-normal"/>
        <w:spacing w:line="480" w:lineRule="auto"/>
        <w:ind w:firstLine="720"/>
        <w:rPr>
          <w:rFonts w:ascii="Garamond" w:hAnsi="Garamond"/>
          <w:sz w:val="22"/>
          <w:szCs w:val="22"/>
        </w:rPr>
      </w:pPr>
    </w:p>
    <w:p w14:paraId="4998CFA4" w14:textId="77777777" w:rsidR="003610A6" w:rsidRDefault="003610A6" w:rsidP="003610A6">
      <w:pPr>
        <w:spacing w:line="480" w:lineRule="auto"/>
        <w:ind w:firstLine="720"/>
        <w:rPr>
          <w:rFonts w:ascii="Garamond" w:hAnsi="Garamond"/>
          <w:sz w:val="22"/>
          <w:szCs w:val="22"/>
        </w:rPr>
      </w:pPr>
    </w:p>
    <w:p w14:paraId="0662A3B8" w14:textId="77777777" w:rsidR="003610A6" w:rsidRDefault="003610A6" w:rsidP="003610A6">
      <w:pPr>
        <w:spacing w:line="480" w:lineRule="auto"/>
        <w:ind w:firstLine="720"/>
        <w:rPr>
          <w:rFonts w:ascii="Garamond" w:hAnsi="Garamond"/>
          <w:sz w:val="22"/>
          <w:szCs w:val="22"/>
        </w:rPr>
      </w:pPr>
    </w:p>
    <w:p w14:paraId="112F74DB" w14:textId="77777777" w:rsidR="003610A6" w:rsidRDefault="003610A6" w:rsidP="003610A6">
      <w:pPr>
        <w:pStyle w:val="NormalWeb"/>
        <w:spacing w:line="480" w:lineRule="auto"/>
        <w:ind w:firstLine="720"/>
        <w:rPr>
          <w:rFonts w:ascii="Garamond" w:hAnsi="Garamond"/>
          <w:sz w:val="22"/>
          <w:szCs w:val="22"/>
        </w:rPr>
      </w:pPr>
    </w:p>
    <w:p w14:paraId="64A2B313" w14:textId="77777777" w:rsidR="003610A6" w:rsidRDefault="003610A6" w:rsidP="003610A6">
      <w:pPr>
        <w:spacing w:line="480" w:lineRule="auto"/>
        <w:ind w:firstLine="720"/>
        <w:rPr>
          <w:rFonts w:ascii="Garamond" w:hAnsi="Garamond"/>
          <w:sz w:val="22"/>
          <w:szCs w:val="22"/>
        </w:rPr>
      </w:pPr>
    </w:p>
    <w:p w14:paraId="50BCBE9C" w14:textId="77777777" w:rsidR="003610A6" w:rsidRDefault="003610A6" w:rsidP="003610A6">
      <w:pPr>
        <w:spacing w:line="480" w:lineRule="auto"/>
        <w:ind w:firstLine="720"/>
        <w:rPr>
          <w:rFonts w:ascii="Garamond" w:hAnsi="Garamond"/>
          <w:sz w:val="22"/>
          <w:szCs w:val="22"/>
        </w:rPr>
      </w:pPr>
    </w:p>
    <w:p w14:paraId="73E95749" w14:textId="77777777" w:rsidR="003610A6" w:rsidRDefault="003610A6" w:rsidP="003610A6">
      <w:pPr>
        <w:spacing w:line="480" w:lineRule="auto"/>
        <w:ind w:firstLine="720"/>
        <w:rPr>
          <w:rFonts w:ascii="Garamond" w:hAnsi="Garamond"/>
          <w:sz w:val="22"/>
          <w:szCs w:val="22"/>
        </w:rPr>
      </w:pPr>
    </w:p>
    <w:p w14:paraId="59C68BF2" w14:textId="77777777" w:rsidR="003610A6" w:rsidRDefault="003610A6" w:rsidP="003610A6">
      <w:pPr>
        <w:spacing w:line="480" w:lineRule="auto"/>
        <w:ind w:firstLine="720"/>
        <w:rPr>
          <w:rFonts w:ascii="Garamond" w:hAnsi="Garamond"/>
          <w:sz w:val="22"/>
          <w:szCs w:val="22"/>
        </w:rPr>
      </w:pPr>
    </w:p>
    <w:p w14:paraId="30F3A9A4" w14:textId="77777777" w:rsidR="003610A6" w:rsidRDefault="003610A6" w:rsidP="003610A6">
      <w:pPr>
        <w:spacing w:line="480" w:lineRule="auto"/>
        <w:ind w:firstLine="720"/>
        <w:rPr>
          <w:rFonts w:ascii="Garamond" w:hAnsi="Garamond"/>
          <w:sz w:val="22"/>
          <w:szCs w:val="22"/>
        </w:rPr>
      </w:pPr>
    </w:p>
    <w:p w14:paraId="0EBFD38B" w14:textId="77777777" w:rsidR="003610A6" w:rsidRDefault="003610A6" w:rsidP="003610A6">
      <w:pPr>
        <w:spacing w:line="480" w:lineRule="auto"/>
        <w:ind w:firstLine="720"/>
        <w:rPr>
          <w:rFonts w:ascii="Garamond" w:hAnsi="Garamond"/>
          <w:sz w:val="22"/>
          <w:szCs w:val="22"/>
        </w:rPr>
      </w:pPr>
      <w:r>
        <w:rPr>
          <w:rFonts w:ascii="Garamond" w:hAnsi="Garamond"/>
          <w:sz w:val="22"/>
          <w:szCs w:val="22"/>
        </w:rPr>
        <w:t xml:space="preserve">This has led to the use of front end closure strategy in the Kuskokwim to protect opportunity for upstream comm. And stabilize the fishery by protecting upstream stocks </w:t>
      </w:r>
    </w:p>
    <w:p w14:paraId="7023429A" w14:textId="77777777" w:rsidR="003610A6" w:rsidRDefault="003610A6" w:rsidP="003610A6">
      <w:pPr>
        <w:spacing w:line="480" w:lineRule="auto"/>
        <w:ind w:firstLine="720"/>
        <w:rPr>
          <w:rFonts w:ascii="Garamond" w:hAnsi="Garamond"/>
          <w:sz w:val="22"/>
          <w:szCs w:val="22"/>
        </w:rPr>
      </w:pPr>
      <w:r>
        <w:rPr>
          <w:rFonts w:ascii="Garamond" w:hAnsi="Garamond"/>
          <w:sz w:val="22"/>
          <w:szCs w:val="22"/>
        </w:rPr>
        <w:t xml:space="preserve">Little understanding of the spatiotemporal patterns in the system </w:t>
      </w:r>
    </w:p>
    <w:p w14:paraId="13BEF640" w14:textId="77777777" w:rsidR="003610A6" w:rsidRDefault="003610A6" w:rsidP="003610A6">
      <w:pPr>
        <w:spacing w:line="480" w:lineRule="auto"/>
        <w:ind w:firstLine="720"/>
        <w:rPr>
          <w:rFonts w:ascii="Garamond" w:hAnsi="Garamond"/>
          <w:sz w:val="22"/>
          <w:szCs w:val="22"/>
        </w:rPr>
      </w:pPr>
      <w:r>
        <w:rPr>
          <w:rFonts w:ascii="Garamond" w:hAnsi="Garamond"/>
          <w:sz w:val="22"/>
          <w:szCs w:val="22"/>
        </w:rPr>
        <w:t xml:space="preserve">Here, we…. </w:t>
      </w:r>
    </w:p>
    <w:p w14:paraId="1FF9A2BC" w14:textId="77777777" w:rsidR="003610A6" w:rsidRDefault="003610A6" w:rsidP="003610A6">
      <w:pPr>
        <w:spacing w:line="480" w:lineRule="auto"/>
        <w:ind w:firstLine="720"/>
        <w:rPr>
          <w:rFonts w:ascii="Garamond" w:hAnsi="Garamond"/>
          <w:sz w:val="22"/>
          <w:szCs w:val="22"/>
        </w:rPr>
      </w:pPr>
    </w:p>
    <w:p w14:paraId="46E4C397" w14:textId="77777777" w:rsidR="003610A6" w:rsidRDefault="003610A6" w:rsidP="003610A6">
      <w:pPr>
        <w:spacing w:line="480" w:lineRule="auto"/>
        <w:ind w:firstLine="720"/>
        <w:rPr>
          <w:rFonts w:ascii="Garamond" w:hAnsi="Garamond"/>
          <w:sz w:val="22"/>
          <w:szCs w:val="22"/>
        </w:rPr>
      </w:pPr>
      <w:r>
        <w:rPr>
          <w:rFonts w:ascii="Garamond" w:hAnsi="Garamond"/>
          <w:sz w:val="22"/>
          <w:szCs w:val="22"/>
        </w:rPr>
        <w:t xml:space="preserve"> </w:t>
      </w:r>
    </w:p>
    <w:p w14:paraId="513041A9" w14:textId="77777777" w:rsidR="003610A6" w:rsidRDefault="003610A6" w:rsidP="003610A6">
      <w:pPr>
        <w:spacing w:line="480" w:lineRule="auto"/>
        <w:ind w:firstLine="720"/>
        <w:rPr>
          <w:rFonts w:ascii="Garamond" w:hAnsi="Garamond"/>
          <w:sz w:val="22"/>
          <w:szCs w:val="22"/>
        </w:rPr>
      </w:pPr>
    </w:p>
    <w:p w14:paraId="4353C703" w14:textId="77777777" w:rsidR="003610A6" w:rsidRDefault="003610A6" w:rsidP="003610A6">
      <w:pPr>
        <w:spacing w:line="480" w:lineRule="auto"/>
        <w:ind w:firstLine="720"/>
        <w:rPr>
          <w:rFonts w:ascii="Garamond" w:hAnsi="Garamond"/>
          <w:sz w:val="22"/>
          <w:szCs w:val="22"/>
        </w:rPr>
      </w:pPr>
    </w:p>
    <w:p w14:paraId="00069709" w14:textId="77777777" w:rsidR="003610A6" w:rsidRDefault="003610A6" w:rsidP="003610A6">
      <w:pPr>
        <w:spacing w:line="480" w:lineRule="auto"/>
        <w:ind w:firstLine="720"/>
        <w:rPr>
          <w:rFonts w:ascii="Garamond" w:hAnsi="Garamond"/>
          <w:sz w:val="22"/>
          <w:szCs w:val="22"/>
        </w:rPr>
      </w:pPr>
    </w:p>
    <w:p w14:paraId="17DCD8B0" w14:textId="77777777" w:rsidR="003610A6" w:rsidRDefault="003610A6" w:rsidP="003610A6">
      <w:pPr>
        <w:spacing w:line="480" w:lineRule="auto"/>
        <w:ind w:firstLine="720"/>
        <w:rPr>
          <w:rFonts w:ascii="Garamond" w:hAnsi="Garamond"/>
          <w:sz w:val="22"/>
          <w:szCs w:val="22"/>
        </w:rPr>
      </w:pPr>
    </w:p>
    <w:p w14:paraId="0E71960F" w14:textId="77777777" w:rsidR="003610A6" w:rsidRDefault="003610A6" w:rsidP="003610A6">
      <w:pPr>
        <w:spacing w:line="480" w:lineRule="auto"/>
        <w:ind w:firstLine="720"/>
        <w:rPr>
          <w:rFonts w:ascii="Garamond" w:hAnsi="Garamond"/>
          <w:sz w:val="22"/>
          <w:szCs w:val="22"/>
        </w:rPr>
      </w:pPr>
    </w:p>
    <w:p w14:paraId="36966E79" w14:textId="77777777" w:rsidR="003610A6" w:rsidRDefault="003610A6" w:rsidP="003610A6">
      <w:pPr>
        <w:spacing w:line="480" w:lineRule="auto"/>
        <w:ind w:firstLine="720"/>
        <w:rPr>
          <w:rFonts w:ascii="Garamond" w:hAnsi="Garamond"/>
          <w:sz w:val="22"/>
          <w:szCs w:val="22"/>
        </w:rPr>
      </w:pPr>
    </w:p>
    <w:p w14:paraId="4418E201" w14:textId="77777777" w:rsidR="003610A6" w:rsidRDefault="003610A6" w:rsidP="003610A6">
      <w:pPr>
        <w:spacing w:line="480" w:lineRule="auto"/>
        <w:ind w:firstLine="720"/>
        <w:rPr>
          <w:rFonts w:ascii="Garamond" w:hAnsi="Garamond"/>
          <w:sz w:val="22"/>
          <w:szCs w:val="22"/>
        </w:rPr>
      </w:pPr>
    </w:p>
    <w:p w14:paraId="09A32406" w14:textId="3B690D35" w:rsidR="003610A6" w:rsidRPr="006D1917" w:rsidRDefault="003610A6" w:rsidP="003610A6">
      <w:pPr>
        <w:spacing w:line="480" w:lineRule="auto"/>
        <w:ind w:firstLine="720"/>
        <w:rPr>
          <w:rFonts w:ascii="Garamond" w:hAnsi="Garamond"/>
          <w:sz w:val="22"/>
          <w:szCs w:val="22"/>
        </w:rPr>
      </w:pPr>
      <w:r w:rsidRPr="006D1917">
        <w:rPr>
          <w:rFonts w:ascii="Garamond" w:hAnsi="Garamond"/>
          <w:sz w:val="22"/>
          <w:szCs w:val="22"/>
        </w:rPr>
        <w:t>Chinook salmon populations are experiencing unprecedented declines across much of their range</w:t>
      </w:r>
      <w:r>
        <w:rPr>
          <w:rFonts w:ascii="Garamond" w:hAnsi="Garamond"/>
          <w:sz w:val="22"/>
          <w:szCs w:val="22"/>
        </w:rPr>
        <w:t xml:space="preserve"> </w:t>
      </w:r>
      <w:r>
        <w:rPr>
          <w:rFonts w:ascii="Garamond" w:hAnsi="Garamond"/>
          <w:sz w:val="22"/>
          <w:szCs w:val="22"/>
        </w:rPr>
        <w:fldChar w:fldCharType="begin"/>
      </w:r>
      <w:r>
        <w:rPr>
          <w:rFonts w:ascii="Garamond" w:hAnsi="Garamond"/>
          <w:sz w:val="22"/>
          <w:szCs w:val="22"/>
        </w:rPr>
        <w:instrText xml:space="preserve"> ADDIN ZOTERO_ITEM CSL_CITATION {"citationID":"lr8eoJO9","properties":{"formattedCitation":"(Atlas et al., 2023; Ohlberger et al., 2018)","plainCitation":"(Atlas et al., 2023; Ohlberger et al., 2018)","noteIndex":0},"citationItems":[{"id":5384,"uris":["http://zotero.org/users/8421274/items/YYBUBGXV"],"itemData":{"id":5384,"type":"article-journal","abstract":"Chinook salmon (Oncorhynchus tshawytscha, Salmonidae) are foundational to social-ecological systems of the Northeast Pacific Rim and exhibit a rich diversity of life histories including in their adult migration timing, age at critical life-history transitions and marine feeding distributions. In recent decades Chinook have experienced declines across much of their native range; however, changes in productivity and abundance have rarely been evaluated in relation to life-history variation. To understand trends in Chinook salmon production, and how they are related to life history, we compiled time series data from the Fraser River to the Sacramento River on total run size (pre-fishery abundance) and escapement (post-fishery spawner abundance) and fit time series models to estimate trends across this bioregion. Our analysis revealed that most Chinook populations are declining, with negative trends in escapement (57 of 79) and total run (16 of 23) size. Trends were most acutely negative for interior spring Chinook in the Fraser, Columbia and Snake Rivers and most populations in California. Summer and fall Chinook had mixed trends, with several summer and fall upriver bright populations in the interior Columbia and Fraser exhibiting increases in abundance from the 1990s to 2019. Our research reveals widespread declines of this important species, but local complexity in trends that are mediated by population-level life history, migratory behaviours and watershed-scale restoration actions. Understanding linkages between life histories and resilience should inform rebuilding efforts for Chinook salmon and highlight the need to conserve intraspecific biodiversity.","container-title":"Fish and Fisheries","DOI":"10.1111/faf.12750","ISSN":"1467-2979","issue":"4","language":"en","license":"© 2023 The Authors. Fish and Fisheries published by John Wiley &amp; Sons Ltd.","note":"_eprint: https://onlinelibrary.wiley.com/doi/pdf/10.1111/faf.12750","page":"595-617","source":"Wiley Online Library","title":"Trends in Chinook salmon spawner abundance and total run size highlight linkages between life history, geography and decline","volume":"24","author":[{"family":"Atlas","given":"William I."},{"family":"Sloat","given":"Matthew R."},{"family":"Satterthwaite","given":"William H."},{"family":"Buehrens","given":"Thomas W."},{"family":"Parken","given":"Charles K."},{"family":"Moore","given":"Jonathan W."},{"family":"Mantua","given":"Nathan J."},{"family":"Hart","given":"Jon"},{"family":"Potapova","given":"Anna"}],"issued":{"date-parts":[["2023"]]}}},{"id":4421,"uris":["http://zotero.org/users/8421274/items/PUA9GF7A"],"itemData":{"id":4421,"type":"article-journal","abstract":"The demographic structure of populations is affected by life history strategies and how these interact with natural and anthropogenic factors such as exploitation, climate change, and biotic interactions. Previous work suggests that the mean size and age of some North American populations of Chinook salmon (Oncorhynchus tshawytscha, Salmonidae) are declining. These trends are of concern because Chinook salmon are highly valued commercially for their exceptional size and because the loss of the largest and oldest individuals may lead to reduced population productivity. Using long-term data from wild and hatchery populations, we quantified changes in the demographic structure of Chinook salmon populations over the past four decades across the Northeast Pacific Ocean, from California through western Alaska. Our results show that wild and hatchery fish are becoming smaller and younger throughout most of the Pacific coast. Proportions of older age classes have decreased over time in most regions. Simultaneously, the length-at-age of older fish has declined while the length-at-age of younger fish has typically increased. However, negative size trends of older ages were weak or non-existent at the southern end of the range. While it remains to be explored whether these trends are caused by changes in climate, fishing practices or species interactions such as predation, our qualitative review of the potential causes of demographic change suggests that selective removal of large fish has likely contributed to the apparent widespread declines in average body sizes.","container-title":"Fish and Fisheries","DOI":"10.1111/faf.12272","ISSN":"1467-2979","issue":"3","language":"en","license":"© 2018 The Authors. Fish and Fisheries published by John Wiley &amp; Sons Ltd.","note":"_eprint: https://onlinelibrary.wiley.com/doi/pdf/10.1111/faf.12272","page":"533-546","source":"Wiley Online Library","title":"Demographic changes in Chinook salmon across the Northeast Pacific Ocean","volume":"19","author":[{"family":"Ohlberger","given":"Jan"},{"family":"Ward","given":"Eric J"},{"family":"Schindler","given":"Daniel E"},{"family":"Lewis","given":"Bert"}],"issued":{"date-parts":[["2018"]]}}}],"schema":"https://github.com/citation-style-language/schema/raw/master/csl-citation.json"} </w:instrText>
      </w:r>
      <w:r>
        <w:rPr>
          <w:rFonts w:ascii="Garamond" w:hAnsi="Garamond"/>
          <w:sz w:val="22"/>
          <w:szCs w:val="22"/>
        </w:rPr>
        <w:fldChar w:fldCharType="separate"/>
      </w:r>
      <w:r>
        <w:rPr>
          <w:rFonts w:ascii="Garamond" w:hAnsi="Garamond"/>
          <w:noProof/>
          <w:sz w:val="22"/>
          <w:szCs w:val="22"/>
        </w:rPr>
        <w:t>(Atlas et al., 2023; Ohlberger et al., 2018)</w:t>
      </w:r>
      <w:r>
        <w:rPr>
          <w:rFonts w:ascii="Garamond" w:hAnsi="Garamond"/>
          <w:sz w:val="22"/>
          <w:szCs w:val="22"/>
        </w:rPr>
        <w:fldChar w:fldCharType="end"/>
      </w:r>
      <w:r w:rsidRPr="006D1917">
        <w:rPr>
          <w:rFonts w:ascii="Garamond" w:hAnsi="Garamond"/>
          <w:sz w:val="22"/>
          <w:szCs w:val="22"/>
        </w:rPr>
        <w:t xml:space="preserve">. This trend is especially severe in </w:t>
      </w:r>
      <w:r>
        <w:rPr>
          <w:rFonts w:ascii="Garamond" w:hAnsi="Garamond"/>
          <w:sz w:val="22"/>
          <w:szCs w:val="22"/>
        </w:rPr>
        <w:t>w</w:t>
      </w:r>
      <w:r w:rsidRPr="006D1917">
        <w:rPr>
          <w:rFonts w:ascii="Garamond" w:hAnsi="Garamond"/>
          <w:sz w:val="22"/>
          <w:szCs w:val="22"/>
        </w:rPr>
        <w:t xml:space="preserve">estern Alaska watersheds, which contain some of the world's last pristine Chinook </w:t>
      </w:r>
      <w:r>
        <w:rPr>
          <w:rFonts w:ascii="Garamond" w:hAnsi="Garamond"/>
          <w:sz w:val="22"/>
          <w:szCs w:val="22"/>
        </w:rPr>
        <w:t xml:space="preserve">salmon </w:t>
      </w:r>
      <w:r w:rsidRPr="006D1917">
        <w:rPr>
          <w:rFonts w:ascii="Garamond" w:hAnsi="Garamond"/>
          <w:sz w:val="22"/>
          <w:szCs w:val="22"/>
        </w:rPr>
        <w:t xml:space="preserve">habitat but have seen steep declines in returning Chinook and </w:t>
      </w:r>
      <w:r>
        <w:rPr>
          <w:rFonts w:ascii="Garamond" w:hAnsi="Garamond"/>
          <w:sz w:val="22"/>
          <w:szCs w:val="22"/>
        </w:rPr>
        <w:t>c</w:t>
      </w:r>
      <w:r w:rsidRPr="006D1917">
        <w:rPr>
          <w:rFonts w:ascii="Garamond" w:hAnsi="Garamond"/>
          <w:sz w:val="22"/>
          <w:szCs w:val="22"/>
        </w:rPr>
        <w:t>hum salmon in recent years</w:t>
      </w:r>
      <w:r>
        <w:rPr>
          <w:rFonts w:ascii="Garamond" w:hAnsi="Garamond"/>
          <w:sz w:val="22"/>
          <w:szCs w:val="22"/>
        </w:rPr>
        <w:t xml:space="preserve"> </w:t>
      </w:r>
      <w:r>
        <w:rPr>
          <w:rFonts w:ascii="Garamond" w:hAnsi="Garamond"/>
          <w:sz w:val="22"/>
          <w:szCs w:val="22"/>
        </w:rPr>
        <w:fldChar w:fldCharType="begin"/>
      </w:r>
      <w:r>
        <w:rPr>
          <w:rFonts w:ascii="Garamond" w:hAnsi="Garamond"/>
          <w:sz w:val="22"/>
          <w:szCs w:val="22"/>
        </w:rPr>
        <w:instrText xml:space="preserve"> ADDIN ZOTERO_ITEM CSL_CITATION {"citationID":"MP9B29WU","properties":{"formattedCitation":"(Lamborn et al., 2025; Murdoch et al., 2024)","plainCitation":"(Lamborn et al., 2025; Murdoch et al., 2024)","noteIndex":0},"citationItems":[{"id":5379,"uris":["http://zotero.org/users/8421274/items/6TRPLVW4"],"itemData":{"id":5379,"type":"article-journal","abstract":"Across Alaska, there have been synchronous declines in the abundance, mean age, and size of Chinook salmon (Oncorhynchus tshawytscha, Salmonidae), a species with immense social and ecological importance. The decline of Chinook salmon, and regulations addressing declines, have drastically impacted people who rely on Alaska's fisheries. Despite their importance, the drivers causing Chinook salmon declines are still not well understood. Therefore, to improve our understanding of the likely drivers of these large-scale synchronous declines, we synthesised the peer-reviewed Chinook salmon literature published between 2010 and 2024 using a weight-of-evidence approach. We identified 94 variables used to explain the trends in abundance and demographics of Chinook salmon. Each variable's association with trends in Chinook salmon was individually assessed and integrated using a standardised method. Results of this synthesis suggest the drivers for large-scale synchronous declines have occurred in the North Pacific Ocean. Specifically, we found marine predation, size selective harvest, and pink salmon (Oncorhynchus gorbuscha) abundance are the factors most strongly associated with reduced size and age. Results also suggest ocean productivity–specifically winter sea surface temperature and the North Pacific Gyre Oscillation–are the most frequently identified predictors of regional Chinook salmon abundance. In addition to addressing freshwater factors like adult heat stress and juvenile predation, we suggest research, policy, and management focus on how to better understand and address the interactions between ocean productivity, marine predation, size selective harvest, and pink salmon abundance to improve the condition of Chinook salmon, and the people and ecosystems benefiting from them.","container-title":"Fish and Fisheries","DOI":"10.1111/faf.12895","ISSN":"1467-2979","issue":"n/a","language":"en","license":"© 2025 The Author(s). Fish and Fisheries published by John Wiley &amp; Sons Ltd.","note":"_eprint: https://onlinelibrary.wiley.com/doi/pdf/10.1111/faf.12895","source":"Wiley Online Library","title":"A Synthesis of Factors Related to Trends in Abundance and Demography of Alaska Chinook Salmon (Oncorhynchus tshawytscha, Salmonidae): Implications for Research, Management, and Policy","title-short":"A Synthesis of Factors Related to Trends in Abundance and Demography of Alaska Chinook Salmon (Oncorhynchus tshawytscha, Salmonidae)","URL":"https://onlinelibrary.wiley.com/doi/abs/10.1111/faf.12895","volume":"n/a","author":[{"family":"Lamborn","given":"Chase C."},{"family":"Ohlberger","given":"Jan"},{"family":"Walsworth","given":"Timothy E."},{"family":"Westley","given":"Peter A. H."},{"family":"Cunningham","given":"Curry J."},{"family":"Wynsma","given":"Sam"},{"family":"Smith","given":"Jordan W."}],"accessed":{"date-parts":[["2025",6,4]]},"issued":{"date-parts":[["2025"]]}}},{"id":5327,"uris":["http://zotero.org/users/8421274/items/QJJ96GUP"],"itemData":{"id":5327,"type":"article-journal","abstract":"Recent declines of Yukon River Chinook salmon (Oncorhynchus tshawytscha) populations have severely impacted people residing in the Yukon and Alaska. Evidence-based conservation strategies focused on stock recovery and adaptation are urgently needed but are limited by our understanding of what is driving declines, particularly in Canadian portions of the Yukon River basin. We examined how multiple environmental drivers may be influencing Canadian-origin Yukon River Chinook salmon productivity for eight populations over a 28-year period. We found that productivity was related to various environmental and ecosystem processes acting cumulatively over multiple life stages and across broad geographic scales. Productivity decreased in association with warmer upriver migration temperatures, wetter freshwater juvenile rearing habitats, and increasing abundances of potential marine competitors. In contrast, productivity increased in years with warmer and snowier winters and earlier spring onset. We found that different populations had similar relationships with environmental drivers, with potentially negative implications for regional fisheries stability. Our findings provide insight into how Chinook salmon are responding to rapid environmental change and can help inform salmon conservation initiatives and sustainable harvest strategies.","container-title":"CANADIAN JOURNAL OF FISHERIES AND AQUATIC SCIENCES","DOI":"10.1139/cjfas-2022-0254","ISSN":"0706-652X, 1205-7533","issue":"1","journalAbbreviation":"Can. J. Fish. Aquat. Sci.","language":"English","note":"number-of-pages: 18\npublisher-place: Ottawa\npublisher: Canadian Science Publishing\nWeb of Science ID: WOS:001129796500001","page":"97-114","source":"Clarivate Analytics Web of Science","title":"Multiple environmental drivers across life stages influence Yukon River Chinook salmon productivity","volume":"81","author":[{"family":"Murdoch","given":"A."},{"family":"Connors","given":"B. M."},{"family":"Lapointe","given":"N. W. R."},{"family":"Flemming","given":"J. Mills"},{"family":"Cooke","given":"S. J."},{"family":"Mantyka-Pringle","given":"C."}],"issued":{"date-parts":[["2024",1]]}}}],"schema":"https://github.com/citation-style-language/schema/raw/master/csl-citation.json"} </w:instrText>
      </w:r>
      <w:r>
        <w:rPr>
          <w:rFonts w:ascii="Garamond" w:hAnsi="Garamond"/>
          <w:sz w:val="22"/>
          <w:szCs w:val="22"/>
        </w:rPr>
        <w:fldChar w:fldCharType="separate"/>
      </w:r>
      <w:r>
        <w:rPr>
          <w:rFonts w:ascii="Garamond" w:hAnsi="Garamond"/>
          <w:noProof/>
          <w:sz w:val="22"/>
          <w:szCs w:val="22"/>
        </w:rPr>
        <w:t>(Lamborn et al., 2025; Murdoch et al., 2024)</w:t>
      </w:r>
      <w:r>
        <w:rPr>
          <w:rFonts w:ascii="Garamond" w:hAnsi="Garamond"/>
          <w:sz w:val="22"/>
          <w:szCs w:val="22"/>
        </w:rPr>
        <w:fldChar w:fldCharType="end"/>
      </w:r>
      <w:r w:rsidRPr="006D1917">
        <w:rPr>
          <w:rFonts w:ascii="Garamond" w:hAnsi="Garamond"/>
          <w:sz w:val="22"/>
          <w:szCs w:val="22"/>
        </w:rPr>
        <w:t xml:space="preserve">. Salmon from this region </w:t>
      </w:r>
      <w:r>
        <w:rPr>
          <w:rFonts w:ascii="Garamond" w:hAnsi="Garamond"/>
          <w:sz w:val="22"/>
          <w:szCs w:val="22"/>
        </w:rPr>
        <w:t>have supported</w:t>
      </w:r>
      <w:r w:rsidRPr="006D1917">
        <w:rPr>
          <w:rFonts w:ascii="Garamond" w:hAnsi="Garamond"/>
          <w:sz w:val="22"/>
          <w:szCs w:val="22"/>
        </w:rPr>
        <w:t xml:space="preserve"> lucrative commercial fisheries and have historically </w:t>
      </w:r>
      <w:r>
        <w:rPr>
          <w:rFonts w:ascii="Garamond" w:hAnsi="Garamond"/>
          <w:sz w:val="22"/>
          <w:szCs w:val="22"/>
        </w:rPr>
        <w:t>provided the cultural and nutritional</w:t>
      </w:r>
      <w:r w:rsidRPr="006D1917">
        <w:rPr>
          <w:rFonts w:ascii="Garamond" w:hAnsi="Garamond"/>
          <w:sz w:val="22"/>
          <w:szCs w:val="22"/>
        </w:rPr>
        <w:t xml:space="preserve"> </w:t>
      </w:r>
      <w:r>
        <w:rPr>
          <w:rFonts w:ascii="Garamond" w:hAnsi="Garamond"/>
          <w:sz w:val="22"/>
          <w:szCs w:val="22"/>
        </w:rPr>
        <w:t>foundation for</w:t>
      </w:r>
      <w:r w:rsidRPr="006D1917">
        <w:rPr>
          <w:rFonts w:ascii="Garamond" w:hAnsi="Garamond"/>
          <w:sz w:val="22"/>
          <w:szCs w:val="22"/>
        </w:rPr>
        <w:t xml:space="preserve"> dozens of </w:t>
      </w:r>
      <w:r>
        <w:rPr>
          <w:rFonts w:ascii="Garamond" w:hAnsi="Garamond"/>
          <w:sz w:val="22"/>
          <w:szCs w:val="22"/>
        </w:rPr>
        <w:t xml:space="preserve">subsistence </w:t>
      </w:r>
      <w:r w:rsidRPr="006D1917">
        <w:rPr>
          <w:rFonts w:ascii="Garamond" w:hAnsi="Garamond"/>
          <w:sz w:val="22"/>
          <w:szCs w:val="22"/>
        </w:rPr>
        <w:t xml:space="preserve">communities in the region. As runs have collapsed, however, </w:t>
      </w:r>
      <w:r>
        <w:rPr>
          <w:rFonts w:ascii="Garamond" w:hAnsi="Garamond"/>
          <w:sz w:val="22"/>
          <w:szCs w:val="22"/>
        </w:rPr>
        <w:t>harvest has been completed restricted for</w:t>
      </w:r>
      <w:r w:rsidRPr="006D1917">
        <w:rPr>
          <w:rFonts w:ascii="Garamond" w:hAnsi="Garamond"/>
          <w:sz w:val="22"/>
          <w:szCs w:val="22"/>
        </w:rPr>
        <w:t xml:space="preserve"> upstream communities </w:t>
      </w:r>
      <w:r>
        <w:rPr>
          <w:rFonts w:ascii="Garamond" w:hAnsi="Garamond"/>
          <w:sz w:val="22"/>
          <w:szCs w:val="22"/>
        </w:rPr>
        <w:t xml:space="preserve">who </w:t>
      </w:r>
      <w:r w:rsidRPr="006D1917">
        <w:rPr>
          <w:rFonts w:ascii="Garamond" w:hAnsi="Garamond"/>
          <w:sz w:val="22"/>
          <w:szCs w:val="22"/>
        </w:rPr>
        <w:t>have voluntarily reduced or ceased subsistence fishing altogether, triggering a region-wide crisis of food insecurity, cultural loss, and the potential disappearance of a critical economic resource</w:t>
      </w:r>
      <w:r>
        <w:rPr>
          <w:rFonts w:ascii="Garamond" w:hAnsi="Garamond"/>
          <w:sz w:val="22"/>
          <w:szCs w:val="22"/>
        </w:rPr>
        <w:t xml:space="preserve"> </w:t>
      </w:r>
      <w:r>
        <w:rPr>
          <w:rFonts w:ascii="Garamond" w:hAnsi="Garamond"/>
          <w:sz w:val="22"/>
          <w:szCs w:val="22"/>
        </w:rPr>
        <w:fldChar w:fldCharType="begin"/>
      </w:r>
      <w:r w:rsidR="00C50332">
        <w:rPr>
          <w:rFonts w:ascii="Garamond" w:hAnsi="Garamond"/>
          <w:sz w:val="22"/>
          <w:szCs w:val="22"/>
        </w:rPr>
        <w:instrText xml:space="preserve"> ADDIN ZOTERO_ITEM CSL_CITATION {"citationID":"TM3ypjGJ","properties":{"formattedCitation":"(Brown &amp; Godduhn, 2015)","plainCitation":"(Brown &amp; Godduhn, 2015)","noteIndex":0},"citationItems":[{"id":4428,"uris":["http://zotero.org/users/8421274/items/2WA8NCRM"],"itemData":{"id":4428,"type":"article-journal","language":"en","source":"Zotero","title":"Socioeconomic effects of declining salmon runs on the Yukon River","author":[{"family":"Brown","given":"Caroline L"},{"family":"Godduhn","given":"Anna"}],"issued":{"date-parts":[["2015"]]}}}],"schema":"https://github.com/citation-style-language/schema/raw/master/csl-citation.json"} </w:instrText>
      </w:r>
      <w:r>
        <w:rPr>
          <w:rFonts w:ascii="Garamond" w:hAnsi="Garamond"/>
          <w:sz w:val="22"/>
          <w:szCs w:val="22"/>
        </w:rPr>
        <w:fldChar w:fldCharType="separate"/>
      </w:r>
      <w:r>
        <w:rPr>
          <w:rFonts w:ascii="Garamond" w:hAnsi="Garamond"/>
          <w:noProof/>
          <w:sz w:val="22"/>
          <w:szCs w:val="22"/>
        </w:rPr>
        <w:t>(Brown &amp; Godduhn, 2015)</w:t>
      </w:r>
      <w:r>
        <w:rPr>
          <w:rFonts w:ascii="Garamond" w:hAnsi="Garamond"/>
          <w:sz w:val="22"/>
          <w:szCs w:val="22"/>
        </w:rPr>
        <w:fldChar w:fldCharType="end"/>
      </w:r>
      <w:r w:rsidRPr="006D1917">
        <w:rPr>
          <w:rFonts w:ascii="Garamond" w:hAnsi="Garamond"/>
          <w:sz w:val="22"/>
          <w:szCs w:val="22"/>
        </w:rPr>
        <w:t xml:space="preserve">. As a result, resource managers face the difficult task of designing management strategies which balancing ongoing harvest opportunities with the urgent need to rebuild salmon populations and strengthen their resilience to future perturbations. </w:t>
      </w:r>
    </w:p>
    <w:p w14:paraId="52A99D9F" w14:textId="77777777" w:rsidR="003610A6" w:rsidRDefault="003610A6" w:rsidP="003610A6">
      <w:pPr>
        <w:pStyle w:val="NormalWeb"/>
        <w:spacing w:line="480" w:lineRule="auto"/>
        <w:ind w:firstLine="720"/>
        <w:rPr>
          <w:rFonts w:ascii="Garamond" w:hAnsi="Garamond"/>
          <w:sz w:val="22"/>
          <w:szCs w:val="22"/>
        </w:rPr>
      </w:pPr>
      <w:r w:rsidRPr="006D1917">
        <w:rPr>
          <w:rFonts w:ascii="Garamond" w:hAnsi="Garamond"/>
          <w:sz w:val="22"/>
          <w:szCs w:val="22"/>
        </w:rPr>
        <w:t>There is growing recognition of the critical role that intrapopulation variability plays in fostering resilience at the ecosystem scale in both terrestrial and aquatic ecosystems</w:t>
      </w:r>
      <w:r>
        <w:rPr>
          <w:rFonts w:ascii="Garamond" w:hAnsi="Garamond"/>
          <w:sz w:val="22"/>
          <w:szCs w:val="22"/>
        </w:rPr>
        <w:t xml:space="preserve"> </w:t>
      </w:r>
      <w:r>
        <w:rPr>
          <w:rFonts w:ascii="Garamond" w:hAnsi="Garamond"/>
          <w:sz w:val="22"/>
          <w:szCs w:val="22"/>
        </w:rPr>
        <w:fldChar w:fldCharType="begin"/>
      </w:r>
      <w:r>
        <w:rPr>
          <w:rFonts w:ascii="Garamond" w:hAnsi="Garamond"/>
          <w:sz w:val="22"/>
          <w:szCs w:val="22"/>
        </w:rPr>
        <w:instrText xml:space="preserve"> ADDIN ZOTERO_ITEM CSL_CITATION {"citationID":"ZMEsTNxs","properties":{"formattedCitation":"(Luck et al., 2003; Schindler et al., 2015)","plainCitation":"(Luck et al., 2003; Schindler et al., 2015)","noteIndex":0},"citationItems":[{"id":5557,"uris":["http://zotero.org/users/8421274/items/VSKUKCRX"],"itemData":{"id":5557,"type":"article-journal","abstract":"The current rate of biodiversity loss threatens to disrupt greatly the functioning of ecosystems, with potentially significant consequences for humanity. The magnitude of the loss is generally measured with the use of species extinction rates, an approach that understates the severity of the problem and masks some of its most important consequences. Here, we propose a major expansion of this focus to include population diversity: considering changes in the size, number, distribution and genetic composition of populations and the implications of those changes for the functioning of ecosystems and the provision of ecosystem services. We also outline the key components of population diversity and describe a new approach to delineating a population unit that explicitly links it to the services that it provides","container-title":"Trends in Ecology &amp; Evolution","DOI":"10.1016/S0169-5347(03)00100-9","journalAbbreviation":"Trends in Ecology &amp; Evolution","page":"331-336","source":"ResearchGate","title":"Population diversity and ecosystem services","volume":"18","author":[{"family":"Luck","given":"Gary"},{"family":"Daily","given":"Gretchen"},{"family":"Ehrlich","given":"Paul"}],"issued":{"date-parts":[["2003",7,1]]}}},{"id":68,"uris":["http://zotero.org/users/8421274/items/DIRY8NHC"],"itemData":{"id":68,"type":"article-journal","container-title":"Frontiers in Ecology and the Environment","issue":"5","note":"publisher: Wiley Online Library","page":"257–263","source":"Google Scholar","title":"The portfolio concept in ecology and evolution","volume":"13","author":[{"family":"Schindler","given":"Daniel E."},{"family":"Armstrong","given":"Jonathan B."},{"family":"Reed","given":"Thomas E."}],"issued":{"date-parts":[["2015"]]}}}],"schema":"https://github.com/citation-style-language/schema/raw/master/csl-citation.json"} </w:instrText>
      </w:r>
      <w:r>
        <w:rPr>
          <w:rFonts w:ascii="Garamond" w:hAnsi="Garamond"/>
          <w:sz w:val="22"/>
          <w:szCs w:val="22"/>
        </w:rPr>
        <w:fldChar w:fldCharType="separate"/>
      </w:r>
      <w:r>
        <w:rPr>
          <w:rFonts w:ascii="Garamond" w:hAnsi="Garamond"/>
          <w:noProof/>
          <w:sz w:val="22"/>
          <w:szCs w:val="22"/>
        </w:rPr>
        <w:t>(Luck et al., 2003; Schindler et al., 2015)</w:t>
      </w:r>
      <w:r>
        <w:rPr>
          <w:rFonts w:ascii="Garamond" w:hAnsi="Garamond"/>
          <w:sz w:val="22"/>
          <w:szCs w:val="22"/>
        </w:rPr>
        <w:fldChar w:fldCharType="end"/>
      </w:r>
      <w:r w:rsidRPr="006D1917">
        <w:rPr>
          <w:rFonts w:ascii="Garamond" w:hAnsi="Garamond"/>
          <w:sz w:val="22"/>
          <w:szCs w:val="22"/>
        </w:rPr>
        <w:t>. In salmon populations, substantial variation in both return timing and spatial distribution of habitat use produces significant complexity in life history strategies within and among populations</w:t>
      </w:r>
      <w:r>
        <w:rPr>
          <w:rFonts w:ascii="Garamond" w:hAnsi="Garamond"/>
          <w:sz w:val="22"/>
          <w:szCs w:val="22"/>
        </w:rPr>
        <w:t xml:space="preserve"> (Hilborn et al. 2003)</w:t>
      </w:r>
      <w:r w:rsidRPr="006D1917">
        <w:rPr>
          <w:rFonts w:ascii="Garamond" w:hAnsi="Garamond"/>
          <w:sz w:val="22"/>
          <w:szCs w:val="22"/>
        </w:rPr>
        <w:t>. Overall population performance in salmon ecosystems is</w:t>
      </w:r>
      <w:r>
        <w:rPr>
          <w:rFonts w:ascii="Garamond" w:hAnsi="Garamond"/>
          <w:sz w:val="22"/>
          <w:szCs w:val="22"/>
        </w:rPr>
        <w:t xml:space="preserve"> therefore</w:t>
      </w:r>
      <w:r w:rsidRPr="006D1917">
        <w:rPr>
          <w:rFonts w:ascii="Garamond" w:hAnsi="Garamond"/>
          <w:sz w:val="22"/>
          <w:szCs w:val="22"/>
        </w:rPr>
        <w:t xml:space="preserve"> shaped by the statistical averaging of multiple distinct, semi-independent sub-units distributed across space and time</w:t>
      </w:r>
      <w:r>
        <w:rPr>
          <w:rFonts w:ascii="Garamond" w:hAnsi="Garamond"/>
          <w:sz w:val="22"/>
          <w:szCs w:val="22"/>
        </w:rPr>
        <w:t xml:space="preserve"> </w:t>
      </w:r>
      <w:r>
        <w:rPr>
          <w:rFonts w:ascii="Garamond" w:hAnsi="Garamond"/>
          <w:sz w:val="22"/>
          <w:szCs w:val="22"/>
        </w:rPr>
        <w:fldChar w:fldCharType="begin"/>
      </w:r>
      <w:r>
        <w:rPr>
          <w:rFonts w:ascii="Garamond" w:hAnsi="Garamond"/>
          <w:sz w:val="22"/>
          <w:szCs w:val="22"/>
        </w:rPr>
        <w:instrText xml:space="preserve"> ADDIN ZOTERO_ITEM CSL_CITATION {"citationID":"4R3sEUmP","properties":{"formattedCitation":"(Connors et al., 2022; Ohlberger et al., 2016)","plainCitation":"(Connors et al., 2022; Ohlberger et al., 2016)","dontUpdate":true,"noteIndex":0},"citationItems":[{"id":4144,"uris":["http://zotero.org/users/8421274/items/M4DUIZ82"],"itemData":{"id":4144,"type":"article-journal","abstract":"Variation among populations in life history and intrinsic population characteristics (i.e., population diversity) helps maintain resilience to environmental change and dampen interannual variability in ecosystem services. As a result, ecological variation, and the processes that generate it, is considered central to strategies for managing risks to ecosystems in an increasingly variable and uncertain world. However, characterizing population diversity is difficult, particularly in large and remote regions, which often prevents its formal consideration in management advice. We combined genetic stock identification of archived scale and tissue samples with state-space run-reconstruction models to estimate migration timing and annual return abundance for eight geographically and genetically distinct Chinook salmon populations within the Canadian portion of the Yukon River. We found that among-population variation in migration timing and return abundances resulted in aggregate return migrations that were 2.1 times longer and 1.4 times more stable than if they had composed a single homogeneous population. We then fit state-space spawner–recruitment models to the annual return abundances to characterize among-population diversity in intrinsic productivity and population size and their consequences for the fisheries they support. Productivity and carrying capacity varied among populations by approximately 2.4-fold (2.9 to 6.9 recruits per spawner) and three-fold (8800 to 27,000 spawners), respectively. This diversity implies an equilibrium trade-off between harvesting of the population aggregate and the conservation of individual populations whereby the harvest rate predicted to maximize aggregate harvests comes at the cost of overfishing 40% of the populations but with a relatively low risk of extirpating the weakest ones. Our findings illustrate how population diversity in one of the largest salmon-producing river basins in the world contributes to fishery stability and food security in a region where salmon have high cultural and subsistence value. More generally, our work demonstrates the utility of molecular analyses of archived biological material for characterizing diversity in biological systems and its benefits and consequences for trade-offs in decision-making.","container-title":"Ecological Applications","DOI":"10.1002/eap.2709","ISSN":"1939-5582","issue":"8","language":"en","license":"© 2022 The Ecological Society of America.","note":"_eprint: https://onlinelibrary.wiley.com/doi/pdf/10.1002/eap.2709","page":"e2709","source":"Wiley Online Library","title":"Chinook salmon diversity contributes to fishery stability and trade-offs with mixed-stock harvest","volume":"32","author":[{"family":"Connors","given":"Brendan M."},{"family":"Siegle","given":"Matthew R."},{"family":"Harding","given":"Joel"},{"family":"Rossi","given":"Steven"},{"family":"Staton","given":"Benjamin A."},{"family":"Jones","given":"Michael L."},{"family":"Bradford","given":"Michael J."},{"family":"Brown","given":"Randy"},{"family":"Bechtol","given":"Bill"},{"family":"Doherty","given":"Beau"},{"family":"Cox","given":"Sean"},{"family":"Sutherland","given":"Ben J. G."}],"issued":{"date-parts":[["2022"]]}}},{"id":5321,"uris":["http://zotero.org/users/8421274/items/PJWLDI6C"],"itemData":{"id":5321,"type":"article-journal","abstract":"A central problem in understanding how species respond to global change is in parsing the effects of local drivers of population dynamics from regional and global drivers that are shared among populations. Management and conservation efforts that typically focus on a particular population would benefit greatly from being able to separate the effects of environmental processes at local, regional, and global scales. One way of addressing this challenge is to integrate data across multiple populations and use multivariate time series approaches to estimate shared and independent components of dynamics among neighboring populations. Here, we use a data set of 15 populations of Chinook salmon (Oncorhynchus tshawytscha) covering a broad geographical range in the eastern North Pacific Ocean to show how Dynamic Factor Analysis (DFA) can be used to estimate temporal coherence in population dynamics and to detect environmental drivers across spatial scales. Our results show that productivity dynamics of Chinook salmon populations strongly covary at the regional scale, but to a lesser degree at larger spatial scales. The timing of river ice break-up in spring was identified as an important driver of regional productivity dynamics. In addition, broad-scale variability in population productivity was linked to the North Pacific Gyre Oscillation, a dominant pattern of sea surface height variability. These broad-scale patterns in productivity dynamics may be associated with recent regime shifts in the Northeast Pacific Ocean. However, our results also demonstrate that populations within regions do not always respond consistently to the same environmental drivers, thus suggesting location-specific impacts. Overall, this study illustrates the use of DFA for quantifying the spatial and temporal complexity of multiple population responses to environmental change, thereby providing insights to processes that affect populations across large geographic areas, but that might be filtered by local habitat conditions.","container-title":"Ecosphere","DOI":"10.1002/ecs2.1333","ISSN":"2150-8925","issue":"4","language":"en","license":"© 2016 Ohlberger et al.","note":"_eprint: https://esajournals.onlinelibrary.wiley.com/doi/pdf/10.1002/ecs2.1333","page":"e01333","source":"Wiley Online Library","title":"Population coherence and environmental impacts across spatial scales: a case study of Chinook salmon","title-short":"Population coherence and environmental impacts across spatial scales","volume":"7","author":[{"family":"Ohlberger","given":"Jan"},{"family":"Scheuerell","given":"Mark D."},{"family":"Schindler","given":"Daniel E."}],"issued":{"date-parts":[["2016"]]}}}],"schema":"https://github.com/citation-style-language/schema/raw/master/csl-citation.json"} </w:instrText>
      </w:r>
      <w:r>
        <w:rPr>
          <w:rFonts w:ascii="Garamond" w:hAnsi="Garamond"/>
          <w:sz w:val="22"/>
          <w:szCs w:val="22"/>
        </w:rPr>
        <w:fldChar w:fldCharType="separate"/>
      </w:r>
      <w:r>
        <w:rPr>
          <w:rFonts w:ascii="Garamond" w:hAnsi="Garamond"/>
          <w:noProof/>
          <w:sz w:val="22"/>
          <w:szCs w:val="22"/>
        </w:rPr>
        <w:t>(Schindler et al. 2010; Connors et al., 2022)</w:t>
      </w:r>
      <w:r>
        <w:rPr>
          <w:rFonts w:ascii="Garamond" w:hAnsi="Garamond"/>
          <w:sz w:val="22"/>
          <w:szCs w:val="22"/>
        </w:rPr>
        <w:fldChar w:fldCharType="end"/>
      </w:r>
      <w:r>
        <w:rPr>
          <w:rFonts w:ascii="Garamond" w:hAnsi="Garamond"/>
          <w:sz w:val="22"/>
          <w:szCs w:val="22"/>
        </w:rPr>
        <w:t xml:space="preserve">. </w:t>
      </w:r>
      <w:r w:rsidRPr="006D1917">
        <w:rPr>
          <w:rFonts w:ascii="Garamond" w:hAnsi="Garamond"/>
          <w:sz w:val="22"/>
          <w:szCs w:val="22"/>
        </w:rPr>
        <w:t xml:space="preserve">Weak or negative covariance among these stocks helps buffer the broader population </w:t>
      </w:r>
      <w:r w:rsidRPr="006D1917">
        <w:rPr>
          <w:rFonts w:ascii="Garamond" w:hAnsi="Garamond"/>
          <w:sz w:val="22"/>
          <w:szCs w:val="22"/>
        </w:rPr>
        <w:lastRenderedPageBreak/>
        <w:t>against the poor performance of any individual subunit, whose success may fluctuate in response to a dynamic mosaic of multi-dimensional environmental conditions</w:t>
      </w:r>
      <w:r>
        <w:rPr>
          <w:rFonts w:ascii="Garamond" w:hAnsi="Garamond"/>
          <w:sz w:val="22"/>
          <w:szCs w:val="22"/>
        </w:rPr>
        <w:t xml:space="preserve"> </w:t>
      </w:r>
      <w:r>
        <w:rPr>
          <w:rFonts w:ascii="Garamond" w:hAnsi="Garamond"/>
          <w:sz w:val="22"/>
          <w:szCs w:val="22"/>
        </w:rPr>
        <w:fldChar w:fldCharType="begin"/>
      </w:r>
      <w:r>
        <w:rPr>
          <w:rFonts w:ascii="Garamond" w:hAnsi="Garamond"/>
          <w:sz w:val="22"/>
          <w:szCs w:val="22"/>
        </w:rPr>
        <w:instrText xml:space="preserve"> ADDIN ZOTERO_ITEM CSL_CITATION {"citationID":"m5A16NUn","properties":{"formattedCitation":"(Brennan, Schindler, et al., 2019; Schindler et al., 2010)","plainCitation":"(Brennan, Schindler, et al., 2019; Schindler et al., 2010)","noteIndex":0},"citationItems":[{"id":3844,"uris":["http://zotero.org/users/8421274/items/RXD5IA9D"],"itemData":{"id":3844,"type":"article-journal","abstract":"Watersheds are complex mosaics of habitats whose conditions vary across space and time as landscape features filter overriding climate forcing, yet the extent to which the reliability of ecosystem services depends on these dynamics remains unknown. We quantified how shifting habitat mosaics are expressed across a range of spatial scales within a large, free-flowing river, and how they stabilize the production of Pacific salmon that support valuable fisheries. The strontium isotope records of ear stones (otoliths) show that the relative productivity of locations across the river network, as both natal- and juvenile-rearing habitat, varies widely among years and that this variability is expressed across a broad range of spatial scales, ultimately stabilizing the interannual production of fish at the scale of the entire basin.","container-title":"Science","DOI":"10.1126/science.aav4313","issue":"6442","note":"publisher: American Association for the Advancement of Science","page":"783-786","source":"science.org (Atypon)","title":"Shifting habitat mosaics and fish production across river basins","volume":"364","author":[{"family":"Brennan","given":"Sean R."},{"family":"Schindler","given":"Daniel E."},{"family":"Cline","given":"Timothy J."},{"family":"Walsworth","given":"Timothy E."},{"family":"Buck","given":"Greg"},{"family":"Fernandez","given":"Diego P."}],"issued":{"date-parts":[["2019"]]}},"label":"page"},{"id":272,"uris":["http://zotero.org/users/8421274/items/24NDGS7V"],"itemData":{"id":272,"type":"article-journal","abstract":"One of the most pervasive themes in ecology is that biological diversity stabilizes ecosystem processes and the services they provide to society, a concept that has become a common argument for biodiversity conservation. Species-rich communities are thought to produce more temporally stable ecosystem services because of the complementary or independent dynamics among species that perform similar ecosystem functions. Such variance dampening within communities is referred to as a portfolio effect and is analogous to the effects of asset diversity on the stability of financial portfolios. In ecology, these arguments have focused on the effects of species diversity on ecosystem stability but have not considered the importance of biologically relevant diversity within individual species. Current rates of population extirpation are probably at least three orders of magnitude higher than species extinction rates, so there is a pressing need to clarify how population and life history diversity affect the performance of individual species in providing important ecosystem services. Here we use five decades of data from Oncorhynchus nerka (sockeye salmon) in Bristol Bay, Alaska, to provide the first quantification of portfolio effects that derive from population and life history diversity in an important and heavily exploited species. Variability in annual Bristol Bay salmon returns is 2.2 times lower than it would be if the system consisted of a single homogenous population rather than the several hundred discrete populations it currently consists of. Furthermore, if it were a single homogeneous population, such increased variability would lead to ten times more frequent fisheries closures. Portfolio effects are also evident in watershed food webs, where they stabilize and extend predator access to salmon resources. Our results demonstrate the critical importance of maintaining population diversity for stabilizing ecosystem services and securing the economies and livelihoods that depend on them. The reliability of ecosystem services will erode faster than indicated by species loss alone. [PUBLICATION ABSTRACT]","container-title":"Nature","DOI":"https://doi-org.prox.lib.ncsu.edu/10.1038/nature09060","ISSN":"00280836","issue":"7298","language":"English","license":"Copyright Nature Publishing Group Jun 3, 2010","note":"number-of-pages: 5\npublisher-place: London, United States\npublisher: Nature Publishing Group\nsection: LETTERS","source":"ProQuest","title":"Population diversity and the portfolio effect in an exploited species","URL":"http://www.proquest.com/docview/375318240/abstract/317AC81E34EB4163PQ/1","volume":"465","author":[{"family":"Schindler","given":"Daniel E."},{"family":"Hilborn","given":"Ray"},{"family":"Chasco","given":"Brandon"},{"family":"Boatright","given":"Christopher P."},{"family":"Quinn","given":"Thomas P."},{"family":"Rogers","given":"Lauren A."},{"family":"Webster","given":"Michael S."}],"accessed":{"date-parts":[["2022",5,12]]},"issued":{"date-parts":[["2010",6,3]]}}}],"schema":"https://github.com/citation-style-language/schema/raw/master/csl-citation.json"} </w:instrText>
      </w:r>
      <w:r>
        <w:rPr>
          <w:rFonts w:ascii="Garamond" w:hAnsi="Garamond"/>
          <w:sz w:val="22"/>
          <w:szCs w:val="22"/>
        </w:rPr>
        <w:fldChar w:fldCharType="separate"/>
      </w:r>
      <w:r>
        <w:rPr>
          <w:rFonts w:ascii="Garamond" w:hAnsi="Garamond"/>
          <w:noProof/>
          <w:sz w:val="22"/>
          <w:szCs w:val="22"/>
        </w:rPr>
        <w:t>(Brennan, Schindler, et al., 2019; Schindler et al., 2010)</w:t>
      </w:r>
      <w:r>
        <w:rPr>
          <w:rFonts w:ascii="Garamond" w:hAnsi="Garamond"/>
          <w:sz w:val="22"/>
          <w:szCs w:val="22"/>
        </w:rPr>
        <w:fldChar w:fldCharType="end"/>
      </w:r>
      <w:r w:rsidRPr="006D1917">
        <w:rPr>
          <w:rFonts w:ascii="Garamond" w:hAnsi="Garamond"/>
          <w:sz w:val="22"/>
          <w:szCs w:val="22"/>
        </w:rPr>
        <w:t>. This “portfolio effect” dampens ecosystem variability by distributing risk across its components, much in the same way that financial diversification of a portfolio spreads investment risk across sectors to reduce overall volatility</w:t>
      </w:r>
      <w:r>
        <w:rPr>
          <w:rFonts w:ascii="Garamond" w:hAnsi="Garamond"/>
          <w:sz w:val="22"/>
          <w:szCs w:val="22"/>
        </w:rPr>
        <w:t xml:space="preserve"> </w:t>
      </w:r>
      <w:r>
        <w:rPr>
          <w:rFonts w:ascii="Garamond" w:hAnsi="Garamond"/>
          <w:sz w:val="22"/>
          <w:szCs w:val="22"/>
        </w:rPr>
        <w:fldChar w:fldCharType="begin"/>
      </w:r>
      <w:r>
        <w:rPr>
          <w:rFonts w:ascii="Garamond" w:hAnsi="Garamond"/>
          <w:sz w:val="22"/>
          <w:szCs w:val="22"/>
        </w:rPr>
        <w:instrText xml:space="preserve"> ADDIN ZOTERO_ITEM CSL_CITATION {"citationID":"ropzGQtb","properties":{"formattedCitation":"(Cline et al., 2017; Griffiths et al., 2014; Markowitz, 1952; Schindler et al., 2015)","plainCitation":"(Cline et al., 2017; Griffiths et al., 2014; Markowitz, 1952; Schindler et al., 2015)","dontUpdate":true,"noteIndex":0},"citationItems":[{"id":1181,"uris":["http://zotero.org/users/8421274/items/B23FV4AJ"],"itemData":{"id":1181,"type":"article-journal","abstract":"Abrupt shifts in natural resources and their markets are a ubiquitous challenge to human communities. Building resilient social-ecological systems requires approaches that are robust to uncertainty and to regime shifts. Harvesting diverse portfolios of natural resources and adapting portfolios in response to change could stabilize economies reliant on natural resources and their markets, both of which are prone to unpredictable shifts. Here we use fisheries catch and revenue data from Alaskan fishing communities over 34 years to test whether diversification and turnover in the composition of fishing opportunities increased economic stability during major ocean and market regime shifts in 1989. More than 85% of communities show reduced fishing revenues following these regime shifts. However, communities with the highest portfolio diversity and those that could opportunistically shift the composition of resources they harvest, experienced negligible or even positive changes in revenue. Maintaining diversity in economic opportunities and enabling turnover facilitates sustainability of communities reliant on renewable resources facing uncertain futures.","container-title":"Nature Communications","DOI":"10.1038/ncomms14042","ISSN":"2041-1723","issue":"1","journalAbbreviation":"Nat Commun","language":"en","license":"2017 The Author(s)","note":"number: 1\npublisher: Nature Publishing Group","page":"14042","source":"www-nature-com.offcampus.lib.washington.edu","title":"Fisheries portfolio diversification and turnover buffer Alaskan fishing communities from abrupt resource and market changes","volume":"8","author":[{"family":"Cline","given":"Timothy J."},{"family":"Schindler","given":"Daniel E."},{"family":"Hilborn","given":"Ray"}],"issued":{"date-parts":[["2017",1,16]]}}},{"id":4217,"uris":["http://zotero.org/users/8421274/items/8XTQF7BZ"],"itemData":{"id":4217,"type":"article-journal","abstract":"&lt;list list-type=\"1\" id=\"jpe12341-list-0001\"&gt; Quantifying the variability in the delivery of ecosystem services across the landscape can be used to set appropriate management targets, evaluate resilience and target conservation efforts. Ecosystem functions and services may exhibit portfolio-type dynamics, whereby diversity within lower levels promotes stability at more aggregated levels. Portfolio theory provides a framework to characterize the relative performance among ecosystems and the processes that drive differences in performance. We assessed Pacific salmon Oncorhynchus spp. portfolio performance across their native latitudinal range focusing on the reliability of salmon returns as a metric with which to assess the function of salmon ecosystems and their services to humans. We used the Sharpe ratio (e.g. the size of the total salmon return to the portfolio relative to its variability (risk)) to evaluate the performance of Chinook and sockeye salmon portfolios across the west coast of North America. We evaluated the effects on portfolio performance from the variance of and covariance among salmon returns within each portfolio, and the association between portfolio performance and watershed attributes. We found a positive latitudinal trend in the risk-adjusted performance of Chinook and sockeye salmon portfolios that also correlated negatively with anthropogenic impact on watersheds (e.g. dams and land-use change). High-latitude Chinook salmon portfolios were on average 25 times more reliable, and their portfolio risk was mainly due to low variance in the individual assets. Sockeye salmon portfolios were also more reliable at higher latitudes, but sources of risk varied among the highest performing portfolios.Synthesis and applications. Portfolio theory provides a straightforward method for characterizing the resilience of salmon ecosystems and their services. Natural variability in portfolio performance among undeveloped watersheds provides a benchmark for restoration efforts. Locally and regionally, assessing the sources of portfolio risk can guide actions to maintain existing resilience (protect habitat and disturbance regimes that maintain response diversity; employ harvest strategies sensitive to different portfolio components) or improve restoration activities. Improving our understanding of portfolio reliability may allow for management of natural resources that is robust to ongoing environmental change. Portfolio theory provides a straightforward method for characterizing the resilience of salmon ecosystems and their services. Natural variability in portfolio performance among undeveloped watersheds provides a benchmark for restoration efforts. Locally and regionally, assessing the sources of portfolio risk can guide actions to maintain existing resilience (protect habitat and disturbance regimes that maintain response diversity; employ harvest strategies sensitive to different portfolio components) or improve restoration activities. Improving our understanding of portfolio reliability may allow for management of natural resources that is robust to ongoing environmental change.","container-title":"JOURNAL OF APPLIED ECOLOGY","DOI":"10.1111/1365-2664.12341","ISSN":"0021-8901, 1365-2664","issue":"6","journalAbbreviation":"J. Appl. Ecol.","language":"English","note":"number-of-pages: 10\npublisher-place: Hoboken\npublisher: Wiley-Blackwell\nWeb of Science ID: WOS:000345706100010","page":"1554-1563","source":"Clarivate Analytics Web of Science","title":"Performance of salmon fishery portfolios across western North America","volume":"51","author":[{"family":"Griffiths","given":"Jennifer R."},{"family":"Schindler","given":"Daniel E."},{"family":"Armstrong","given":"Jonathan B."},{"family":"Scheuerell","given":"Mark D."},{"family":"Whited","given":"Diane C."},{"family":"Clark","given":"Robert A."},{"family":"Hilborn","given":"Ray"},{"family":"Holt","given":"Carrie A."},{"family":"Lindley","given":"Steven T."},{"family":"Stanford","given":"Jack A."},{"family":"Volk","given":"Eric C."}],"issued":{"date-parts":[["2014",12]]}}},{"id":5389,"uris":["http://zotero.org/users/8421274/items/4NQQUH9L"],"itemData":{"id":5389,"type":"article-journal","container-title":"The Journal of Finance","DOI":"10.2307/2975974","ISSN":"0022-1082","issue":"1","note":"publisher: [American Finance Association, Wiley]","page":"77-91","source":"JSTOR","title":"Portfolio Selection","volume":"7","author":[{"family":"Markowitz","given":"Harry"}],"issued":{"date-parts":[["1952"]]}}},{"id":68,"uris":["http://zotero.org/users/8421274/items/DIRY8NHC"],"itemData":{"id":68,"type":"article-journal","container-title":"Frontiers in Ecology and the Environment","issue":"5","note":"publisher: Wiley Online Library","page":"257–263","source":"Google Scholar","title":"The portfolio concept in ecology and evolution","volume":"13","author":[{"family":"Schindler","given":"Daniel E."},{"family":"Armstrong","given":"Jonathan B."},{"family":"Reed","given":"Thomas E."}],"issued":{"date-parts":[["2015"]]}}}],"schema":"https://github.com/citation-style-language/schema/raw/master/csl-citation.json"} </w:instrText>
      </w:r>
      <w:r>
        <w:rPr>
          <w:rFonts w:ascii="Garamond" w:hAnsi="Garamond"/>
          <w:sz w:val="22"/>
          <w:szCs w:val="22"/>
        </w:rPr>
        <w:fldChar w:fldCharType="separate"/>
      </w:r>
      <w:r w:rsidRPr="00F552CD">
        <w:rPr>
          <w:rFonts w:ascii="Garamond" w:hAnsi="Garamond"/>
          <w:noProof/>
          <w:sz w:val="22"/>
          <w:szCs w:val="22"/>
        </w:rPr>
        <w:t>(Griffiths et al., 2014; Markowitz, 1952; Schindler et al., 2015)</w:t>
      </w:r>
      <w:r>
        <w:rPr>
          <w:rFonts w:ascii="Garamond" w:hAnsi="Garamond"/>
          <w:sz w:val="22"/>
          <w:szCs w:val="22"/>
        </w:rPr>
        <w:fldChar w:fldCharType="end"/>
      </w:r>
      <w:r w:rsidRPr="00F552CD">
        <w:rPr>
          <w:rFonts w:ascii="Garamond" w:hAnsi="Garamond"/>
          <w:sz w:val="22"/>
          <w:szCs w:val="22"/>
        </w:rPr>
        <w:t xml:space="preserve">. </w:t>
      </w:r>
    </w:p>
    <w:p w14:paraId="5010B361" w14:textId="77777777" w:rsidR="003610A6" w:rsidRDefault="003610A6" w:rsidP="003610A6">
      <w:pPr>
        <w:pStyle w:val="NormalWeb"/>
        <w:spacing w:line="480" w:lineRule="auto"/>
        <w:ind w:firstLine="720"/>
        <w:rPr>
          <w:rFonts w:ascii="Garamond" w:hAnsi="Garamond"/>
          <w:sz w:val="22"/>
          <w:szCs w:val="22"/>
        </w:rPr>
      </w:pPr>
      <w:r>
        <w:rPr>
          <w:rFonts w:ascii="Garamond" w:hAnsi="Garamond"/>
          <w:sz w:val="22"/>
          <w:szCs w:val="22"/>
        </w:rPr>
        <w:t xml:space="preserve">The reliability of salmon resources to communities is a product of the health of stock components throughout the watershed. For Pacific salmon fisheries, which harvest stocks as the migrate upstream, the duration and reliability of this resource is the result of the aggregate dynamics of upstream stocks. For example, healthy stock components with unique spatiotemporal patterns may allow for more diverse set of harvest opportunities over a longer time period  </w:t>
      </w:r>
      <w:r>
        <w:rPr>
          <w:rFonts w:ascii="Garamond" w:hAnsi="Garamond"/>
          <w:sz w:val="22"/>
          <w:szCs w:val="22"/>
        </w:rPr>
        <w:fldChar w:fldCharType="begin"/>
      </w:r>
      <w:r>
        <w:rPr>
          <w:rFonts w:ascii="Garamond" w:hAnsi="Garamond"/>
          <w:sz w:val="22"/>
          <w:szCs w:val="22"/>
        </w:rPr>
        <w:instrText xml:space="preserve"> ADDIN ZOTERO_ITEM CSL_CITATION {"citationID":"bdM2yxbf","properties":{"formattedCitation":"(Nesbitt &amp; Moore, 2016)","plainCitation":"(Nesbitt &amp; Moore, 2016)","noteIndex":0},"citationItems":[{"id":3361,"uris":["http://zotero.org/users/8421274/items/U6M4JZTI"],"itemData":{"id":3361,"type":"article-journal","abstract":"Indigenous people are considered to be among the most vulnerable to food insecurity and biodiversity loss. Biodiversity is cited as a key component of indigenous food security; however, quantitative examples of this linkage are limited. We examined how species and population diversity influence the food security of indigenous fisheries for Pacific salmon (Oncorhynchus species). We compared two dimensions of food security – catch stability (interannual variability) and access (season length) – across a salmon diversity gradient for 21 fisheries on the Fraser River, Canada, over 30 years, using linear regression models. We used population diversity proxies derived from a range of existing measures because population-specific data were unavailable. While both population and species diversity were generally associated with higher catch stability and temporal access, population diversity had a stronger signal. Fisheries with access to high species diversity had up to 1·4 times more stable catch than predicted by the portfolio effect and up to 1·2 times longer fishing seasons than fisheries with access to fewer species. Fisheries with access to high population diversity had up to 3·8 times more stable catch and three times longer seasons than fisheries with access to fewer populations. Catch stability of Chinook Oncorhynchus tshawytscha and sockeye Oncorhynchus nerka fisheries was best explained by the number of populations and conservation units, respectively, that migrate past a fishery en route to spawning grounds. Similar population diversity metrics were important explanatory variables for season length of sockeye, pink Oncorhynchus gorbuscha, coho Oncorhynchus kisutch and chum Oncorhynchus keta fisheries. Synthesis and applications. We show an empirical example of how multiple scales of biodiversity support food security across a large watershed and suggest that protecting fine-scale salmon diversity will help promote food security for indigenous people. The scales of environmental assessments need to match the scales of the socio-ecological processes that will be affected by development. We illustrate that upstream projects that damage salmon habitat could degrade the food security of downstream indigenous fisheries, with implications to Canadian indigenous people and to watersheds around the world where migratory fishes support local fisheries.","container-title":"Journal of Applied Ecology","DOI":"10.1111/1365-2664.12717","ISSN":"1365-2664","issue":"5","language":"en","note":"_eprint: https://onlinelibrary.wiley.com/doi/pdf/10.1111/1365-2664.12717","page":"1489-1499","source":"Wiley Online Library","title":"Species and population diversity in Pacific salmon fisheries underpin indigenous food security","volume":"53","author":[{"family":"Nesbitt","given":"Holly K."},{"family":"Moore","given":"Jonathan W."}],"issued":{"date-parts":[["2016"]]}}}],"schema":"https://github.com/citation-style-language/schema/raw/master/csl-citation.json"} </w:instrText>
      </w:r>
      <w:r>
        <w:rPr>
          <w:rFonts w:ascii="Garamond" w:hAnsi="Garamond"/>
          <w:sz w:val="22"/>
          <w:szCs w:val="22"/>
        </w:rPr>
        <w:fldChar w:fldCharType="separate"/>
      </w:r>
      <w:r>
        <w:rPr>
          <w:rFonts w:ascii="Garamond" w:hAnsi="Garamond"/>
          <w:noProof/>
          <w:sz w:val="22"/>
          <w:szCs w:val="22"/>
        </w:rPr>
        <w:t>(Nesbitt &amp; Moore, 2016)</w:t>
      </w:r>
      <w:r>
        <w:rPr>
          <w:rFonts w:ascii="Garamond" w:hAnsi="Garamond"/>
          <w:sz w:val="22"/>
          <w:szCs w:val="22"/>
        </w:rPr>
        <w:fldChar w:fldCharType="end"/>
      </w:r>
      <w:r>
        <w:rPr>
          <w:rFonts w:ascii="Garamond" w:hAnsi="Garamond"/>
          <w:sz w:val="22"/>
          <w:szCs w:val="22"/>
        </w:rPr>
        <w:t xml:space="preserve">. Further, distributing risk across space and time in several stocks may buffer basin-wide returns to local or short-term changes to habitat conditions, thereby enhancing </w:t>
      </w:r>
      <w:r w:rsidRPr="00C3570A">
        <w:rPr>
          <w:rFonts w:ascii="Garamond" w:hAnsi="Garamond"/>
          <w:sz w:val="22"/>
          <w:szCs w:val="22"/>
        </w:rPr>
        <w:t xml:space="preserve">both the accessibility and reliability of </w:t>
      </w:r>
      <w:r>
        <w:rPr>
          <w:rFonts w:ascii="Garamond" w:hAnsi="Garamond"/>
          <w:sz w:val="22"/>
          <w:szCs w:val="22"/>
        </w:rPr>
        <w:t xml:space="preserve">downstream </w:t>
      </w:r>
      <w:r w:rsidRPr="00C3570A">
        <w:rPr>
          <w:rFonts w:ascii="Garamond" w:hAnsi="Garamond"/>
          <w:sz w:val="22"/>
          <w:szCs w:val="22"/>
        </w:rPr>
        <w:t>harvest opportunities</w:t>
      </w:r>
      <w:r>
        <w:rPr>
          <w:rFonts w:ascii="Garamond" w:hAnsi="Garamond"/>
          <w:sz w:val="22"/>
          <w:szCs w:val="22"/>
        </w:rPr>
        <w:t xml:space="preserve"> (Schindler et al. 2010). The health of salmon populations in terms of </w:t>
      </w:r>
      <w:r w:rsidRPr="006D1917">
        <w:rPr>
          <w:rFonts w:ascii="Garamond" w:hAnsi="Garamond"/>
          <w:sz w:val="22"/>
          <w:szCs w:val="22"/>
        </w:rPr>
        <w:t>long-term resilience</w:t>
      </w:r>
      <w:r>
        <w:rPr>
          <w:rFonts w:ascii="Garamond" w:hAnsi="Garamond"/>
          <w:sz w:val="22"/>
          <w:szCs w:val="22"/>
        </w:rPr>
        <w:t xml:space="preserve"> and reliability of ecosystem services is therefore better assessed </w:t>
      </w:r>
      <w:r w:rsidRPr="006D1917">
        <w:rPr>
          <w:rFonts w:ascii="Garamond" w:hAnsi="Garamond"/>
          <w:sz w:val="22"/>
          <w:szCs w:val="22"/>
        </w:rPr>
        <w:t>by the health and viability of contributing subunits rather than by total run size alone</w:t>
      </w:r>
      <w:r>
        <w:rPr>
          <w:rFonts w:ascii="Garamond" w:hAnsi="Garamond"/>
          <w:sz w:val="22"/>
          <w:szCs w:val="22"/>
        </w:rPr>
        <w:t xml:space="preserve"> </w:t>
      </w:r>
      <w:r>
        <w:rPr>
          <w:rFonts w:ascii="Garamond" w:hAnsi="Garamond"/>
          <w:sz w:val="22"/>
          <w:szCs w:val="22"/>
        </w:rPr>
        <w:fldChar w:fldCharType="begin"/>
      </w:r>
      <w:r>
        <w:rPr>
          <w:rFonts w:ascii="Garamond" w:hAnsi="Garamond"/>
          <w:sz w:val="22"/>
          <w:szCs w:val="22"/>
        </w:rPr>
        <w:instrText xml:space="preserve"> ADDIN ZOTERO_ITEM CSL_CITATION {"citationID":"XiDspMSN","properties":{"formattedCitation":"(Connors et al., 2022)","plainCitation":"(Connors et al., 2022)","dontUpdate":true,"noteIndex":0},"citationItems":[{"id":4144,"uris":["http://zotero.org/users/8421274/items/M4DUIZ82"],"itemData":{"id":4144,"type":"article-journal","abstract":"Variation among populations in life history and intrinsic population characteristics (i.e., population diversity) helps maintain resilience to environmental change and dampen interannual variability in ecosystem services. As a result, ecological variation, and the processes that generate it, is considered central to strategies for managing risks to ecosystems in an increasingly variable and uncertain world. However, characterizing population diversity is difficult, particularly in large and remote regions, which often prevents its formal consideration in management advice. We combined genetic stock identification of archived scale and tissue samples with state-space run-reconstruction models to estimate migration timing and annual return abundance for eight geographically and genetically distinct Chinook salmon populations within the Canadian portion of the Yukon River. We found that among-population variation in migration timing and return abundances resulted in aggregate return migrations that were 2.1 times longer and 1.4 times more stable than if they had composed a single homogeneous population. We then fit state-space spawner–recruitment models to the annual return abundances to characterize among-population diversity in intrinsic productivity and population size and their consequences for the fisheries they support. Productivity and carrying capacity varied among populations by approximately 2.4-fold (2.9 to 6.9 recruits per spawner) and three-fold (8800 to 27,000 spawners), respectively. This diversity implies an equilibrium trade-off between harvesting of the population aggregate and the conservation of individual populations whereby the harvest rate predicted to maximize aggregate harvests comes at the cost of overfishing 40% of the populations but with a relatively low risk of extirpating the weakest ones. Our findings illustrate how population diversity in one of the largest salmon-producing river basins in the world contributes to fishery stability and food security in a region where salmon have high cultural and subsistence value. More generally, our work demonstrates the utility of molecular analyses of archived biological material for characterizing diversity in biological systems and its benefits and consequences for trade-offs in decision-making.","container-title":"Ecological Applications","DOI":"10.1002/eap.2709","ISSN":"1939-5582","issue":"8","language":"en","license":"© 2022 The Ecological Society of America.","note":"_eprint: https://onlinelibrary.wiley.com/doi/pdf/10.1002/eap.2709","page":"e2709","source":"Wiley Online Library","title":"Chinook salmon diversity contributes to fishery stability and trade-offs with mixed-stock harvest","volume":"32","author":[{"family":"Connors","given":"Brendan M."},{"family":"Siegle","given":"Matthew R."},{"family":"Harding","given":"Joel"},{"family":"Rossi","given":"Steven"},{"family":"Staton","given":"Benjamin A."},{"family":"Jones","given":"Michael L."},{"family":"Bradford","given":"Michael J."},{"family":"Brown","given":"Randy"},{"family":"Bechtol","given":"Bill"},{"family":"Doherty","given":"Beau"},{"family":"Cox","given":"Sean"},{"family":"Sutherland","given":"Ben J. G."}],"issued":{"date-parts":[["2022"]]}}}],"schema":"https://github.com/citation-style-language/schema/raw/master/csl-citation.json"} </w:instrText>
      </w:r>
      <w:r>
        <w:rPr>
          <w:rFonts w:ascii="Garamond" w:hAnsi="Garamond"/>
          <w:sz w:val="22"/>
          <w:szCs w:val="22"/>
        </w:rPr>
        <w:fldChar w:fldCharType="separate"/>
      </w:r>
      <w:r>
        <w:rPr>
          <w:rFonts w:ascii="Garamond" w:hAnsi="Garamond"/>
          <w:noProof/>
          <w:sz w:val="22"/>
          <w:szCs w:val="22"/>
        </w:rPr>
        <w:t>(Griffiths et al. 2014; Connors et al., 2022)</w:t>
      </w:r>
      <w:r>
        <w:rPr>
          <w:rFonts w:ascii="Garamond" w:hAnsi="Garamond"/>
          <w:sz w:val="22"/>
          <w:szCs w:val="22"/>
        </w:rPr>
        <w:fldChar w:fldCharType="end"/>
      </w:r>
      <w:r w:rsidRPr="006D1917">
        <w:rPr>
          <w:rFonts w:ascii="Garamond" w:hAnsi="Garamond"/>
          <w:sz w:val="22"/>
          <w:szCs w:val="22"/>
        </w:rPr>
        <w:t>.</w:t>
      </w:r>
      <w:r>
        <w:rPr>
          <w:rFonts w:ascii="Garamond" w:hAnsi="Garamond"/>
          <w:sz w:val="22"/>
          <w:szCs w:val="22"/>
        </w:rPr>
        <w:t xml:space="preserve"> </w:t>
      </w:r>
    </w:p>
    <w:p w14:paraId="2BBE692E" w14:textId="77777777" w:rsidR="003610A6" w:rsidRDefault="003610A6" w:rsidP="003610A6">
      <w:pPr>
        <w:pStyle w:val="NormalWeb"/>
        <w:spacing w:line="480" w:lineRule="auto"/>
        <w:ind w:firstLine="720"/>
        <w:rPr>
          <w:rFonts w:ascii="Garamond" w:hAnsi="Garamond"/>
          <w:sz w:val="22"/>
          <w:szCs w:val="22"/>
        </w:rPr>
      </w:pPr>
      <w:r>
        <w:rPr>
          <w:rFonts w:ascii="Garamond" w:hAnsi="Garamond"/>
          <w:sz w:val="22"/>
          <w:szCs w:val="22"/>
        </w:rPr>
        <w:t xml:space="preserve">Downstream fisheries which harvest migrating stocks face a difficult challenge to design harvest methods which consider both </w:t>
      </w:r>
      <w:r w:rsidRPr="006D1917">
        <w:rPr>
          <w:rFonts w:ascii="Garamond" w:hAnsi="Garamond"/>
          <w:sz w:val="22"/>
          <w:szCs w:val="22"/>
        </w:rPr>
        <w:t xml:space="preserve">overall </w:t>
      </w:r>
      <w:r>
        <w:rPr>
          <w:rFonts w:ascii="Garamond" w:hAnsi="Garamond"/>
          <w:sz w:val="22"/>
          <w:szCs w:val="22"/>
        </w:rPr>
        <w:t>harvest opportunity</w:t>
      </w:r>
      <w:r w:rsidRPr="006D1917">
        <w:rPr>
          <w:rFonts w:ascii="Garamond" w:hAnsi="Garamond"/>
          <w:sz w:val="22"/>
          <w:szCs w:val="22"/>
        </w:rPr>
        <w:t xml:space="preserve"> as well as</w:t>
      </w:r>
      <w:r>
        <w:rPr>
          <w:rFonts w:ascii="Garamond" w:hAnsi="Garamond"/>
          <w:sz w:val="22"/>
          <w:szCs w:val="22"/>
        </w:rPr>
        <w:t xml:space="preserve"> stock specific exploitation rates. For example, strategies which </w:t>
      </w:r>
      <w:r w:rsidRPr="006D1917">
        <w:rPr>
          <w:rFonts w:ascii="Garamond" w:hAnsi="Garamond"/>
          <w:sz w:val="22"/>
          <w:szCs w:val="22"/>
        </w:rPr>
        <w:t>concentrate harvest in periods of peak abundance (e.g., highest CPUE per day)</w:t>
      </w:r>
      <w:r>
        <w:rPr>
          <w:rFonts w:ascii="Garamond" w:hAnsi="Garamond"/>
          <w:sz w:val="22"/>
          <w:szCs w:val="22"/>
        </w:rPr>
        <w:t xml:space="preserve"> </w:t>
      </w:r>
      <w:r w:rsidRPr="006D1917">
        <w:rPr>
          <w:rFonts w:ascii="Garamond" w:hAnsi="Garamond"/>
          <w:sz w:val="22"/>
          <w:szCs w:val="22"/>
        </w:rPr>
        <w:t>may fail to account for whether this peak consists of a mix of vulnerable, weak stocks or a single, more robust stock that can sustain higher exploitation</w:t>
      </w:r>
      <w:r>
        <w:rPr>
          <w:rFonts w:ascii="Garamond" w:hAnsi="Garamond"/>
          <w:sz w:val="22"/>
          <w:szCs w:val="22"/>
        </w:rPr>
        <w:t xml:space="preserve"> (Connors et al. 2022)</w:t>
      </w:r>
      <w:r w:rsidRPr="006D1917">
        <w:rPr>
          <w:rFonts w:ascii="Garamond" w:hAnsi="Garamond"/>
          <w:sz w:val="22"/>
          <w:szCs w:val="22"/>
        </w:rPr>
        <w:t xml:space="preserve">. </w:t>
      </w:r>
      <w:r>
        <w:rPr>
          <w:rFonts w:ascii="Garamond" w:hAnsi="Garamond"/>
          <w:sz w:val="22"/>
          <w:szCs w:val="22"/>
        </w:rPr>
        <w:t>Fishing which disproportionally exploits weak stocks as they migrate upstream may threaten the availability of resources to upstream communities and threaten the reliability of downstream resources in subsequent years as upstream stock health degrades. M</w:t>
      </w:r>
      <w:r w:rsidRPr="006D1917">
        <w:rPr>
          <w:rFonts w:ascii="Garamond" w:hAnsi="Garamond"/>
          <w:sz w:val="22"/>
          <w:szCs w:val="22"/>
        </w:rPr>
        <w:t>anagement strateg</w:t>
      </w:r>
      <w:r>
        <w:rPr>
          <w:rFonts w:ascii="Garamond" w:hAnsi="Garamond"/>
          <w:sz w:val="22"/>
          <w:szCs w:val="22"/>
        </w:rPr>
        <w:t>ies which maintain reliable fishery resources</w:t>
      </w:r>
      <w:r w:rsidRPr="006D1917">
        <w:rPr>
          <w:rFonts w:ascii="Garamond" w:hAnsi="Garamond"/>
          <w:sz w:val="22"/>
          <w:szCs w:val="22"/>
        </w:rPr>
        <w:t xml:space="preserve"> should </w:t>
      </w:r>
      <w:r>
        <w:rPr>
          <w:rFonts w:ascii="Garamond" w:hAnsi="Garamond"/>
          <w:sz w:val="22"/>
          <w:szCs w:val="22"/>
        </w:rPr>
        <w:t xml:space="preserve">therefore </w:t>
      </w:r>
      <w:r w:rsidRPr="006D1917">
        <w:rPr>
          <w:rFonts w:ascii="Garamond" w:hAnsi="Garamond"/>
          <w:sz w:val="22"/>
          <w:szCs w:val="22"/>
        </w:rPr>
        <w:t>aim to allow harvest opportunities on healthy stocks while minimizing the risk of overexploitation for co-migrating weak stocks</w:t>
      </w:r>
      <w:r>
        <w:rPr>
          <w:rFonts w:ascii="Garamond" w:hAnsi="Garamond"/>
          <w:sz w:val="22"/>
          <w:szCs w:val="22"/>
        </w:rPr>
        <w:t xml:space="preserve"> </w:t>
      </w:r>
      <w:r>
        <w:rPr>
          <w:rFonts w:ascii="Garamond" w:hAnsi="Garamond"/>
          <w:sz w:val="22"/>
          <w:szCs w:val="22"/>
        </w:rPr>
        <w:fldChar w:fldCharType="begin"/>
      </w:r>
      <w:r>
        <w:rPr>
          <w:rFonts w:ascii="Garamond" w:hAnsi="Garamond"/>
          <w:sz w:val="22"/>
          <w:szCs w:val="22"/>
        </w:rPr>
        <w:instrText xml:space="preserve"> ADDIN ZOTERO_ITEM CSL_CITATION {"citationID":"XABq2458","properties":{"formattedCitation":"(Connors et al., 2020)","plainCitation":"(Connors et al., 2020)","noteIndex":0},"citationItems":[{"id":4416,"uris":["http://zotero.org/users/8421274/items/STEMPPV7"],"itemData":{"id":4416,"type":"article-journal","abstract":"Accounting for population diversity can be critical to the sustainable management of mixed-stock fisheries because harvest rates that can be sustained by productive populations may come at the cost of overfishing less productive ones. While these harvest–diversity trade-offs are well-recognized, their consequences for harvest policy performance are not often explicitly evaluated in contemporary fisheries management. We use closed-loop simulations to evaluate the ability of alternative harvest policies to meet population diversity and fishery objectives for one of the largest subsistence Chinook salmon (Oncorhynchus tshawytscha) fisheries in the world (Kuskokwim River Basin in western Alaska). We found clear evidence of population diversity that resulted in asymmetric trade-offs among fishery and conservation objectives whereby policies that forgo relatively small amounts of harvest result in relatively large increases in equitable access to Chinook and elimination of risk of weak stock extirpation. The performance of alternative harvest policies, and the magnitude of trade-offs, were sensitive to regime shifts and uncertainty in the drivers of recruitment variation. However, we found that harvest policies that prioritized meeting minimum subsistence needs were unlikely to jeopardize long-term sustainability.","container-title":"Canadian Journal of Fisheries and Aquatic Sciences","DOI":"10.1139/cjfas-2019-0282","ISSN":"0706-652X","issue":"6","journalAbbreviation":"Can. J. Fish. Aquat. Sci.","note":"publisher: NRC Research Press","page":"1076-1089","source":"cdnsciencepub-com.offcampus.lib.washington.edu (Atypon)","title":"Incorporating harvest–population diversity trade-offs into harvest policy analyses of salmon management in large river basins","volume":"77","author":[{"family":"Connors","given":"Brendan M."},{"family":"Staton","given":"Benjamin"},{"family":"Coggins","given":"Lewis"},{"family":"Walters","given":"Carl"},{"family":"Jones","given":"Mike"},{"family":"Gwinn","given":"Daniel"},{"family":"Catalano","given":"Matt"},{"family":"Fleischman","given":"Steve"}],"issued":{"date-parts":[["2020",6]]}}}],"schema":"https://github.com/citation-style-language/schema/raw/master/csl-citation.json"} </w:instrText>
      </w:r>
      <w:r>
        <w:rPr>
          <w:rFonts w:ascii="Garamond" w:hAnsi="Garamond"/>
          <w:sz w:val="22"/>
          <w:szCs w:val="22"/>
        </w:rPr>
        <w:fldChar w:fldCharType="separate"/>
      </w:r>
      <w:r>
        <w:rPr>
          <w:rFonts w:ascii="Garamond" w:hAnsi="Garamond"/>
          <w:noProof/>
          <w:sz w:val="22"/>
          <w:szCs w:val="22"/>
        </w:rPr>
        <w:t>(Connors et al., 2020)</w:t>
      </w:r>
      <w:r>
        <w:rPr>
          <w:rFonts w:ascii="Garamond" w:hAnsi="Garamond"/>
          <w:sz w:val="22"/>
          <w:szCs w:val="22"/>
        </w:rPr>
        <w:fldChar w:fldCharType="end"/>
      </w:r>
      <w:r>
        <w:rPr>
          <w:rFonts w:ascii="Garamond" w:hAnsi="Garamond"/>
          <w:sz w:val="22"/>
          <w:szCs w:val="22"/>
        </w:rPr>
        <w:t xml:space="preserve">. </w:t>
      </w:r>
      <w:r w:rsidRPr="006D1917">
        <w:rPr>
          <w:rFonts w:ascii="Garamond" w:hAnsi="Garamond"/>
          <w:sz w:val="22"/>
          <w:szCs w:val="22"/>
        </w:rPr>
        <w:t xml:space="preserve"> In practice, however, implementing such stock-specific management approaches </w:t>
      </w:r>
      <w:r w:rsidRPr="006D1917">
        <w:rPr>
          <w:rFonts w:ascii="Garamond" w:hAnsi="Garamond"/>
          <w:sz w:val="22"/>
          <w:szCs w:val="22"/>
        </w:rPr>
        <w:lastRenderedPageBreak/>
        <w:t>requires detailed data on the spatiotemporal ecology of salmon populations; information that has historically been limited at sufficiently fine spatial and temporal scales</w:t>
      </w:r>
      <w:r>
        <w:rPr>
          <w:rFonts w:ascii="Garamond" w:hAnsi="Garamond"/>
          <w:sz w:val="22"/>
          <w:szCs w:val="22"/>
        </w:rPr>
        <w:t xml:space="preserve"> </w:t>
      </w:r>
      <w:r>
        <w:rPr>
          <w:rFonts w:ascii="Garamond" w:hAnsi="Garamond"/>
          <w:sz w:val="22"/>
          <w:szCs w:val="22"/>
        </w:rPr>
        <w:fldChar w:fldCharType="begin"/>
      </w:r>
      <w:r>
        <w:rPr>
          <w:rFonts w:ascii="Garamond" w:hAnsi="Garamond"/>
          <w:sz w:val="22"/>
          <w:szCs w:val="22"/>
        </w:rPr>
        <w:instrText xml:space="preserve"> ADDIN ZOTERO_ITEM CSL_CITATION {"citationID":"Gpa69QVN","properties":{"formattedCitation":"(Connors et al., 2020, 2022)","plainCitation":"(Connors et al., 2020, 2022)","noteIndex":0},"citationItems":[{"id":4416,"uris":["http://zotero.org/users/8421274/items/STEMPPV7"],"itemData":{"id":4416,"type":"article-journal","abstract":"Accounting for population diversity can be critical to the sustainable management of mixed-stock fisheries because harvest rates that can be sustained by productive populations may come at the cost of overfishing less productive ones. While these harvest–diversity trade-offs are well-recognized, their consequences for harvest policy performance are not often explicitly evaluated in contemporary fisheries management. We use closed-loop simulations to evaluate the ability of alternative harvest policies to meet population diversity and fishery objectives for one of the largest subsistence Chinook salmon (Oncorhynchus tshawytscha) fisheries in the world (Kuskokwim River Basin in western Alaska). We found clear evidence of population diversity that resulted in asymmetric trade-offs among fishery and conservation objectives whereby policies that forgo relatively small amounts of harvest result in relatively large increases in equitable access to Chinook and elimination of risk of weak stock extirpation. The performance of alternative harvest policies, and the magnitude of trade-offs, were sensitive to regime shifts and uncertainty in the drivers of recruitment variation. However, we found that harvest policies that prioritized meeting minimum subsistence needs were unlikely to jeopardize long-term sustainability.","container-title":"Canadian Journal of Fisheries and Aquatic Sciences","DOI":"10.1139/cjfas-2019-0282","ISSN":"0706-652X","issue":"6","journalAbbreviation":"Can. J. Fish. Aquat. Sci.","note":"publisher: NRC Research Press","page":"1076-1089","source":"cdnsciencepub-com.offcampus.lib.washington.edu (Atypon)","title":"Incorporating harvest–population diversity trade-offs into harvest policy analyses of salmon management in large river basins","volume":"77","author":[{"family":"Connors","given":"Brendan M."},{"family":"Staton","given":"Benjamin"},{"family":"Coggins","given":"Lewis"},{"family":"Walters","given":"Carl"},{"family":"Jones","given":"Mike"},{"family":"Gwinn","given":"Daniel"},{"family":"Catalano","given":"Matt"},{"family":"Fleischman","given":"Steve"}],"issued":{"date-parts":[["2020",6]]}}},{"id":4144,"uris":["http://zotero.org/users/8421274/items/M4DUIZ82"],"itemData":{"id":4144,"type":"article-journal","abstract":"Variation among populations in life history and intrinsic population characteristics (i.e., population diversity) helps maintain resilience to environmental change and dampen interannual variability in ecosystem services. As a result, ecological variation, and the processes that generate it, is considered central to strategies for managing risks to ecosystems in an increasingly variable and uncertain world. However, characterizing population diversity is difficult, particularly in large and remote regions, which often prevents its formal consideration in management advice. We combined genetic stock identification of archived scale and tissue samples with state-space run-reconstruction models to estimate migration timing and annual return abundance for eight geographically and genetically distinct Chinook salmon populations within the Canadian portion of the Yukon River. We found that among-population variation in migration timing and return abundances resulted in aggregate return migrations that were 2.1 times longer and 1.4 times more stable than if they had composed a single homogeneous population. We then fit state-space spawner–recruitment models to the annual return abundances to characterize among-population diversity in intrinsic productivity and population size and their consequences for the fisheries they support. Productivity and carrying capacity varied among populations by approximately 2.4-fold (2.9 to 6.9 recruits per spawner) and three-fold (8800 to 27,000 spawners), respectively. This diversity implies an equilibrium trade-off between harvesting of the population aggregate and the conservation of individual populations whereby the harvest rate predicted to maximize aggregate harvests comes at the cost of overfishing 40% of the populations but with a relatively low risk of extirpating the weakest ones. Our findings illustrate how population diversity in one of the largest salmon-producing river basins in the world contributes to fishery stability and food security in a region where salmon have high cultural and subsistence value. More generally, our work demonstrates the utility of molecular analyses of archived biological material for characterizing diversity in biological systems and its benefits and consequences for trade-offs in decision-making.","container-title":"Ecological Applications","DOI":"10.1002/eap.2709","ISSN":"1939-5582","issue":"8","language":"en","license":"© 2022 The Ecological Society of America.","note":"_eprint: https://onlinelibrary.wiley.com/doi/pdf/10.1002/eap.2709","page":"e2709","source":"Wiley Online Library","title":"Chinook salmon diversity contributes to fishery stability and trade-offs with mixed-stock harvest","volume":"32","author":[{"family":"Connors","given":"Brendan M."},{"family":"Siegle","given":"Matthew R."},{"family":"Harding","given":"Joel"},{"family":"Rossi","given":"Steven"},{"family":"Staton","given":"Benjamin A."},{"family":"Jones","given":"Michael L."},{"family":"Bradford","given":"Michael J."},{"family":"Brown","given":"Randy"},{"family":"Bechtol","given":"Bill"},{"family":"Doherty","given":"Beau"},{"family":"Cox","given":"Sean"},{"family":"Sutherland","given":"Ben J. G."}],"issued":{"date-parts":[["2022"]]}}}],"schema":"https://github.com/citation-style-language/schema/raw/master/csl-citation.json"} </w:instrText>
      </w:r>
      <w:r>
        <w:rPr>
          <w:rFonts w:ascii="Garamond" w:hAnsi="Garamond"/>
          <w:sz w:val="22"/>
          <w:szCs w:val="22"/>
        </w:rPr>
        <w:fldChar w:fldCharType="separate"/>
      </w:r>
      <w:r>
        <w:rPr>
          <w:rFonts w:ascii="Garamond" w:hAnsi="Garamond"/>
          <w:noProof/>
          <w:sz w:val="22"/>
          <w:szCs w:val="22"/>
        </w:rPr>
        <w:t>(Connors et al., 2020, 2022)</w:t>
      </w:r>
      <w:r>
        <w:rPr>
          <w:rFonts w:ascii="Garamond" w:hAnsi="Garamond"/>
          <w:sz w:val="22"/>
          <w:szCs w:val="22"/>
        </w:rPr>
        <w:fldChar w:fldCharType="end"/>
      </w:r>
      <w:r>
        <w:rPr>
          <w:rFonts w:ascii="Garamond" w:hAnsi="Garamond"/>
          <w:sz w:val="22"/>
          <w:szCs w:val="22"/>
        </w:rPr>
        <w:t xml:space="preserve">. </w:t>
      </w:r>
    </w:p>
    <w:p w14:paraId="42D5D47D" w14:textId="77777777" w:rsidR="003610A6" w:rsidRDefault="003610A6" w:rsidP="003610A6">
      <w:pPr>
        <w:pStyle w:val="NormalWeb"/>
        <w:spacing w:line="480" w:lineRule="auto"/>
        <w:ind w:firstLine="720"/>
        <w:rPr>
          <w:ins w:id="16" w:author="Benjamin J. Makhlouf" w:date="2025-07-26T14:59:00Z" w16du:dateUtc="2025-07-26T21:59:00Z"/>
          <w:rFonts w:ascii="Garamond" w:hAnsi="Garamond"/>
          <w:sz w:val="22"/>
          <w:szCs w:val="22"/>
        </w:rPr>
      </w:pPr>
    </w:p>
    <w:p w14:paraId="2045A3E4" w14:textId="77777777" w:rsidR="003610A6" w:rsidRDefault="003610A6" w:rsidP="003610A6">
      <w:pPr>
        <w:spacing w:line="480" w:lineRule="auto"/>
        <w:ind w:firstLine="720"/>
        <w:rPr>
          <w:rFonts w:ascii="Garamond" w:hAnsi="Garamond"/>
          <w:sz w:val="22"/>
          <w:szCs w:val="22"/>
        </w:rPr>
      </w:pPr>
      <w:r>
        <w:rPr>
          <w:rFonts w:ascii="Garamond" w:hAnsi="Garamond"/>
          <w:sz w:val="22"/>
          <w:szCs w:val="22"/>
        </w:rPr>
        <w:t>Lack</w:t>
      </w:r>
      <w:r w:rsidRPr="006D1917">
        <w:rPr>
          <w:rFonts w:ascii="Garamond" w:hAnsi="Garamond"/>
          <w:sz w:val="22"/>
          <w:szCs w:val="22"/>
        </w:rPr>
        <w:t xml:space="preserve"> of stock-specific spatial ecology </w:t>
      </w:r>
      <w:r>
        <w:rPr>
          <w:rFonts w:ascii="Garamond" w:hAnsi="Garamond"/>
          <w:sz w:val="22"/>
          <w:szCs w:val="22"/>
        </w:rPr>
        <w:t xml:space="preserve">of Chinook salmon populations </w:t>
      </w:r>
      <w:r w:rsidRPr="006D1917">
        <w:rPr>
          <w:rFonts w:ascii="Garamond" w:hAnsi="Garamond"/>
          <w:sz w:val="22"/>
          <w:szCs w:val="22"/>
        </w:rPr>
        <w:t xml:space="preserve">in </w:t>
      </w:r>
      <w:r>
        <w:rPr>
          <w:rFonts w:ascii="Garamond" w:hAnsi="Garamond"/>
          <w:sz w:val="22"/>
          <w:szCs w:val="22"/>
        </w:rPr>
        <w:t>w</w:t>
      </w:r>
      <w:r w:rsidRPr="006D1917">
        <w:rPr>
          <w:rFonts w:ascii="Garamond" w:hAnsi="Garamond"/>
          <w:sz w:val="22"/>
          <w:szCs w:val="22"/>
        </w:rPr>
        <w:t>estern Alaska</w:t>
      </w:r>
      <w:r>
        <w:rPr>
          <w:rFonts w:ascii="Garamond" w:hAnsi="Garamond"/>
          <w:sz w:val="22"/>
          <w:szCs w:val="22"/>
        </w:rPr>
        <w:t xml:space="preserve"> has necessitated that </w:t>
      </w:r>
      <w:r w:rsidRPr="006D1917">
        <w:rPr>
          <w:rFonts w:ascii="Garamond" w:hAnsi="Garamond"/>
          <w:sz w:val="22"/>
          <w:szCs w:val="22"/>
        </w:rPr>
        <w:t xml:space="preserve">management strategies </w:t>
      </w:r>
      <w:r>
        <w:rPr>
          <w:rFonts w:ascii="Garamond" w:hAnsi="Garamond"/>
          <w:sz w:val="22"/>
          <w:szCs w:val="22"/>
        </w:rPr>
        <w:t>be</w:t>
      </w:r>
      <w:r w:rsidRPr="006D1917">
        <w:rPr>
          <w:rFonts w:ascii="Garamond" w:hAnsi="Garamond"/>
          <w:sz w:val="22"/>
          <w:szCs w:val="22"/>
        </w:rPr>
        <w:t xml:space="preserve"> implemented at relatively coarse spatial scales. </w:t>
      </w:r>
      <w:r>
        <w:rPr>
          <w:rFonts w:ascii="Garamond" w:hAnsi="Garamond"/>
          <w:sz w:val="22"/>
          <w:szCs w:val="22"/>
        </w:rPr>
        <w:t>A salient example of this is in the</w:t>
      </w:r>
      <w:r w:rsidRPr="006D1917">
        <w:rPr>
          <w:rFonts w:ascii="Garamond" w:hAnsi="Garamond"/>
          <w:sz w:val="22"/>
          <w:szCs w:val="22"/>
        </w:rPr>
        <w:t xml:space="preserve"> Kuskokwim River </w:t>
      </w:r>
      <w:r>
        <w:rPr>
          <w:rFonts w:ascii="Garamond" w:hAnsi="Garamond"/>
          <w:sz w:val="22"/>
          <w:szCs w:val="22"/>
        </w:rPr>
        <w:t>where managers implement a</w:t>
      </w:r>
      <w:r w:rsidRPr="006D1917">
        <w:rPr>
          <w:rFonts w:ascii="Garamond" w:hAnsi="Garamond"/>
          <w:sz w:val="22"/>
          <w:szCs w:val="22"/>
        </w:rPr>
        <w:t xml:space="preserve"> front-end closure strateg</w:t>
      </w:r>
      <w:r>
        <w:rPr>
          <w:rFonts w:ascii="Garamond" w:hAnsi="Garamond"/>
          <w:sz w:val="22"/>
          <w:szCs w:val="22"/>
        </w:rPr>
        <w:t xml:space="preserve">y that heavily restricts fishing during the beginning of the salmon migration season to protect early returning fish </w:t>
      </w:r>
      <w:r>
        <w:rPr>
          <w:rFonts w:ascii="Garamond" w:hAnsi="Garamond"/>
          <w:sz w:val="22"/>
          <w:szCs w:val="22"/>
        </w:rPr>
        <w:fldChar w:fldCharType="begin"/>
      </w:r>
      <w:r>
        <w:rPr>
          <w:rFonts w:ascii="Garamond" w:hAnsi="Garamond"/>
          <w:sz w:val="22"/>
          <w:szCs w:val="22"/>
        </w:rPr>
        <w:instrText xml:space="preserve"> ADDIN ZOTERO_ITEM CSL_CITATION {"citationID":"A32imaA8","properties":{"formattedCitation":"(Bechtol et al., 2025)","plainCitation":"(Bechtol et al., 2025)","dontUpdate":true,"noteIndex":0},"citationItems":[{"id":5396,"uris":["http://zotero.org/users/8421274/items/5K4UUKKW"],"itemData":{"id":5396,"type":"report","language":"en","publisher":"Kuskokwim River Inter-Tribal Fish Commission, Bethel","source":"Zotero","title":"Inseason Harvest and Effort Estimates for the 2024 Kuskokwim River Subsistence Salmon Fisheries During Block Openings","author":[{"family":"Bechtol","given":"William R"},{"family":"Vicente","given":"Terese"},{"family":"Leon","given":"Justin"},{"family":"Hoffman","given":"Avery"},{"family":"Moses","given":"Aaron"},{"family":"Hooper","given":"Delen"}],"issued":{"date-parts":[["2025"]]}}}],"schema":"https://github.com/citation-style-language/schema/raw/master/csl-citation.json"} </w:instrText>
      </w:r>
      <w:r>
        <w:rPr>
          <w:rFonts w:ascii="Garamond" w:hAnsi="Garamond"/>
          <w:sz w:val="22"/>
          <w:szCs w:val="22"/>
        </w:rPr>
        <w:fldChar w:fldCharType="separate"/>
      </w:r>
      <w:r>
        <w:rPr>
          <w:rFonts w:ascii="Garamond" w:hAnsi="Garamond"/>
          <w:noProof/>
          <w:sz w:val="22"/>
          <w:szCs w:val="22"/>
        </w:rPr>
        <w:t>(e.g. Bechtol et al., 2025)</w:t>
      </w:r>
      <w:r>
        <w:rPr>
          <w:rFonts w:ascii="Garamond" w:hAnsi="Garamond"/>
          <w:sz w:val="22"/>
          <w:szCs w:val="22"/>
        </w:rPr>
        <w:fldChar w:fldCharType="end"/>
      </w:r>
      <w:r>
        <w:rPr>
          <w:rFonts w:ascii="Garamond" w:hAnsi="Garamond"/>
          <w:sz w:val="22"/>
          <w:szCs w:val="22"/>
        </w:rPr>
        <w:t>.</w:t>
      </w:r>
      <w:r w:rsidRPr="006D1917">
        <w:rPr>
          <w:rFonts w:ascii="Garamond" w:hAnsi="Garamond"/>
          <w:sz w:val="22"/>
          <w:szCs w:val="22"/>
        </w:rPr>
        <w:t xml:space="preserve"> </w:t>
      </w:r>
      <w:r>
        <w:rPr>
          <w:rFonts w:ascii="Garamond" w:hAnsi="Garamond"/>
          <w:sz w:val="22"/>
          <w:szCs w:val="22"/>
        </w:rPr>
        <w:t>This strategy aims to</w:t>
      </w:r>
      <w:r w:rsidRPr="006D1917">
        <w:rPr>
          <w:rFonts w:ascii="Garamond" w:hAnsi="Garamond"/>
          <w:sz w:val="22"/>
          <w:szCs w:val="22"/>
        </w:rPr>
        <w:t xml:space="preserve"> support</w:t>
      </w:r>
      <w:r>
        <w:rPr>
          <w:rFonts w:ascii="Garamond" w:hAnsi="Garamond"/>
          <w:sz w:val="22"/>
          <w:szCs w:val="22"/>
        </w:rPr>
        <w:t xml:space="preserve"> </w:t>
      </w:r>
      <w:r w:rsidRPr="006D1917">
        <w:rPr>
          <w:rFonts w:ascii="Garamond" w:hAnsi="Garamond"/>
          <w:sz w:val="22"/>
          <w:szCs w:val="22"/>
        </w:rPr>
        <w:t>basin-wide escapement goals</w:t>
      </w:r>
      <w:r>
        <w:rPr>
          <w:rFonts w:ascii="Garamond" w:hAnsi="Garamond"/>
          <w:sz w:val="22"/>
          <w:szCs w:val="22"/>
        </w:rPr>
        <w:t xml:space="preserve"> while allowing for a significant number of fish to return to stocks in the upper portions of the river basin , thereby protecting access to harvest opportunities for upstream communities and bolstering the health of upstream stocks which have a general tendency to migrate early in the season </w:t>
      </w:r>
      <w:commentRangeStart w:id="17"/>
      <w:r>
        <w:rPr>
          <w:rFonts w:ascii="Garamond" w:hAnsi="Garamond"/>
          <w:sz w:val="22"/>
          <w:szCs w:val="22"/>
        </w:rPr>
        <w:fldChar w:fldCharType="begin"/>
      </w:r>
      <w:r>
        <w:rPr>
          <w:rFonts w:ascii="Garamond" w:hAnsi="Garamond"/>
          <w:sz w:val="22"/>
          <w:szCs w:val="22"/>
        </w:rPr>
        <w:instrText xml:space="preserve"> ADDIN ZOTERO_ITEM CSL_CITATION {"citationID":"7EzFVXNC","properties":{"formattedCitation":"(Clark et al., 2015)","plainCitation":"(Clark et al., 2015)","noteIndex":0},"citationItems":[{"id":5370,"uris":["http://zotero.org/users/8421274/items/CSEI4Y28"],"itemData":{"id":5370,"type":"article-journal","abstract":"Variation in the timing of migration to freshwaters to spawn is one important dimension of the life history variation within individual salmon stocks. That variable has important implications for developing sustainable fisheries that simultaneously exploit multiple populations within the same geographic area. We examined the variation in migration timing of adult Chinook Salmon Oncorhynchus tshawytscha within the Togiak River system of southwest Alaska to determine whether fish that spawned in different habitats migrated into freshwater from the ocean at different times. In particular, we evaluated whether there were watershed</w:instrText>
      </w:r>
      <w:r>
        <w:rPr>
          <w:rFonts w:ascii="Cambria Math" w:hAnsi="Cambria Math" w:cs="Cambria Math"/>
          <w:sz w:val="22"/>
          <w:szCs w:val="22"/>
        </w:rPr>
        <w:instrText>‐</w:instrText>
      </w:r>
      <w:r>
        <w:rPr>
          <w:rFonts w:ascii="Garamond" w:hAnsi="Garamond"/>
          <w:sz w:val="22"/>
          <w:szCs w:val="22"/>
        </w:rPr>
        <w:instrText>wide effects of body size, sex, spawning location, and year on the timing of spawning</w:instrText>
      </w:r>
      <w:r>
        <w:rPr>
          <w:rFonts w:ascii="Cambria Math" w:hAnsi="Cambria Math" w:cs="Cambria Math"/>
          <w:sz w:val="22"/>
          <w:szCs w:val="22"/>
        </w:rPr>
        <w:instrText>‐</w:instrText>
      </w:r>
      <w:r>
        <w:rPr>
          <w:rFonts w:ascii="Garamond" w:hAnsi="Garamond"/>
          <w:sz w:val="22"/>
          <w:szCs w:val="22"/>
        </w:rPr>
        <w:instrText>run migration into the Togiak River. Migration data and spawning fate were collected using radiotelemetry and analyzed with mixed effects models to account for among</w:instrText>
      </w:r>
      <w:r>
        <w:rPr>
          <w:rFonts w:ascii="Cambria Math" w:hAnsi="Cambria Math" w:cs="Cambria Math"/>
          <w:sz w:val="22"/>
          <w:szCs w:val="22"/>
        </w:rPr>
        <w:instrText>‐</w:instrText>
      </w:r>
      <w:r>
        <w:rPr>
          <w:rFonts w:ascii="Garamond" w:hAnsi="Garamond"/>
          <w:sz w:val="22"/>
          <w:szCs w:val="22"/>
        </w:rPr>
        <w:instrText xml:space="preserve">year variation in migration timing across the 4 years of the study. We found that migration timing of Chinook Salmon in the Togiak watershed is segregated by spawning location and sex and is consistent across body sizes and years. Fish that spawned higher in the watershed had a tendency to enter freshwater earlier than fish that spawned lower in the watershed and in the main stem of the river. Our results indicate clear stock structure in the migration of spawning Chinook Salmon to the Togiak River watershed, suggesting that it is important to distribute harvest over the entire distribution of Chinook Salmon run timing to minimize the risk of overexploiting certain components of the stock complex.","container-title":"Transactions of the American Fisheries Society","DOI":"10.1080/00028487.2015.1031281","ISSN":"0002-8487","issue":"4","journalAbbreviation":"Transactions of the American Fisheries Society","page":"829-836","source":"Silverchair","title":"Migration Timing of Adult Chinook Salmon into the Togiak River, Alaska, Watershed: Is There Evidence for Stock Structure?","title-short":"Migration Timing of Adult Chinook Salmon into the Togiak River, Alaska, Watershed","volume":"144","author":[{"family":"Clark","given":"Sydney C."},{"family":"Tanner","given":"Theresa L."},{"family":"Sethi","given":"Suresh A."},{"family":"Bentley","given":"Kale T."},{"family":"Schindler","given":"Daniel E."}],"issued":{"date-parts":[["2015",7,1]]}}}],"schema":"https://github.com/citation-style-language/schema/raw/master/csl-citation.json"} </w:instrText>
      </w:r>
      <w:r>
        <w:rPr>
          <w:rFonts w:ascii="Garamond" w:hAnsi="Garamond"/>
          <w:sz w:val="22"/>
          <w:szCs w:val="22"/>
        </w:rPr>
        <w:fldChar w:fldCharType="separate"/>
      </w:r>
      <w:r w:rsidRPr="008B4FCB">
        <w:rPr>
          <w:rFonts w:ascii="Garamond" w:hAnsi="Garamond"/>
          <w:sz w:val="22"/>
        </w:rPr>
        <w:t>(Clark et al., 2015)</w:t>
      </w:r>
      <w:r>
        <w:rPr>
          <w:rFonts w:ascii="Garamond" w:hAnsi="Garamond"/>
          <w:sz w:val="22"/>
          <w:szCs w:val="22"/>
        </w:rPr>
        <w:fldChar w:fldCharType="end"/>
      </w:r>
      <w:commentRangeEnd w:id="17"/>
      <w:r>
        <w:rPr>
          <w:rStyle w:val="CommentReference"/>
        </w:rPr>
        <w:commentReference w:id="17"/>
      </w:r>
      <w:r>
        <w:rPr>
          <w:rFonts w:ascii="Garamond" w:hAnsi="Garamond"/>
          <w:sz w:val="22"/>
          <w:szCs w:val="22"/>
        </w:rPr>
        <w:t xml:space="preserve">. However, little data exist which quantifies the spatiotemporal patterns among stocks. The impact of front-end closure strategies on individual stock components is not well understood, and a more complete understanding of stock contribution to the overall run both within and among years is currently not readily available. These data may be important to assessing the impact of current management strategies and designing new strategies which maintain stock health across all components of the watershed and maintain a reliable resource for communities and industry in the region. </w:t>
      </w:r>
    </w:p>
    <w:p w14:paraId="2AAD2B8F" w14:textId="77777777" w:rsidR="003610A6" w:rsidRPr="00617050" w:rsidRDefault="003610A6" w:rsidP="003610A6">
      <w:pPr>
        <w:spacing w:line="480" w:lineRule="auto"/>
        <w:ind w:firstLine="720"/>
        <w:rPr>
          <w:rFonts w:ascii="Garamond" w:hAnsi="Garamond"/>
          <w:sz w:val="22"/>
          <w:szCs w:val="22"/>
        </w:rPr>
      </w:pPr>
      <w:r w:rsidRPr="006D1917">
        <w:rPr>
          <w:rFonts w:ascii="Garamond" w:hAnsi="Garamond"/>
          <w:sz w:val="22"/>
          <w:szCs w:val="22"/>
        </w:rPr>
        <w:t>Here, we apply otolit</w:t>
      </w:r>
      <w:r>
        <w:rPr>
          <w:rFonts w:ascii="Garamond" w:hAnsi="Garamond"/>
          <w:sz w:val="22"/>
          <w:szCs w:val="22"/>
        </w:rPr>
        <w:t>h microchemistry from fish caught at different times of the migration season over 6 years in the Kuskokwim River-basin</w:t>
      </w:r>
      <w:r w:rsidRPr="006D1917">
        <w:rPr>
          <w:rFonts w:ascii="Garamond" w:hAnsi="Garamond"/>
          <w:sz w:val="22"/>
          <w:szCs w:val="22"/>
        </w:rPr>
        <w:t xml:space="preserve"> to reconstruct spatiotemporal patterns of Chinook salmon natal origin distribution</w:t>
      </w:r>
      <w:r>
        <w:rPr>
          <w:rFonts w:ascii="Garamond" w:hAnsi="Garamond"/>
          <w:sz w:val="22"/>
          <w:szCs w:val="22"/>
        </w:rPr>
        <w:t xml:space="preserve"> at the sub basin scale. In doing so, we will</w:t>
      </w:r>
      <w:r w:rsidRPr="006D1917">
        <w:rPr>
          <w:rFonts w:ascii="Garamond" w:hAnsi="Garamond"/>
          <w:sz w:val="22"/>
          <w:szCs w:val="22"/>
        </w:rPr>
        <w:t>: (1) identify the spatiotemporal structure of returning populations in</w:t>
      </w:r>
      <w:r>
        <w:rPr>
          <w:rFonts w:ascii="Garamond" w:hAnsi="Garamond"/>
          <w:sz w:val="22"/>
          <w:szCs w:val="22"/>
        </w:rPr>
        <w:t xml:space="preserve"> the Kuskokwim river-basin, and </w:t>
      </w:r>
      <w:r w:rsidRPr="006D1917">
        <w:rPr>
          <w:rFonts w:ascii="Garamond" w:hAnsi="Garamond"/>
          <w:sz w:val="22"/>
          <w:szCs w:val="22"/>
        </w:rPr>
        <w:t>(2)</w:t>
      </w:r>
      <w:r>
        <w:rPr>
          <w:rFonts w:ascii="Garamond" w:hAnsi="Garamond"/>
          <w:sz w:val="22"/>
          <w:szCs w:val="22"/>
        </w:rPr>
        <w:t xml:space="preserve"> </w:t>
      </w:r>
      <w:r w:rsidRPr="006D1917">
        <w:rPr>
          <w:rFonts w:ascii="Garamond" w:hAnsi="Garamond"/>
          <w:sz w:val="22"/>
          <w:szCs w:val="22"/>
        </w:rPr>
        <w:t>evaluate the potential impacts of harvest strategies</w:t>
      </w:r>
      <w:r>
        <w:rPr>
          <w:rFonts w:ascii="Garamond" w:hAnsi="Garamond"/>
          <w:sz w:val="22"/>
          <w:szCs w:val="22"/>
        </w:rPr>
        <w:t xml:space="preserve"> such as a</w:t>
      </w:r>
      <w:r w:rsidRPr="006D1917">
        <w:rPr>
          <w:rFonts w:ascii="Garamond" w:hAnsi="Garamond"/>
          <w:sz w:val="22"/>
          <w:szCs w:val="22"/>
        </w:rPr>
        <w:t xml:space="preserve"> front-end closure</w:t>
      </w:r>
      <w:r>
        <w:rPr>
          <w:rFonts w:ascii="Garamond" w:hAnsi="Garamond"/>
          <w:sz w:val="22"/>
          <w:szCs w:val="22"/>
        </w:rPr>
        <w:t xml:space="preserve"> </w:t>
      </w:r>
      <w:r w:rsidRPr="006D1917">
        <w:rPr>
          <w:rFonts w:ascii="Garamond" w:hAnsi="Garamond"/>
          <w:sz w:val="22"/>
          <w:szCs w:val="22"/>
        </w:rPr>
        <w:t>on stocks across these systems.</w:t>
      </w:r>
    </w:p>
    <w:p w14:paraId="01CE03EB" w14:textId="77777777" w:rsidR="003610A6" w:rsidRDefault="003610A6" w:rsidP="00310A9F">
      <w:pPr>
        <w:pStyle w:val="whitespace-normal"/>
        <w:spacing w:line="480" w:lineRule="auto"/>
        <w:ind w:firstLine="720"/>
        <w:rPr>
          <w:rFonts w:ascii="Garamond" w:hAnsi="Garamond"/>
          <w:sz w:val="22"/>
          <w:szCs w:val="22"/>
        </w:rPr>
      </w:pPr>
    </w:p>
    <w:p w14:paraId="29FC0768" w14:textId="77777777" w:rsidR="007072E7" w:rsidRDefault="007072E7" w:rsidP="000566CD">
      <w:pPr>
        <w:pStyle w:val="whitespace-normal"/>
        <w:spacing w:line="480" w:lineRule="auto"/>
        <w:ind w:firstLine="720"/>
        <w:rPr>
          <w:rFonts w:ascii="Garamond" w:hAnsi="Garamond"/>
          <w:sz w:val="22"/>
          <w:szCs w:val="22"/>
        </w:rPr>
      </w:pPr>
    </w:p>
    <w:p w14:paraId="75B1D681" w14:textId="77777777" w:rsidR="000566CD" w:rsidRDefault="000566CD" w:rsidP="000566CD">
      <w:pPr>
        <w:pStyle w:val="whitespace-normal"/>
        <w:spacing w:line="480" w:lineRule="auto"/>
        <w:ind w:firstLine="720"/>
        <w:rPr>
          <w:rFonts w:ascii="Garamond" w:hAnsi="Garamond"/>
          <w:sz w:val="22"/>
          <w:szCs w:val="22"/>
        </w:rPr>
      </w:pPr>
    </w:p>
    <w:p w14:paraId="145AE99D" w14:textId="77777777" w:rsidR="000566CD" w:rsidRDefault="000566CD" w:rsidP="00966E61">
      <w:pPr>
        <w:pStyle w:val="whitespace-normal"/>
        <w:spacing w:line="480" w:lineRule="auto"/>
        <w:ind w:firstLine="720"/>
        <w:rPr>
          <w:rFonts w:ascii="Garamond" w:hAnsi="Garamond"/>
          <w:sz w:val="22"/>
          <w:szCs w:val="22"/>
        </w:rPr>
      </w:pPr>
    </w:p>
    <w:p w14:paraId="651D3A1D" w14:textId="2A59DFB2" w:rsidR="008D1422" w:rsidRPr="00310A9F" w:rsidRDefault="008D1422" w:rsidP="00310A9F">
      <w:pPr>
        <w:pStyle w:val="whitespace-normal"/>
        <w:spacing w:line="480" w:lineRule="auto"/>
        <w:rPr>
          <w:rFonts w:ascii="Garamond" w:hAnsi="Garamond"/>
          <w:sz w:val="22"/>
          <w:szCs w:val="22"/>
        </w:rPr>
      </w:pPr>
    </w:p>
    <w:sectPr w:rsidR="008D1422" w:rsidRPr="00310A9F" w:rsidSect="004712C9">
      <w:footerReference w:type="even" r:id="rId12"/>
      <w:footerReference w:type="default" r:id="rId13"/>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Benjamin J. Makhlouf" w:date="2025-07-26T11:23:00Z" w:initials="b">
    <w:p w14:paraId="545E12D6" w14:textId="77777777" w:rsidR="000F3B6C" w:rsidRDefault="000F3B6C" w:rsidP="000F3B6C">
      <w:r>
        <w:rPr>
          <w:rStyle w:val="CommentReference"/>
        </w:rPr>
        <w:annotationRef/>
      </w:r>
      <w:r>
        <w:rPr>
          <w:sz w:val="20"/>
          <w:szCs w:val="20"/>
        </w:rPr>
        <w:t xml:space="preserve">Thoughts on others to add? </w:t>
      </w:r>
    </w:p>
  </w:comment>
  <w:comment w:id="1" w:author="bmak29" w:date="2025-07-29T18:17:00Z" w:initials="b">
    <w:p w14:paraId="7B9E6931" w14:textId="77777777" w:rsidR="00C50332" w:rsidRDefault="00C50332" w:rsidP="00C50332">
      <w:r>
        <w:rPr>
          <w:rStyle w:val="CommentReference"/>
        </w:rPr>
        <w:annotationRef/>
      </w:r>
      <w:r>
        <w:rPr>
          <w:sz w:val="20"/>
          <w:szCs w:val="20"/>
        </w:rPr>
        <w:t>Other than the Eek?</w:t>
      </w:r>
    </w:p>
  </w:comment>
  <w:comment w:id="10" w:author="Benjamin J. Makhlouf" w:date="2025-07-28T07:41:00Z" w:initials="BM">
    <w:p w14:paraId="317DFEBA" w14:textId="77777777" w:rsidR="00C50332" w:rsidRDefault="009C079F" w:rsidP="00C50332">
      <w:r>
        <w:rPr>
          <w:rStyle w:val="CommentReference"/>
        </w:rPr>
        <w:annotationRef/>
      </w:r>
      <w:r w:rsidR="00C50332">
        <w:rPr>
          <w:sz w:val="20"/>
          <w:szCs w:val="20"/>
        </w:rPr>
        <w:t xml:space="preserve">Since this is published in french et al., should it not be included as a figure? </w:t>
      </w:r>
    </w:p>
  </w:comment>
  <w:comment w:id="11" w:author="Benjamin J. Makhlouf" w:date="2025-07-28T07:42:00Z" w:initials="BM">
    <w:p w14:paraId="05C4AF8C" w14:textId="70B0AC0D" w:rsidR="009C079F" w:rsidRDefault="009C079F" w:rsidP="009C079F">
      <w:pPr>
        <w:pStyle w:val="CommentText"/>
      </w:pPr>
      <w:r>
        <w:rPr>
          <w:rStyle w:val="CommentReference"/>
        </w:rPr>
        <w:annotationRef/>
      </w:r>
      <w:r>
        <w:t xml:space="preserve">This is in one of Sean’s papers but I cannot find it </w:t>
      </w:r>
    </w:p>
  </w:comment>
  <w:comment w:id="12" w:author="Benjamin J. Makhlouf" w:date="2025-07-30T08:26:00Z" w:initials="b">
    <w:p w14:paraId="78D2F929" w14:textId="77777777" w:rsidR="00EF730C" w:rsidRDefault="00EF730C" w:rsidP="00EF730C">
      <w:r>
        <w:rPr>
          <w:rStyle w:val="CommentReference"/>
        </w:rPr>
        <w:annotationRef/>
      </w:r>
      <w:r>
        <w:rPr>
          <w:sz w:val="20"/>
          <w:szCs w:val="20"/>
        </w:rPr>
        <w:t>We run into the same problem as the last paper where it is very unclear how this habitat prior is made (other than shutting off the eek). I can reasonably assume it's the same as the Yukon</w:t>
      </w:r>
    </w:p>
  </w:comment>
  <w:comment w:id="14" w:author="Benjamin J. Makhlouf" w:date="2025-07-30T10:53:00Z" w:initials="b">
    <w:p w14:paraId="1EF3F5E1" w14:textId="77777777" w:rsidR="00B27EC5" w:rsidRDefault="00B27EC5" w:rsidP="00B27EC5">
      <w:r>
        <w:rPr>
          <w:rStyle w:val="CommentReference"/>
        </w:rPr>
        <w:annotationRef/>
      </w:r>
      <w:r>
        <w:rPr>
          <w:sz w:val="20"/>
          <w:szCs w:val="20"/>
        </w:rPr>
        <w:t>The map we used to pull these rivers is on an adfg web page but I cant track it to a publication</w:t>
      </w:r>
    </w:p>
  </w:comment>
  <w:comment w:id="17" w:author="Daniel Schindler" w:date="2025-06-27T11:54:00Z" w:initials="DS">
    <w:p w14:paraId="506CDC99" w14:textId="77777777" w:rsidR="003610A6" w:rsidRDefault="003610A6" w:rsidP="003610A6">
      <w:pPr>
        <w:pStyle w:val="CommentText"/>
      </w:pPr>
      <w:r>
        <w:rPr>
          <w:rStyle w:val="CommentReference"/>
        </w:rPr>
        <w:annotationRef/>
      </w:r>
      <w:r>
        <w:t>We should try to track down that ADF&amp;G tech report that described their telemetry results. Jordan Head was a co-author. Zach Liller would have been as well, I think.</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45E12D6" w15:done="0"/>
  <w15:commentEx w15:paraId="7B9E6931" w15:done="0"/>
  <w15:commentEx w15:paraId="317DFEBA" w15:done="0"/>
  <w15:commentEx w15:paraId="05C4AF8C" w15:done="0"/>
  <w15:commentEx w15:paraId="78D2F929" w15:done="0"/>
  <w15:commentEx w15:paraId="1EF3F5E1" w15:done="0"/>
  <w15:commentEx w15:paraId="506CDC9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AF9D5BC" w16cex:dateUtc="2025-07-26T18:23:00Z"/>
  <w16cex:commentExtensible w16cex:durableId="02BD22AA" w16cex:dateUtc="2025-07-30T01:17:00Z"/>
  <w16cex:commentExtensible w16cex:durableId="6C95C996" w16cex:dateUtc="2025-07-28T14:41:00Z"/>
  <w16cex:commentExtensible w16cex:durableId="3CAE4ABD" w16cex:dateUtc="2025-07-28T14:42:00Z"/>
  <w16cex:commentExtensible w16cex:durableId="1D6CE52A" w16cex:dateUtc="2025-07-30T15:26:00Z"/>
  <w16cex:commentExtensible w16cex:durableId="4D2F7D90" w16cex:dateUtc="2025-07-30T17:53:00Z"/>
  <w16cex:commentExtensible w16cex:durableId="08B9BEA6" w16cex:dateUtc="2025-06-27T19:5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45E12D6" w16cid:durableId="0AF9D5BC"/>
  <w16cid:commentId w16cid:paraId="7B9E6931" w16cid:durableId="02BD22AA"/>
  <w16cid:commentId w16cid:paraId="317DFEBA" w16cid:durableId="6C95C996"/>
  <w16cid:commentId w16cid:paraId="05C4AF8C" w16cid:durableId="3CAE4ABD"/>
  <w16cid:commentId w16cid:paraId="78D2F929" w16cid:durableId="1D6CE52A"/>
  <w16cid:commentId w16cid:paraId="1EF3F5E1" w16cid:durableId="4D2F7D90"/>
  <w16cid:commentId w16cid:paraId="506CDC99" w16cid:durableId="08B9BEA6"/>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C05571" w14:textId="77777777" w:rsidR="00D67C4E" w:rsidRDefault="00D67C4E">
      <w:pPr>
        <w:spacing w:after="0" w:line="240" w:lineRule="auto"/>
      </w:pPr>
      <w:r>
        <w:separator/>
      </w:r>
    </w:p>
  </w:endnote>
  <w:endnote w:type="continuationSeparator" w:id="0">
    <w:p w14:paraId="0E26F081" w14:textId="77777777" w:rsidR="00D67C4E" w:rsidRDefault="00D67C4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Garamond">
    <w:panose1 w:val="02020404030301010803"/>
    <w:charset w:val="00"/>
    <w:family w:val="roman"/>
    <w:pitch w:val="variable"/>
    <w:sig w:usb0="00000287" w:usb1="00000000" w:usb2="00000000" w:usb3="00000000" w:csb0="000000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841923762"/>
      <w:docPartObj>
        <w:docPartGallery w:val="Page Numbers (Bottom of Page)"/>
        <w:docPartUnique/>
      </w:docPartObj>
    </w:sdtPr>
    <w:sdtContent>
      <w:p w14:paraId="0C958265" w14:textId="77777777" w:rsidR="007C2267" w:rsidRDefault="00000000" w:rsidP="009E122C">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5EB824FF" w14:textId="77777777" w:rsidR="007C2267" w:rsidRDefault="007C2267" w:rsidP="005C3605">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730426579"/>
      <w:docPartObj>
        <w:docPartGallery w:val="Page Numbers (Bottom of Page)"/>
        <w:docPartUnique/>
      </w:docPartObj>
    </w:sdtPr>
    <w:sdtContent>
      <w:p w14:paraId="3FD4FB3E" w14:textId="77777777" w:rsidR="007C2267" w:rsidRDefault="00000000" w:rsidP="009E122C">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8B73CCF" w14:textId="77777777" w:rsidR="007C2267" w:rsidRDefault="007C2267" w:rsidP="005C3605">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AC5AD0" w14:textId="77777777" w:rsidR="00D67C4E" w:rsidRDefault="00D67C4E">
      <w:pPr>
        <w:spacing w:after="0" w:line="240" w:lineRule="auto"/>
      </w:pPr>
      <w:r>
        <w:separator/>
      </w:r>
    </w:p>
  </w:footnote>
  <w:footnote w:type="continuationSeparator" w:id="0">
    <w:p w14:paraId="413C058C" w14:textId="77777777" w:rsidR="00D67C4E" w:rsidRDefault="00D67C4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9904CD"/>
    <w:multiLevelType w:val="hybridMultilevel"/>
    <w:tmpl w:val="BC360582"/>
    <w:lvl w:ilvl="0" w:tplc="87E0FF16">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AF3132F"/>
    <w:multiLevelType w:val="hybridMultilevel"/>
    <w:tmpl w:val="96F00CA8"/>
    <w:lvl w:ilvl="0" w:tplc="9FEE0D1E">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0294DD3"/>
    <w:multiLevelType w:val="hybridMultilevel"/>
    <w:tmpl w:val="C694996A"/>
    <w:lvl w:ilvl="0" w:tplc="72709C6E">
      <w:numFmt w:val="bullet"/>
      <w:lvlText w:val="-"/>
      <w:lvlJc w:val="left"/>
      <w:pPr>
        <w:ind w:left="720" w:hanging="360"/>
      </w:pPr>
      <w:rPr>
        <w:rFonts w:ascii="Garamond" w:eastAsiaTheme="minorHAnsi" w:hAnsi="Garamon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0B00263"/>
    <w:multiLevelType w:val="hybridMultilevel"/>
    <w:tmpl w:val="33AA7B10"/>
    <w:lvl w:ilvl="0" w:tplc="43127796">
      <w:numFmt w:val="bullet"/>
      <w:lvlText w:val="-"/>
      <w:lvlJc w:val="left"/>
      <w:pPr>
        <w:ind w:left="720" w:hanging="360"/>
      </w:pPr>
      <w:rPr>
        <w:rFonts w:ascii="Garamond" w:eastAsia="Times New Roman" w:hAnsi="Garamond"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47A61CC"/>
    <w:multiLevelType w:val="hybridMultilevel"/>
    <w:tmpl w:val="A920D5FA"/>
    <w:lvl w:ilvl="0" w:tplc="77FC5AA4">
      <w:numFmt w:val="bullet"/>
      <w:lvlText w:val="-"/>
      <w:lvlJc w:val="left"/>
      <w:pPr>
        <w:ind w:left="720" w:hanging="360"/>
      </w:pPr>
      <w:rPr>
        <w:rFonts w:ascii="Garamond" w:eastAsiaTheme="minorHAnsi" w:hAnsi="Garamon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17253A8"/>
    <w:multiLevelType w:val="hybridMultilevel"/>
    <w:tmpl w:val="E7E8395C"/>
    <w:lvl w:ilvl="0" w:tplc="87A66DAC">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5BC65EB"/>
    <w:multiLevelType w:val="hybridMultilevel"/>
    <w:tmpl w:val="26B2BF6A"/>
    <w:lvl w:ilvl="0" w:tplc="6CDCC6A4">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C333D4F"/>
    <w:multiLevelType w:val="hybridMultilevel"/>
    <w:tmpl w:val="234C80F4"/>
    <w:lvl w:ilvl="0" w:tplc="BF06EC84">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75665541">
    <w:abstractNumId w:val="4"/>
  </w:num>
  <w:num w:numId="2" w16cid:durableId="1353727518">
    <w:abstractNumId w:val="2"/>
  </w:num>
  <w:num w:numId="3" w16cid:durableId="329413611">
    <w:abstractNumId w:val="7"/>
  </w:num>
  <w:num w:numId="4" w16cid:durableId="991065100">
    <w:abstractNumId w:val="5"/>
  </w:num>
  <w:num w:numId="5" w16cid:durableId="1019696258">
    <w:abstractNumId w:val="1"/>
  </w:num>
  <w:num w:numId="6" w16cid:durableId="1265116596">
    <w:abstractNumId w:val="6"/>
  </w:num>
  <w:num w:numId="7" w16cid:durableId="416367737">
    <w:abstractNumId w:val="3"/>
  </w:num>
  <w:num w:numId="8" w16cid:durableId="1863780797">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enjamin J. Makhlouf">
    <w15:presenceInfo w15:providerId="AD" w15:userId="S::bmak29@uw.edu::e2d819b1-db99-41fc-888c-ad60b4d561ad"/>
  </w15:person>
  <w15:person w15:author="bmak29">
    <w15:presenceInfo w15:providerId="AD" w15:userId="S::bmak29@uw.edu::e2d819b1-db99-41fc-888c-ad60b4d561ad"/>
  </w15:person>
  <w15:person w15:author="Daniel Schindler">
    <w15:presenceInfo w15:providerId="AD" w15:userId="S::deschind@uw.edu::638f7977-a89c-40df-b85e-dc804ddb30d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F3448"/>
    <w:rsid w:val="000259EB"/>
    <w:rsid w:val="00033E6D"/>
    <w:rsid w:val="00040237"/>
    <w:rsid w:val="000566CD"/>
    <w:rsid w:val="00060FEB"/>
    <w:rsid w:val="00065DC6"/>
    <w:rsid w:val="00085380"/>
    <w:rsid w:val="000854BE"/>
    <w:rsid w:val="000941AF"/>
    <w:rsid w:val="000979CB"/>
    <w:rsid w:val="000B5639"/>
    <w:rsid w:val="000B7514"/>
    <w:rsid w:val="000C384D"/>
    <w:rsid w:val="000C429D"/>
    <w:rsid w:val="000C6898"/>
    <w:rsid w:val="000D6E8E"/>
    <w:rsid w:val="000F3B6C"/>
    <w:rsid w:val="001028F4"/>
    <w:rsid w:val="00103582"/>
    <w:rsid w:val="00120202"/>
    <w:rsid w:val="00121BC7"/>
    <w:rsid w:val="001269D4"/>
    <w:rsid w:val="00131432"/>
    <w:rsid w:val="0013324E"/>
    <w:rsid w:val="001419E1"/>
    <w:rsid w:val="001430A9"/>
    <w:rsid w:val="00143768"/>
    <w:rsid w:val="0015783A"/>
    <w:rsid w:val="00162958"/>
    <w:rsid w:val="0016395C"/>
    <w:rsid w:val="001679D4"/>
    <w:rsid w:val="00171632"/>
    <w:rsid w:val="001844EB"/>
    <w:rsid w:val="0019169F"/>
    <w:rsid w:val="00197965"/>
    <w:rsid w:val="001F2097"/>
    <w:rsid w:val="0020187E"/>
    <w:rsid w:val="00206F6C"/>
    <w:rsid w:val="002256A0"/>
    <w:rsid w:val="002323C1"/>
    <w:rsid w:val="002549E1"/>
    <w:rsid w:val="0025573D"/>
    <w:rsid w:val="002A3FE3"/>
    <w:rsid w:val="002C1C99"/>
    <w:rsid w:val="002C21B7"/>
    <w:rsid w:val="002D12FE"/>
    <w:rsid w:val="00306D21"/>
    <w:rsid w:val="00310A9F"/>
    <w:rsid w:val="00312FC9"/>
    <w:rsid w:val="00313CB8"/>
    <w:rsid w:val="003442B4"/>
    <w:rsid w:val="003508BF"/>
    <w:rsid w:val="00354EC0"/>
    <w:rsid w:val="003610A6"/>
    <w:rsid w:val="003642FE"/>
    <w:rsid w:val="00367B6D"/>
    <w:rsid w:val="00371AC6"/>
    <w:rsid w:val="00374558"/>
    <w:rsid w:val="00383B9A"/>
    <w:rsid w:val="00385F28"/>
    <w:rsid w:val="0039598A"/>
    <w:rsid w:val="0039711B"/>
    <w:rsid w:val="00397FF6"/>
    <w:rsid w:val="003A1EB0"/>
    <w:rsid w:val="003A53E2"/>
    <w:rsid w:val="003A58F7"/>
    <w:rsid w:val="003B0A46"/>
    <w:rsid w:val="003D0402"/>
    <w:rsid w:val="003D30C7"/>
    <w:rsid w:val="00401EE2"/>
    <w:rsid w:val="004025DD"/>
    <w:rsid w:val="0040355B"/>
    <w:rsid w:val="00416B2E"/>
    <w:rsid w:val="004261EE"/>
    <w:rsid w:val="00442120"/>
    <w:rsid w:val="00464971"/>
    <w:rsid w:val="00470C70"/>
    <w:rsid w:val="004712C9"/>
    <w:rsid w:val="00477415"/>
    <w:rsid w:val="00481088"/>
    <w:rsid w:val="00491C12"/>
    <w:rsid w:val="004A0003"/>
    <w:rsid w:val="004A072A"/>
    <w:rsid w:val="004A6CF4"/>
    <w:rsid w:val="004C2230"/>
    <w:rsid w:val="004D6874"/>
    <w:rsid w:val="004E3592"/>
    <w:rsid w:val="004F04C2"/>
    <w:rsid w:val="00505979"/>
    <w:rsid w:val="00517577"/>
    <w:rsid w:val="005229F0"/>
    <w:rsid w:val="00530411"/>
    <w:rsid w:val="00536536"/>
    <w:rsid w:val="00537343"/>
    <w:rsid w:val="005416E6"/>
    <w:rsid w:val="00557194"/>
    <w:rsid w:val="005805EB"/>
    <w:rsid w:val="005858F1"/>
    <w:rsid w:val="0059082A"/>
    <w:rsid w:val="005A53C9"/>
    <w:rsid w:val="005B3AB3"/>
    <w:rsid w:val="005C58CB"/>
    <w:rsid w:val="005E6A59"/>
    <w:rsid w:val="005F3448"/>
    <w:rsid w:val="006101C3"/>
    <w:rsid w:val="00617B67"/>
    <w:rsid w:val="00625357"/>
    <w:rsid w:val="00631AAA"/>
    <w:rsid w:val="0063694A"/>
    <w:rsid w:val="00653AE8"/>
    <w:rsid w:val="006617C0"/>
    <w:rsid w:val="00663FC6"/>
    <w:rsid w:val="006762C3"/>
    <w:rsid w:val="00676513"/>
    <w:rsid w:val="00682611"/>
    <w:rsid w:val="00693A39"/>
    <w:rsid w:val="006B418B"/>
    <w:rsid w:val="006D6AEE"/>
    <w:rsid w:val="006E5473"/>
    <w:rsid w:val="007072E7"/>
    <w:rsid w:val="00711069"/>
    <w:rsid w:val="00717B12"/>
    <w:rsid w:val="00724D0B"/>
    <w:rsid w:val="007266BC"/>
    <w:rsid w:val="007555A4"/>
    <w:rsid w:val="007561E4"/>
    <w:rsid w:val="0076034D"/>
    <w:rsid w:val="00780305"/>
    <w:rsid w:val="007A1D0A"/>
    <w:rsid w:val="007B17D6"/>
    <w:rsid w:val="007C2267"/>
    <w:rsid w:val="007C6D95"/>
    <w:rsid w:val="007D1726"/>
    <w:rsid w:val="007F4A77"/>
    <w:rsid w:val="007F747D"/>
    <w:rsid w:val="007F75D5"/>
    <w:rsid w:val="00807290"/>
    <w:rsid w:val="00811477"/>
    <w:rsid w:val="00816626"/>
    <w:rsid w:val="00856168"/>
    <w:rsid w:val="00863C27"/>
    <w:rsid w:val="0087708A"/>
    <w:rsid w:val="0088327B"/>
    <w:rsid w:val="008872F5"/>
    <w:rsid w:val="00895FC7"/>
    <w:rsid w:val="008C378F"/>
    <w:rsid w:val="008D1422"/>
    <w:rsid w:val="008E3428"/>
    <w:rsid w:val="008F2118"/>
    <w:rsid w:val="0090107F"/>
    <w:rsid w:val="00907410"/>
    <w:rsid w:val="009076B8"/>
    <w:rsid w:val="009110AF"/>
    <w:rsid w:val="00922435"/>
    <w:rsid w:val="00932FBC"/>
    <w:rsid w:val="00966E61"/>
    <w:rsid w:val="00967DC4"/>
    <w:rsid w:val="0097261B"/>
    <w:rsid w:val="0097448D"/>
    <w:rsid w:val="009833DB"/>
    <w:rsid w:val="00983880"/>
    <w:rsid w:val="00986BAC"/>
    <w:rsid w:val="009879FD"/>
    <w:rsid w:val="009C079F"/>
    <w:rsid w:val="009C308C"/>
    <w:rsid w:val="009C42BD"/>
    <w:rsid w:val="009D66DA"/>
    <w:rsid w:val="009F3E36"/>
    <w:rsid w:val="009F7AF2"/>
    <w:rsid w:val="00A005B7"/>
    <w:rsid w:val="00A06CC6"/>
    <w:rsid w:val="00A13EDE"/>
    <w:rsid w:val="00A25870"/>
    <w:rsid w:val="00A26A50"/>
    <w:rsid w:val="00A36D27"/>
    <w:rsid w:val="00A44879"/>
    <w:rsid w:val="00A4712A"/>
    <w:rsid w:val="00AB074C"/>
    <w:rsid w:val="00AD1910"/>
    <w:rsid w:val="00AD484F"/>
    <w:rsid w:val="00AD7B82"/>
    <w:rsid w:val="00AF7B74"/>
    <w:rsid w:val="00B07AE4"/>
    <w:rsid w:val="00B13E93"/>
    <w:rsid w:val="00B27EC5"/>
    <w:rsid w:val="00B30111"/>
    <w:rsid w:val="00B40601"/>
    <w:rsid w:val="00B50583"/>
    <w:rsid w:val="00B74D8D"/>
    <w:rsid w:val="00B923D2"/>
    <w:rsid w:val="00BB27C2"/>
    <w:rsid w:val="00BB381E"/>
    <w:rsid w:val="00BF0C62"/>
    <w:rsid w:val="00C10AF2"/>
    <w:rsid w:val="00C31CB4"/>
    <w:rsid w:val="00C32D99"/>
    <w:rsid w:val="00C50332"/>
    <w:rsid w:val="00C50733"/>
    <w:rsid w:val="00C6603A"/>
    <w:rsid w:val="00C67240"/>
    <w:rsid w:val="00C83BF2"/>
    <w:rsid w:val="00C93DD5"/>
    <w:rsid w:val="00C95028"/>
    <w:rsid w:val="00C9741A"/>
    <w:rsid w:val="00C97C2C"/>
    <w:rsid w:val="00CA262D"/>
    <w:rsid w:val="00CA7EEC"/>
    <w:rsid w:val="00CB3C24"/>
    <w:rsid w:val="00CD3038"/>
    <w:rsid w:val="00CF03CC"/>
    <w:rsid w:val="00CF45A1"/>
    <w:rsid w:val="00D0546A"/>
    <w:rsid w:val="00D105F1"/>
    <w:rsid w:val="00D149EB"/>
    <w:rsid w:val="00D30A4B"/>
    <w:rsid w:val="00D43F43"/>
    <w:rsid w:val="00D53B0E"/>
    <w:rsid w:val="00D625F2"/>
    <w:rsid w:val="00D67C4E"/>
    <w:rsid w:val="00DA7E79"/>
    <w:rsid w:val="00DC75BB"/>
    <w:rsid w:val="00DD0E6E"/>
    <w:rsid w:val="00DD7574"/>
    <w:rsid w:val="00DE33E0"/>
    <w:rsid w:val="00E10F4A"/>
    <w:rsid w:val="00E20CE9"/>
    <w:rsid w:val="00E212FE"/>
    <w:rsid w:val="00E355B2"/>
    <w:rsid w:val="00E35FA9"/>
    <w:rsid w:val="00E454BB"/>
    <w:rsid w:val="00E671EF"/>
    <w:rsid w:val="00E82AC1"/>
    <w:rsid w:val="00E86789"/>
    <w:rsid w:val="00E94ABC"/>
    <w:rsid w:val="00EB2EDF"/>
    <w:rsid w:val="00EE5153"/>
    <w:rsid w:val="00EE55A4"/>
    <w:rsid w:val="00EF1756"/>
    <w:rsid w:val="00EF5ED9"/>
    <w:rsid w:val="00EF6581"/>
    <w:rsid w:val="00EF730C"/>
    <w:rsid w:val="00F02538"/>
    <w:rsid w:val="00F06D5A"/>
    <w:rsid w:val="00F335F2"/>
    <w:rsid w:val="00F3538C"/>
    <w:rsid w:val="00F41FAF"/>
    <w:rsid w:val="00F51DB9"/>
    <w:rsid w:val="00F552CD"/>
    <w:rsid w:val="00F55974"/>
    <w:rsid w:val="00FA2074"/>
    <w:rsid w:val="00FA738D"/>
    <w:rsid w:val="00FB33D7"/>
    <w:rsid w:val="00FB3E37"/>
    <w:rsid w:val="00FC42A0"/>
    <w:rsid w:val="00FD1F7F"/>
    <w:rsid w:val="00FD6CE5"/>
    <w:rsid w:val="00FE3CBB"/>
    <w:rsid w:val="00FE3D0B"/>
    <w:rsid w:val="00FF1407"/>
    <w:rsid w:val="00FF19B1"/>
    <w:rsid w:val="00FF6E5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167230"/>
  <w15:chartTrackingRefBased/>
  <w15:docId w15:val="{E45E8F7C-A7EC-9441-8FBE-5462EB3F37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712C9"/>
  </w:style>
  <w:style w:type="paragraph" w:styleId="Heading1">
    <w:name w:val="heading 1"/>
    <w:basedOn w:val="Normal"/>
    <w:next w:val="Normal"/>
    <w:link w:val="Heading1Char"/>
    <w:uiPriority w:val="9"/>
    <w:qFormat/>
    <w:rsid w:val="005F344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F344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F344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F344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F344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F344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F344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F344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F344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F344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F344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F344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F344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F344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F344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F344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F344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F3448"/>
    <w:rPr>
      <w:rFonts w:eastAsiaTheme="majorEastAsia" w:cstheme="majorBidi"/>
      <w:color w:val="272727" w:themeColor="text1" w:themeTint="D8"/>
    </w:rPr>
  </w:style>
  <w:style w:type="paragraph" w:styleId="Title">
    <w:name w:val="Title"/>
    <w:basedOn w:val="Normal"/>
    <w:next w:val="Normal"/>
    <w:link w:val="TitleChar"/>
    <w:uiPriority w:val="10"/>
    <w:qFormat/>
    <w:rsid w:val="005F344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F344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F344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F344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F3448"/>
    <w:pPr>
      <w:spacing w:before="160"/>
      <w:jc w:val="center"/>
    </w:pPr>
    <w:rPr>
      <w:i/>
      <w:iCs/>
      <w:color w:val="404040" w:themeColor="text1" w:themeTint="BF"/>
    </w:rPr>
  </w:style>
  <w:style w:type="character" w:customStyle="1" w:styleId="QuoteChar">
    <w:name w:val="Quote Char"/>
    <w:basedOn w:val="DefaultParagraphFont"/>
    <w:link w:val="Quote"/>
    <w:uiPriority w:val="29"/>
    <w:rsid w:val="005F3448"/>
    <w:rPr>
      <w:i/>
      <w:iCs/>
      <w:color w:val="404040" w:themeColor="text1" w:themeTint="BF"/>
    </w:rPr>
  </w:style>
  <w:style w:type="paragraph" w:styleId="ListParagraph">
    <w:name w:val="List Paragraph"/>
    <w:basedOn w:val="Normal"/>
    <w:uiPriority w:val="34"/>
    <w:qFormat/>
    <w:rsid w:val="005F3448"/>
    <w:pPr>
      <w:ind w:left="720"/>
      <w:contextualSpacing/>
    </w:pPr>
  </w:style>
  <w:style w:type="character" w:styleId="IntenseEmphasis">
    <w:name w:val="Intense Emphasis"/>
    <w:basedOn w:val="DefaultParagraphFont"/>
    <w:uiPriority w:val="21"/>
    <w:qFormat/>
    <w:rsid w:val="005F3448"/>
    <w:rPr>
      <w:i/>
      <w:iCs/>
      <w:color w:val="0F4761" w:themeColor="accent1" w:themeShade="BF"/>
    </w:rPr>
  </w:style>
  <w:style w:type="paragraph" w:styleId="IntenseQuote">
    <w:name w:val="Intense Quote"/>
    <w:basedOn w:val="Normal"/>
    <w:next w:val="Normal"/>
    <w:link w:val="IntenseQuoteChar"/>
    <w:uiPriority w:val="30"/>
    <w:qFormat/>
    <w:rsid w:val="005F344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F3448"/>
    <w:rPr>
      <w:i/>
      <w:iCs/>
      <w:color w:val="0F4761" w:themeColor="accent1" w:themeShade="BF"/>
    </w:rPr>
  </w:style>
  <w:style w:type="character" w:styleId="IntenseReference">
    <w:name w:val="Intense Reference"/>
    <w:basedOn w:val="DefaultParagraphFont"/>
    <w:uiPriority w:val="32"/>
    <w:qFormat/>
    <w:rsid w:val="005F3448"/>
    <w:rPr>
      <w:b/>
      <w:bCs/>
      <w:smallCaps/>
      <w:color w:val="0F4761" w:themeColor="accent1" w:themeShade="BF"/>
      <w:spacing w:val="5"/>
    </w:rPr>
  </w:style>
  <w:style w:type="character" w:styleId="HTMLCode">
    <w:name w:val="HTML Code"/>
    <w:basedOn w:val="DefaultParagraphFont"/>
    <w:uiPriority w:val="99"/>
    <w:semiHidden/>
    <w:unhideWhenUsed/>
    <w:rsid w:val="00986BAC"/>
    <w:rPr>
      <w:rFonts w:ascii="Courier New" w:eastAsia="Times New Roman" w:hAnsi="Courier New" w:cs="Courier New"/>
      <w:sz w:val="20"/>
      <w:szCs w:val="20"/>
    </w:rPr>
  </w:style>
  <w:style w:type="paragraph" w:styleId="NormalWeb">
    <w:name w:val="Normal (Web)"/>
    <w:basedOn w:val="Normal"/>
    <w:uiPriority w:val="99"/>
    <w:unhideWhenUsed/>
    <w:rsid w:val="00033E6D"/>
    <w:pPr>
      <w:spacing w:before="100" w:beforeAutospacing="1" w:after="100" w:afterAutospacing="1" w:line="240" w:lineRule="auto"/>
    </w:pPr>
    <w:rPr>
      <w:rFonts w:ascii="Times New Roman" w:eastAsia="Times New Roman" w:hAnsi="Times New Roman" w:cs="Times New Roman"/>
      <w:kern w:val="0"/>
      <w14:ligatures w14:val="none"/>
    </w:rPr>
  </w:style>
  <w:style w:type="paragraph" w:customStyle="1" w:styleId="whitespace-normal">
    <w:name w:val="whitespace-normal"/>
    <w:basedOn w:val="Normal"/>
    <w:rsid w:val="004712C9"/>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4712C9"/>
    <w:rPr>
      <w:b/>
      <w:bCs/>
    </w:rPr>
  </w:style>
  <w:style w:type="character" w:customStyle="1" w:styleId="katex-mathml">
    <w:name w:val="katex-mathml"/>
    <w:basedOn w:val="DefaultParagraphFont"/>
    <w:rsid w:val="004712C9"/>
  </w:style>
  <w:style w:type="character" w:customStyle="1" w:styleId="mord">
    <w:name w:val="mord"/>
    <w:basedOn w:val="DefaultParagraphFont"/>
    <w:rsid w:val="004712C9"/>
  </w:style>
  <w:style w:type="paragraph" w:styleId="Bibliography">
    <w:name w:val="Bibliography"/>
    <w:basedOn w:val="Normal"/>
    <w:next w:val="Normal"/>
    <w:uiPriority w:val="37"/>
    <w:unhideWhenUsed/>
    <w:rsid w:val="004712C9"/>
    <w:pPr>
      <w:spacing w:after="0" w:line="480" w:lineRule="auto"/>
      <w:ind w:left="720" w:hanging="720"/>
    </w:pPr>
  </w:style>
  <w:style w:type="paragraph" w:styleId="Footer">
    <w:name w:val="footer"/>
    <w:basedOn w:val="Normal"/>
    <w:link w:val="FooterChar"/>
    <w:uiPriority w:val="99"/>
    <w:unhideWhenUsed/>
    <w:rsid w:val="004712C9"/>
    <w:pPr>
      <w:tabs>
        <w:tab w:val="center" w:pos="4680"/>
        <w:tab w:val="right" w:pos="9360"/>
      </w:tabs>
      <w:spacing w:after="0" w:line="240" w:lineRule="auto"/>
    </w:pPr>
  </w:style>
  <w:style w:type="character" w:customStyle="1" w:styleId="FooterChar">
    <w:name w:val="Footer Char"/>
    <w:basedOn w:val="DefaultParagraphFont"/>
    <w:link w:val="Footer"/>
    <w:uiPriority w:val="99"/>
    <w:rsid w:val="004712C9"/>
  </w:style>
  <w:style w:type="character" w:styleId="PageNumber">
    <w:name w:val="page number"/>
    <w:basedOn w:val="DefaultParagraphFont"/>
    <w:uiPriority w:val="99"/>
    <w:semiHidden/>
    <w:unhideWhenUsed/>
    <w:rsid w:val="004712C9"/>
  </w:style>
  <w:style w:type="character" w:styleId="LineNumber">
    <w:name w:val="line number"/>
    <w:basedOn w:val="DefaultParagraphFont"/>
    <w:uiPriority w:val="99"/>
    <w:semiHidden/>
    <w:unhideWhenUsed/>
    <w:rsid w:val="004712C9"/>
  </w:style>
  <w:style w:type="character" w:styleId="CommentReference">
    <w:name w:val="annotation reference"/>
    <w:basedOn w:val="DefaultParagraphFont"/>
    <w:uiPriority w:val="99"/>
    <w:semiHidden/>
    <w:unhideWhenUsed/>
    <w:rsid w:val="002A3FE3"/>
    <w:rPr>
      <w:sz w:val="16"/>
      <w:szCs w:val="16"/>
    </w:rPr>
  </w:style>
  <w:style w:type="paragraph" w:styleId="CommentText">
    <w:name w:val="annotation text"/>
    <w:basedOn w:val="Normal"/>
    <w:link w:val="CommentTextChar"/>
    <w:uiPriority w:val="99"/>
    <w:unhideWhenUsed/>
    <w:rsid w:val="002A3FE3"/>
    <w:pPr>
      <w:spacing w:line="240" w:lineRule="auto"/>
    </w:pPr>
    <w:rPr>
      <w:sz w:val="20"/>
      <w:szCs w:val="20"/>
    </w:rPr>
  </w:style>
  <w:style w:type="character" w:customStyle="1" w:styleId="CommentTextChar">
    <w:name w:val="Comment Text Char"/>
    <w:basedOn w:val="DefaultParagraphFont"/>
    <w:link w:val="CommentText"/>
    <w:uiPriority w:val="99"/>
    <w:rsid w:val="002A3FE3"/>
    <w:rPr>
      <w:sz w:val="20"/>
      <w:szCs w:val="20"/>
    </w:rPr>
  </w:style>
  <w:style w:type="paragraph" w:styleId="CommentSubject">
    <w:name w:val="annotation subject"/>
    <w:basedOn w:val="CommentText"/>
    <w:next w:val="CommentText"/>
    <w:link w:val="CommentSubjectChar"/>
    <w:uiPriority w:val="99"/>
    <w:semiHidden/>
    <w:unhideWhenUsed/>
    <w:rsid w:val="002A3FE3"/>
    <w:rPr>
      <w:b/>
      <w:bCs/>
    </w:rPr>
  </w:style>
  <w:style w:type="character" w:customStyle="1" w:styleId="CommentSubjectChar">
    <w:name w:val="Comment Subject Char"/>
    <w:basedOn w:val="CommentTextChar"/>
    <w:link w:val="CommentSubject"/>
    <w:uiPriority w:val="99"/>
    <w:semiHidden/>
    <w:rsid w:val="002A3FE3"/>
    <w:rPr>
      <w:b/>
      <w:bCs/>
      <w:sz w:val="20"/>
      <w:szCs w:val="20"/>
    </w:rPr>
  </w:style>
  <w:style w:type="paragraph" w:styleId="Revision">
    <w:name w:val="Revision"/>
    <w:hidden/>
    <w:uiPriority w:val="99"/>
    <w:semiHidden/>
    <w:rsid w:val="00F552CD"/>
    <w:pPr>
      <w:spacing w:after="0" w:line="240" w:lineRule="auto"/>
    </w:pPr>
  </w:style>
  <w:style w:type="character" w:customStyle="1" w:styleId="inline-flex">
    <w:name w:val="inline-flex"/>
    <w:basedOn w:val="DefaultParagraphFont"/>
    <w:rsid w:val="00DC75BB"/>
  </w:style>
  <w:style w:type="character" w:customStyle="1" w:styleId="text-nowrap">
    <w:name w:val="text-nowrap"/>
    <w:basedOn w:val="DefaultParagraphFont"/>
    <w:rsid w:val="00DC75BB"/>
  </w:style>
  <w:style w:type="paragraph" w:styleId="Header">
    <w:name w:val="header"/>
    <w:basedOn w:val="Normal"/>
    <w:link w:val="HeaderChar"/>
    <w:uiPriority w:val="99"/>
    <w:unhideWhenUsed/>
    <w:rsid w:val="00932FBC"/>
    <w:pPr>
      <w:tabs>
        <w:tab w:val="center" w:pos="4680"/>
        <w:tab w:val="right" w:pos="9360"/>
      </w:tabs>
      <w:spacing w:after="0" w:line="240" w:lineRule="auto"/>
    </w:pPr>
  </w:style>
  <w:style w:type="character" w:customStyle="1" w:styleId="HeaderChar">
    <w:name w:val="Header Char"/>
    <w:basedOn w:val="DefaultParagraphFont"/>
    <w:link w:val="Header"/>
    <w:uiPriority w:val="99"/>
    <w:rsid w:val="00932FBC"/>
  </w:style>
  <w:style w:type="character" w:styleId="Hyperlink">
    <w:name w:val="Hyperlink"/>
    <w:basedOn w:val="DefaultParagraphFont"/>
    <w:uiPriority w:val="99"/>
    <w:unhideWhenUsed/>
    <w:rsid w:val="005858F1"/>
    <w:rPr>
      <w:color w:val="467886" w:themeColor="hyperlink"/>
      <w:u w:val="single"/>
    </w:rPr>
  </w:style>
  <w:style w:type="character" w:styleId="UnresolvedMention">
    <w:name w:val="Unresolved Mention"/>
    <w:basedOn w:val="DefaultParagraphFont"/>
    <w:uiPriority w:val="99"/>
    <w:semiHidden/>
    <w:unhideWhenUsed/>
    <w:rsid w:val="005858F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0392391">
      <w:bodyDiv w:val="1"/>
      <w:marLeft w:val="0"/>
      <w:marRight w:val="0"/>
      <w:marTop w:val="0"/>
      <w:marBottom w:val="0"/>
      <w:divBdr>
        <w:top w:val="none" w:sz="0" w:space="0" w:color="auto"/>
        <w:left w:val="none" w:sz="0" w:space="0" w:color="auto"/>
        <w:bottom w:val="none" w:sz="0" w:space="0" w:color="auto"/>
        <w:right w:val="none" w:sz="0" w:space="0" w:color="auto"/>
      </w:divBdr>
    </w:div>
    <w:div w:id="169411185">
      <w:bodyDiv w:val="1"/>
      <w:marLeft w:val="0"/>
      <w:marRight w:val="0"/>
      <w:marTop w:val="0"/>
      <w:marBottom w:val="0"/>
      <w:divBdr>
        <w:top w:val="none" w:sz="0" w:space="0" w:color="auto"/>
        <w:left w:val="none" w:sz="0" w:space="0" w:color="auto"/>
        <w:bottom w:val="none" w:sz="0" w:space="0" w:color="auto"/>
        <w:right w:val="none" w:sz="0" w:space="0" w:color="auto"/>
      </w:divBdr>
      <w:divsChild>
        <w:div w:id="396903172">
          <w:marLeft w:val="0"/>
          <w:marRight w:val="0"/>
          <w:marTop w:val="0"/>
          <w:marBottom w:val="0"/>
          <w:divBdr>
            <w:top w:val="none" w:sz="0" w:space="0" w:color="auto"/>
            <w:left w:val="none" w:sz="0" w:space="0" w:color="auto"/>
            <w:bottom w:val="none" w:sz="0" w:space="0" w:color="auto"/>
            <w:right w:val="none" w:sz="0" w:space="0" w:color="auto"/>
          </w:divBdr>
          <w:divsChild>
            <w:div w:id="863981730">
              <w:marLeft w:val="0"/>
              <w:marRight w:val="0"/>
              <w:marTop w:val="0"/>
              <w:marBottom w:val="0"/>
              <w:divBdr>
                <w:top w:val="none" w:sz="0" w:space="0" w:color="auto"/>
                <w:left w:val="none" w:sz="0" w:space="0" w:color="auto"/>
                <w:bottom w:val="none" w:sz="0" w:space="0" w:color="auto"/>
                <w:right w:val="none" w:sz="0" w:space="0" w:color="auto"/>
              </w:divBdr>
              <w:divsChild>
                <w:div w:id="145821068">
                  <w:marLeft w:val="0"/>
                  <w:marRight w:val="0"/>
                  <w:marTop w:val="0"/>
                  <w:marBottom w:val="0"/>
                  <w:divBdr>
                    <w:top w:val="none" w:sz="0" w:space="0" w:color="auto"/>
                    <w:left w:val="none" w:sz="0" w:space="0" w:color="auto"/>
                    <w:bottom w:val="none" w:sz="0" w:space="0" w:color="auto"/>
                    <w:right w:val="none" w:sz="0" w:space="0" w:color="auto"/>
                  </w:divBdr>
                  <w:divsChild>
                    <w:div w:id="270672772">
                      <w:marLeft w:val="0"/>
                      <w:marRight w:val="0"/>
                      <w:marTop w:val="0"/>
                      <w:marBottom w:val="0"/>
                      <w:divBdr>
                        <w:top w:val="none" w:sz="0" w:space="0" w:color="auto"/>
                        <w:left w:val="none" w:sz="0" w:space="0" w:color="auto"/>
                        <w:bottom w:val="none" w:sz="0" w:space="0" w:color="auto"/>
                        <w:right w:val="none" w:sz="0" w:space="0" w:color="auto"/>
                      </w:divBdr>
                      <w:divsChild>
                        <w:div w:id="907881641">
                          <w:marLeft w:val="0"/>
                          <w:marRight w:val="0"/>
                          <w:marTop w:val="0"/>
                          <w:marBottom w:val="0"/>
                          <w:divBdr>
                            <w:top w:val="none" w:sz="0" w:space="0" w:color="auto"/>
                            <w:left w:val="none" w:sz="0" w:space="0" w:color="auto"/>
                            <w:bottom w:val="none" w:sz="0" w:space="0" w:color="auto"/>
                            <w:right w:val="none" w:sz="0" w:space="0" w:color="auto"/>
                          </w:divBdr>
                          <w:divsChild>
                            <w:div w:id="1816218057">
                              <w:marLeft w:val="0"/>
                              <w:marRight w:val="0"/>
                              <w:marTop w:val="0"/>
                              <w:marBottom w:val="0"/>
                              <w:divBdr>
                                <w:top w:val="none" w:sz="0" w:space="0" w:color="auto"/>
                                <w:left w:val="none" w:sz="0" w:space="0" w:color="auto"/>
                                <w:bottom w:val="none" w:sz="0" w:space="0" w:color="auto"/>
                                <w:right w:val="none" w:sz="0" w:space="0" w:color="auto"/>
                              </w:divBdr>
                              <w:divsChild>
                                <w:div w:id="1354575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2203401">
                          <w:marLeft w:val="0"/>
                          <w:marRight w:val="0"/>
                          <w:marTop w:val="0"/>
                          <w:marBottom w:val="0"/>
                          <w:divBdr>
                            <w:top w:val="none" w:sz="0" w:space="0" w:color="auto"/>
                            <w:left w:val="none" w:sz="0" w:space="0" w:color="auto"/>
                            <w:bottom w:val="none" w:sz="0" w:space="0" w:color="auto"/>
                            <w:right w:val="none" w:sz="0" w:space="0" w:color="auto"/>
                          </w:divBdr>
                          <w:divsChild>
                            <w:div w:id="615065491">
                              <w:marLeft w:val="0"/>
                              <w:marRight w:val="0"/>
                              <w:marTop w:val="0"/>
                              <w:marBottom w:val="0"/>
                              <w:divBdr>
                                <w:top w:val="none" w:sz="0" w:space="0" w:color="auto"/>
                                <w:left w:val="none" w:sz="0" w:space="0" w:color="auto"/>
                                <w:bottom w:val="none" w:sz="0" w:space="0" w:color="auto"/>
                                <w:right w:val="none" w:sz="0" w:space="0" w:color="auto"/>
                              </w:divBdr>
                              <w:divsChild>
                                <w:div w:id="1963072451">
                                  <w:marLeft w:val="0"/>
                                  <w:marRight w:val="0"/>
                                  <w:marTop w:val="0"/>
                                  <w:marBottom w:val="0"/>
                                  <w:divBdr>
                                    <w:top w:val="none" w:sz="0" w:space="0" w:color="auto"/>
                                    <w:left w:val="none" w:sz="0" w:space="0" w:color="auto"/>
                                    <w:bottom w:val="none" w:sz="0" w:space="0" w:color="auto"/>
                                    <w:right w:val="none" w:sz="0" w:space="0" w:color="auto"/>
                                  </w:divBdr>
                                  <w:divsChild>
                                    <w:div w:id="1851482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70294701">
              <w:marLeft w:val="0"/>
              <w:marRight w:val="0"/>
              <w:marTop w:val="0"/>
              <w:marBottom w:val="0"/>
              <w:divBdr>
                <w:top w:val="none" w:sz="0" w:space="0" w:color="auto"/>
                <w:left w:val="none" w:sz="0" w:space="0" w:color="auto"/>
                <w:bottom w:val="none" w:sz="0" w:space="0" w:color="auto"/>
                <w:right w:val="none" w:sz="0" w:space="0" w:color="auto"/>
              </w:divBdr>
              <w:divsChild>
                <w:div w:id="1697384131">
                  <w:marLeft w:val="0"/>
                  <w:marRight w:val="0"/>
                  <w:marTop w:val="0"/>
                  <w:marBottom w:val="0"/>
                  <w:divBdr>
                    <w:top w:val="none" w:sz="0" w:space="0" w:color="auto"/>
                    <w:left w:val="none" w:sz="0" w:space="0" w:color="auto"/>
                    <w:bottom w:val="none" w:sz="0" w:space="0" w:color="auto"/>
                    <w:right w:val="none" w:sz="0" w:space="0" w:color="auto"/>
                  </w:divBdr>
                  <w:divsChild>
                    <w:div w:id="1858345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2854164">
      <w:bodyDiv w:val="1"/>
      <w:marLeft w:val="0"/>
      <w:marRight w:val="0"/>
      <w:marTop w:val="0"/>
      <w:marBottom w:val="0"/>
      <w:divBdr>
        <w:top w:val="none" w:sz="0" w:space="0" w:color="auto"/>
        <w:left w:val="none" w:sz="0" w:space="0" w:color="auto"/>
        <w:bottom w:val="none" w:sz="0" w:space="0" w:color="auto"/>
        <w:right w:val="none" w:sz="0" w:space="0" w:color="auto"/>
      </w:divBdr>
    </w:div>
    <w:div w:id="437679908">
      <w:bodyDiv w:val="1"/>
      <w:marLeft w:val="0"/>
      <w:marRight w:val="0"/>
      <w:marTop w:val="0"/>
      <w:marBottom w:val="0"/>
      <w:divBdr>
        <w:top w:val="none" w:sz="0" w:space="0" w:color="auto"/>
        <w:left w:val="none" w:sz="0" w:space="0" w:color="auto"/>
        <w:bottom w:val="none" w:sz="0" w:space="0" w:color="auto"/>
        <w:right w:val="none" w:sz="0" w:space="0" w:color="auto"/>
      </w:divBdr>
    </w:div>
    <w:div w:id="529995183">
      <w:bodyDiv w:val="1"/>
      <w:marLeft w:val="0"/>
      <w:marRight w:val="0"/>
      <w:marTop w:val="0"/>
      <w:marBottom w:val="0"/>
      <w:divBdr>
        <w:top w:val="none" w:sz="0" w:space="0" w:color="auto"/>
        <w:left w:val="none" w:sz="0" w:space="0" w:color="auto"/>
        <w:bottom w:val="none" w:sz="0" w:space="0" w:color="auto"/>
        <w:right w:val="none" w:sz="0" w:space="0" w:color="auto"/>
      </w:divBdr>
    </w:div>
    <w:div w:id="624502903">
      <w:bodyDiv w:val="1"/>
      <w:marLeft w:val="0"/>
      <w:marRight w:val="0"/>
      <w:marTop w:val="0"/>
      <w:marBottom w:val="0"/>
      <w:divBdr>
        <w:top w:val="none" w:sz="0" w:space="0" w:color="auto"/>
        <w:left w:val="none" w:sz="0" w:space="0" w:color="auto"/>
        <w:bottom w:val="none" w:sz="0" w:space="0" w:color="auto"/>
        <w:right w:val="none" w:sz="0" w:space="0" w:color="auto"/>
      </w:divBdr>
    </w:div>
    <w:div w:id="977417581">
      <w:bodyDiv w:val="1"/>
      <w:marLeft w:val="0"/>
      <w:marRight w:val="0"/>
      <w:marTop w:val="0"/>
      <w:marBottom w:val="0"/>
      <w:divBdr>
        <w:top w:val="none" w:sz="0" w:space="0" w:color="auto"/>
        <w:left w:val="none" w:sz="0" w:space="0" w:color="auto"/>
        <w:bottom w:val="none" w:sz="0" w:space="0" w:color="auto"/>
        <w:right w:val="none" w:sz="0" w:space="0" w:color="auto"/>
      </w:divBdr>
      <w:divsChild>
        <w:div w:id="822698402">
          <w:marLeft w:val="0"/>
          <w:marRight w:val="0"/>
          <w:marTop w:val="0"/>
          <w:marBottom w:val="0"/>
          <w:divBdr>
            <w:top w:val="single" w:sz="2" w:space="0" w:color="auto"/>
            <w:left w:val="single" w:sz="2" w:space="0" w:color="auto"/>
            <w:bottom w:val="single" w:sz="2" w:space="0" w:color="auto"/>
            <w:right w:val="single" w:sz="2" w:space="0" w:color="auto"/>
          </w:divBdr>
          <w:divsChild>
            <w:div w:id="292952091">
              <w:marLeft w:val="0"/>
              <w:marRight w:val="0"/>
              <w:marTop w:val="0"/>
              <w:marBottom w:val="0"/>
              <w:divBdr>
                <w:top w:val="single" w:sz="2" w:space="0" w:color="auto"/>
                <w:left w:val="single" w:sz="2" w:space="0" w:color="auto"/>
                <w:bottom w:val="single" w:sz="2" w:space="0" w:color="auto"/>
                <w:right w:val="single" w:sz="2" w:space="0" w:color="auto"/>
              </w:divBdr>
              <w:divsChild>
                <w:div w:id="21639512">
                  <w:marLeft w:val="0"/>
                  <w:marRight w:val="0"/>
                  <w:marTop w:val="0"/>
                  <w:marBottom w:val="0"/>
                  <w:divBdr>
                    <w:top w:val="single" w:sz="2" w:space="0" w:color="auto"/>
                    <w:left w:val="single" w:sz="2" w:space="0" w:color="auto"/>
                    <w:bottom w:val="single" w:sz="2" w:space="0" w:color="auto"/>
                    <w:right w:val="single" w:sz="2" w:space="0" w:color="auto"/>
                  </w:divBdr>
                  <w:divsChild>
                    <w:div w:id="1069621397">
                      <w:marLeft w:val="0"/>
                      <w:marRight w:val="0"/>
                      <w:marTop w:val="0"/>
                      <w:marBottom w:val="0"/>
                      <w:divBdr>
                        <w:top w:val="single" w:sz="2" w:space="0" w:color="auto"/>
                        <w:left w:val="single" w:sz="2" w:space="0" w:color="auto"/>
                        <w:bottom w:val="single" w:sz="2" w:space="0" w:color="auto"/>
                        <w:right w:val="single" w:sz="2" w:space="0" w:color="auto"/>
                      </w:divBdr>
                      <w:divsChild>
                        <w:div w:id="732774256">
                          <w:marLeft w:val="0"/>
                          <w:marRight w:val="0"/>
                          <w:marTop w:val="0"/>
                          <w:marBottom w:val="0"/>
                          <w:divBdr>
                            <w:top w:val="single" w:sz="2" w:space="0" w:color="auto"/>
                            <w:left w:val="single" w:sz="2" w:space="0" w:color="auto"/>
                            <w:bottom w:val="single" w:sz="2" w:space="0" w:color="auto"/>
                            <w:right w:val="single" w:sz="2" w:space="0" w:color="auto"/>
                          </w:divBdr>
                          <w:divsChild>
                            <w:div w:id="1007363139">
                              <w:marLeft w:val="0"/>
                              <w:marRight w:val="0"/>
                              <w:marTop w:val="0"/>
                              <w:marBottom w:val="0"/>
                              <w:divBdr>
                                <w:top w:val="single" w:sz="2" w:space="0" w:color="auto"/>
                                <w:left w:val="single" w:sz="2" w:space="0" w:color="auto"/>
                                <w:bottom w:val="single" w:sz="2" w:space="0" w:color="auto"/>
                                <w:right w:val="single" w:sz="2" w:space="0" w:color="auto"/>
                              </w:divBdr>
                              <w:divsChild>
                                <w:div w:id="167464367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827215028">
                          <w:marLeft w:val="0"/>
                          <w:marRight w:val="0"/>
                          <w:marTop w:val="0"/>
                          <w:marBottom w:val="0"/>
                          <w:divBdr>
                            <w:top w:val="single" w:sz="2" w:space="0" w:color="auto"/>
                            <w:left w:val="single" w:sz="2" w:space="0" w:color="auto"/>
                            <w:bottom w:val="single" w:sz="2" w:space="0" w:color="auto"/>
                            <w:right w:val="single" w:sz="2" w:space="0" w:color="auto"/>
                          </w:divBdr>
                          <w:divsChild>
                            <w:div w:id="621224957">
                              <w:marLeft w:val="0"/>
                              <w:marRight w:val="0"/>
                              <w:marTop w:val="0"/>
                              <w:marBottom w:val="0"/>
                              <w:divBdr>
                                <w:top w:val="single" w:sz="2" w:space="0" w:color="auto"/>
                                <w:left w:val="single" w:sz="2" w:space="0" w:color="auto"/>
                                <w:bottom w:val="single" w:sz="2" w:space="0" w:color="auto"/>
                                <w:right w:val="single" w:sz="2" w:space="0" w:color="auto"/>
                              </w:divBdr>
                              <w:divsChild>
                                <w:div w:id="294331796">
                                  <w:marLeft w:val="0"/>
                                  <w:marRight w:val="0"/>
                                  <w:marTop w:val="0"/>
                                  <w:marBottom w:val="0"/>
                                  <w:divBdr>
                                    <w:top w:val="single" w:sz="2" w:space="0" w:color="auto"/>
                                    <w:left w:val="single" w:sz="2" w:space="0" w:color="auto"/>
                                    <w:bottom w:val="single" w:sz="2" w:space="0" w:color="auto"/>
                                    <w:right w:val="single" w:sz="2" w:space="0" w:color="auto"/>
                                  </w:divBdr>
                                  <w:divsChild>
                                    <w:div w:id="125324721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618074158">
              <w:marLeft w:val="0"/>
              <w:marRight w:val="0"/>
              <w:marTop w:val="0"/>
              <w:marBottom w:val="0"/>
              <w:divBdr>
                <w:top w:val="single" w:sz="2" w:space="0" w:color="auto"/>
                <w:left w:val="single" w:sz="2" w:space="0" w:color="auto"/>
                <w:bottom w:val="single" w:sz="2" w:space="0" w:color="auto"/>
                <w:right w:val="single" w:sz="2" w:space="0" w:color="auto"/>
              </w:divBdr>
              <w:divsChild>
                <w:div w:id="754671754">
                  <w:marLeft w:val="0"/>
                  <w:marRight w:val="0"/>
                  <w:marTop w:val="0"/>
                  <w:marBottom w:val="0"/>
                  <w:divBdr>
                    <w:top w:val="single" w:sz="2" w:space="0" w:color="auto"/>
                    <w:left w:val="single" w:sz="2" w:space="0" w:color="auto"/>
                    <w:bottom w:val="single" w:sz="2" w:space="0" w:color="auto"/>
                    <w:right w:val="single" w:sz="2" w:space="0" w:color="auto"/>
                  </w:divBdr>
                  <w:divsChild>
                    <w:div w:id="158232586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009874544">
      <w:bodyDiv w:val="1"/>
      <w:marLeft w:val="0"/>
      <w:marRight w:val="0"/>
      <w:marTop w:val="0"/>
      <w:marBottom w:val="0"/>
      <w:divBdr>
        <w:top w:val="none" w:sz="0" w:space="0" w:color="auto"/>
        <w:left w:val="none" w:sz="0" w:space="0" w:color="auto"/>
        <w:bottom w:val="none" w:sz="0" w:space="0" w:color="auto"/>
        <w:right w:val="none" w:sz="0" w:space="0" w:color="auto"/>
      </w:divBdr>
      <w:divsChild>
        <w:div w:id="580868954">
          <w:marLeft w:val="0"/>
          <w:marRight w:val="0"/>
          <w:marTop w:val="0"/>
          <w:marBottom w:val="0"/>
          <w:divBdr>
            <w:top w:val="none" w:sz="0" w:space="0" w:color="auto"/>
            <w:left w:val="none" w:sz="0" w:space="0" w:color="auto"/>
            <w:bottom w:val="none" w:sz="0" w:space="0" w:color="auto"/>
            <w:right w:val="none" w:sz="0" w:space="0" w:color="auto"/>
          </w:divBdr>
          <w:divsChild>
            <w:div w:id="1582375059">
              <w:marLeft w:val="0"/>
              <w:marRight w:val="0"/>
              <w:marTop w:val="0"/>
              <w:marBottom w:val="0"/>
              <w:divBdr>
                <w:top w:val="none" w:sz="0" w:space="0" w:color="auto"/>
                <w:left w:val="none" w:sz="0" w:space="0" w:color="auto"/>
                <w:bottom w:val="none" w:sz="0" w:space="0" w:color="auto"/>
                <w:right w:val="none" w:sz="0" w:space="0" w:color="auto"/>
              </w:divBdr>
              <w:divsChild>
                <w:div w:id="1831364144">
                  <w:marLeft w:val="0"/>
                  <w:marRight w:val="0"/>
                  <w:marTop w:val="0"/>
                  <w:marBottom w:val="0"/>
                  <w:divBdr>
                    <w:top w:val="none" w:sz="0" w:space="0" w:color="auto"/>
                    <w:left w:val="none" w:sz="0" w:space="0" w:color="auto"/>
                    <w:bottom w:val="none" w:sz="0" w:space="0" w:color="auto"/>
                    <w:right w:val="none" w:sz="0" w:space="0" w:color="auto"/>
                  </w:divBdr>
                  <w:divsChild>
                    <w:div w:id="623775608">
                      <w:marLeft w:val="0"/>
                      <w:marRight w:val="0"/>
                      <w:marTop w:val="0"/>
                      <w:marBottom w:val="0"/>
                      <w:divBdr>
                        <w:top w:val="none" w:sz="0" w:space="0" w:color="auto"/>
                        <w:left w:val="none" w:sz="0" w:space="0" w:color="auto"/>
                        <w:bottom w:val="none" w:sz="0" w:space="0" w:color="auto"/>
                        <w:right w:val="none" w:sz="0" w:space="0" w:color="auto"/>
                      </w:divBdr>
                      <w:divsChild>
                        <w:div w:id="1173497768">
                          <w:marLeft w:val="0"/>
                          <w:marRight w:val="0"/>
                          <w:marTop w:val="0"/>
                          <w:marBottom w:val="0"/>
                          <w:divBdr>
                            <w:top w:val="none" w:sz="0" w:space="0" w:color="auto"/>
                            <w:left w:val="none" w:sz="0" w:space="0" w:color="auto"/>
                            <w:bottom w:val="none" w:sz="0" w:space="0" w:color="auto"/>
                            <w:right w:val="none" w:sz="0" w:space="0" w:color="auto"/>
                          </w:divBdr>
                          <w:divsChild>
                            <w:div w:id="14037124">
                              <w:marLeft w:val="0"/>
                              <w:marRight w:val="0"/>
                              <w:marTop w:val="0"/>
                              <w:marBottom w:val="0"/>
                              <w:divBdr>
                                <w:top w:val="none" w:sz="0" w:space="0" w:color="auto"/>
                                <w:left w:val="none" w:sz="0" w:space="0" w:color="auto"/>
                                <w:bottom w:val="none" w:sz="0" w:space="0" w:color="auto"/>
                                <w:right w:val="none" w:sz="0" w:space="0" w:color="auto"/>
                              </w:divBdr>
                              <w:divsChild>
                                <w:div w:id="1934387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383318">
                          <w:marLeft w:val="0"/>
                          <w:marRight w:val="0"/>
                          <w:marTop w:val="0"/>
                          <w:marBottom w:val="0"/>
                          <w:divBdr>
                            <w:top w:val="none" w:sz="0" w:space="0" w:color="auto"/>
                            <w:left w:val="none" w:sz="0" w:space="0" w:color="auto"/>
                            <w:bottom w:val="none" w:sz="0" w:space="0" w:color="auto"/>
                            <w:right w:val="none" w:sz="0" w:space="0" w:color="auto"/>
                          </w:divBdr>
                          <w:divsChild>
                            <w:div w:id="1393579817">
                              <w:marLeft w:val="0"/>
                              <w:marRight w:val="0"/>
                              <w:marTop w:val="0"/>
                              <w:marBottom w:val="0"/>
                              <w:divBdr>
                                <w:top w:val="none" w:sz="0" w:space="0" w:color="auto"/>
                                <w:left w:val="none" w:sz="0" w:space="0" w:color="auto"/>
                                <w:bottom w:val="none" w:sz="0" w:space="0" w:color="auto"/>
                                <w:right w:val="none" w:sz="0" w:space="0" w:color="auto"/>
                              </w:divBdr>
                              <w:divsChild>
                                <w:div w:id="253587596">
                                  <w:marLeft w:val="0"/>
                                  <w:marRight w:val="0"/>
                                  <w:marTop w:val="0"/>
                                  <w:marBottom w:val="0"/>
                                  <w:divBdr>
                                    <w:top w:val="none" w:sz="0" w:space="0" w:color="auto"/>
                                    <w:left w:val="none" w:sz="0" w:space="0" w:color="auto"/>
                                    <w:bottom w:val="none" w:sz="0" w:space="0" w:color="auto"/>
                                    <w:right w:val="none" w:sz="0" w:space="0" w:color="auto"/>
                                  </w:divBdr>
                                  <w:divsChild>
                                    <w:div w:id="154752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96120616">
              <w:marLeft w:val="0"/>
              <w:marRight w:val="0"/>
              <w:marTop w:val="0"/>
              <w:marBottom w:val="0"/>
              <w:divBdr>
                <w:top w:val="none" w:sz="0" w:space="0" w:color="auto"/>
                <w:left w:val="none" w:sz="0" w:space="0" w:color="auto"/>
                <w:bottom w:val="none" w:sz="0" w:space="0" w:color="auto"/>
                <w:right w:val="none" w:sz="0" w:space="0" w:color="auto"/>
              </w:divBdr>
              <w:divsChild>
                <w:div w:id="1343899006">
                  <w:marLeft w:val="0"/>
                  <w:marRight w:val="0"/>
                  <w:marTop w:val="0"/>
                  <w:marBottom w:val="0"/>
                  <w:divBdr>
                    <w:top w:val="none" w:sz="0" w:space="0" w:color="auto"/>
                    <w:left w:val="none" w:sz="0" w:space="0" w:color="auto"/>
                    <w:bottom w:val="none" w:sz="0" w:space="0" w:color="auto"/>
                    <w:right w:val="none" w:sz="0" w:space="0" w:color="auto"/>
                  </w:divBdr>
                  <w:divsChild>
                    <w:div w:id="1233006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9399575">
      <w:bodyDiv w:val="1"/>
      <w:marLeft w:val="0"/>
      <w:marRight w:val="0"/>
      <w:marTop w:val="0"/>
      <w:marBottom w:val="0"/>
      <w:divBdr>
        <w:top w:val="none" w:sz="0" w:space="0" w:color="auto"/>
        <w:left w:val="none" w:sz="0" w:space="0" w:color="auto"/>
        <w:bottom w:val="none" w:sz="0" w:space="0" w:color="auto"/>
        <w:right w:val="none" w:sz="0" w:space="0" w:color="auto"/>
      </w:divBdr>
    </w:div>
    <w:div w:id="1442216401">
      <w:bodyDiv w:val="1"/>
      <w:marLeft w:val="0"/>
      <w:marRight w:val="0"/>
      <w:marTop w:val="0"/>
      <w:marBottom w:val="0"/>
      <w:divBdr>
        <w:top w:val="none" w:sz="0" w:space="0" w:color="auto"/>
        <w:left w:val="none" w:sz="0" w:space="0" w:color="auto"/>
        <w:bottom w:val="none" w:sz="0" w:space="0" w:color="auto"/>
        <w:right w:val="none" w:sz="0" w:space="0" w:color="auto"/>
      </w:divBdr>
    </w:div>
    <w:div w:id="1551380494">
      <w:bodyDiv w:val="1"/>
      <w:marLeft w:val="0"/>
      <w:marRight w:val="0"/>
      <w:marTop w:val="0"/>
      <w:marBottom w:val="0"/>
      <w:divBdr>
        <w:top w:val="none" w:sz="0" w:space="0" w:color="auto"/>
        <w:left w:val="none" w:sz="0" w:space="0" w:color="auto"/>
        <w:bottom w:val="none" w:sz="0" w:space="0" w:color="auto"/>
        <w:right w:val="none" w:sz="0" w:space="0" w:color="auto"/>
      </w:divBdr>
      <w:divsChild>
        <w:div w:id="1495754166">
          <w:marLeft w:val="0"/>
          <w:marRight w:val="0"/>
          <w:marTop w:val="0"/>
          <w:marBottom w:val="0"/>
          <w:divBdr>
            <w:top w:val="single" w:sz="2" w:space="0" w:color="auto"/>
            <w:left w:val="single" w:sz="2" w:space="0" w:color="auto"/>
            <w:bottom w:val="single" w:sz="2" w:space="0" w:color="auto"/>
            <w:right w:val="single" w:sz="2" w:space="0" w:color="auto"/>
          </w:divBdr>
          <w:divsChild>
            <w:div w:id="1176337260">
              <w:marLeft w:val="0"/>
              <w:marRight w:val="0"/>
              <w:marTop w:val="0"/>
              <w:marBottom w:val="0"/>
              <w:divBdr>
                <w:top w:val="single" w:sz="2" w:space="0" w:color="auto"/>
                <w:left w:val="single" w:sz="2" w:space="0" w:color="auto"/>
                <w:bottom w:val="single" w:sz="2" w:space="0" w:color="auto"/>
                <w:right w:val="single" w:sz="2" w:space="0" w:color="auto"/>
              </w:divBdr>
              <w:divsChild>
                <w:div w:id="1793670273">
                  <w:marLeft w:val="0"/>
                  <w:marRight w:val="0"/>
                  <w:marTop w:val="0"/>
                  <w:marBottom w:val="0"/>
                  <w:divBdr>
                    <w:top w:val="single" w:sz="2" w:space="0" w:color="auto"/>
                    <w:left w:val="single" w:sz="2" w:space="0" w:color="auto"/>
                    <w:bottom w:val="single" w:sz="2" w:space="0" w:color="auto"/>
                    <w:right w:val="single" w:sz="2" w:space="0" w:color="auto"/>
                  </w:divBdr>
                  <w:divsChild>
                    <w:div w:id="1652901439">
                      <w:marLeft w:val="0"/>
                      <w:marRight w:val="0"/>
                      <w:marTop w:val="0"/>
                      <w:marBottom w:val="0"/>
                      <w:divBdr>
                        <w:top w:val="single" w:sz="2" w:space="0" w:color="auto"/>
                        <w:left w:val="single" w:sz="2" w:space="0" w:color="auto"/>
                        <w:bottom w:val="single" w:sz="2" w:space="0" w:color="auto"/>
                        <w:right w:val="single" w:sz="2" w:space="0" w:color="auto"/>
                      </w:divBdr>
                      <w:divsChild>
                        <w:div w:id="1032421163">
                          <w:marLeft w:val="0"/>
                          <w:marRight w:val="0"/>
                          <w:marTop w:val="0"/>
                          <w:marBottom w:val="0"/>
                          <w:divBdr>
                            <w:top w:val="single" w:sz="2" w:space="0" w:color="auto"/>
                            <w:left w:val="single" w:sz="2" w:space="0" w:color="auto"/>
                            <w:bottom w:val="single" w:sz="2" w:space="0" w:color="auto"/>
                            <w:right w:val="single" w:sz="2" w:space="0" w:color="auto"/>
                          </w:divBdr>
                          <w:divsChild>
                            <w:div w:id="1724014750">
                              <w:marLeft w:val="0"/>
                              <w:marRight w:val="0"/>
                              <w:marTop w:val="0"/>
                              <w:marBottom w:val="0"/>
                              <w:divBdr>
                                <w:top w:val="single" w:sz="2" w:space="0" w:color="auto"/>
                                <w:left w:val="single" w:sz="2" w:space="0" w:color="auto"/>
                                <w:bottom w:val="single" w:sz="2" w:space="0" w:color="auto"/>
                                <w:right w:val="single" w:sz="2" w:space="0" w:color="auto"/>
                              </w:divBdr>
                              <w:divsChild>
                                <w:div w:id="67164271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342244243">
                          <w:marLeft w:val="0"/>
                          <w:marRight w:val="0"/>
                          <w:marTop w:val="0"/>
                          <w:marBottom w:val="0"/>
                          <w:divBdr>
                            <w:top w:val="single" w:sz="2" w:space="0" w:color="auto"/>
                            <w:left w:val="single" w:sz="2" w:space="0" w:color="auto"/>
                            <w:bottom w:val="single" w:sz="2" w:space="0" w:color="auto"/>
                            <w:right w:val="single" w:sz="2" w:space="0" w:color="auto"/>
                          </w:divBdr>
                          <w:divsChild>
                            <w:div w:id="893390784">
                              <w:marLeft w:val="0"/>
                              <w:marRight w:val="0"/>
                              <w:marTop w:val="0"/>
                              <w:marBottom w:val="0"/>
                              <w:divBdr>
                                <w:top w:val="single" w:sz="2" w:space="0" w:color="auto"/>
                                <w:left w:val="single" w:sz="2" w:space="0" w:color="auto"/>
                                <w:bottom w:val="single" w:sz="2" w:space="0" w:color="auto"/>
                                <w:right w:val="single" w:sz="2" w:space="0" w:color="auto"/>
                              </w:divBdr>
                              <w:divsChild>
                                <w:div w:id="951940102">
                                  <w:marLeft w:val="0"/>
                                  <w:marRight w:val="0"/>
                                  <w:marTop w:val="0"/>
                                  <w:marBottom w:val="0"/>
                                  <w:divBdr>
                                    <w:top w:val="single" w:sz="2" w:space="0" w:color="auto"/>
                                    <w:left w:val="single" w:sz="2" w:space="0" w:color="auto"/>
                                    <w:bottom w:val="single" w:sz="2" w:space="0" w:color="auto"/>
                                    <w:right w:val="single" w:sz="2" w:space="0" w:color="auto"/>
                                  </w:divBdr>
                                  <w:divsChild>
                                    <w:div w:id="80296804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435512737">
              <w:marLeft w:val="0"/>
              <w:marRight w:val="0"/>
              <w:marTop w:val="0"/>
              <w:marBottom w:val="0"/>
              <w:divBdr>
                <w:top w:val="single" w:sz="2" w:space="0" w:color="auto"/>
                <w:left w:val="single" w:sz="2" w:space="0" w:color="auto"/>
                <w:bottom w:val="single" w:sz="2" w:space="0" w:color="auto"/>
                <w:right w:val="single" w:sz="2" w:space="0" w:color="auto"/>
              </w:divBdr>
              <w:divsChild>
                <w:div w:id="1304191729">
                  <w:marLeft w:val="0"/>
                  <w:marRight w:val="0"/>
                  <w:marTop w:val="0"/>
                  <w:marBottom w:val="0"/>
                  <w:divBdr>
                    <w:top w:val="single" w:sz="2" w:space="0" w:color="auto"/>
                    <w:left w:val="single" w:sz="2" w:space="0" w:color="auto"/>
                    <w:bottom w:val="single" w:sz="2" w:space="0" w:color="auto"/>
                    <w:right w:val="single" w:sz="2" w:space="0" w:color="auto"/>
                  </w:divBdr>
                  <w:divsChild>
                    <w:div w:id="29066825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458037849">
          <w:marLeft w:val="0"/>
          <w:marRight w:val="0"/>
          <w:marTop w:val="0"/>
          <w:marBottom w:val="0"/>
          <w:divBdr>
            <w:top w:val="single" w:sz="2" w:space="0" w:color="auto"/>
            <w:left w:val="single" w:sz="2" w:space="0" w:color="auto"/>
            <w:bottom w:val="single" w:sz="2" w:space="0" w:color="auto"/>
            <w:right w:val="single" w:sz="2" w:space="0" w:color="auto"/>
          </w:divBdr>
          <w:divsChild>
            <w:div w:id="309672785">
              <w:marLeft w:val="0"/>
              <w:marRight w:val="0"/>
              <w:marTop w:val="0"/>
              <w:marBottom w:val="0"/>
              <w:divBdr>
                <w:top w:val="single" w:sz="2" w:space="0" w:color="auto"/>
                <w:left w:val="single" w:sz="2" w:space="0" w:color="auto"/>
                <w:bottom w:val="single" w:sz="2" w:space="0" w:color="auto"/>
                <w:right w:val="single" w:sz="2" w:space="0" w:color="auto"/>
              </w:divBdr>
              <w:divsChild>
                <w:div w:id="551160560">
                  <w:marLeft w:val="0"/>
                  <w:marRight w:val="0"/>
                  <w:marTop w:val="0"/>
                  <w:marBottom w:val="0"/>
                  <w:divBdr>
                    <w:top w:val="single" w:sz="2" w:space="0" w:color="auto"/>
                    <w:left w:val="single" w:sz="2" w:space="0" w:color="auto"/>
                    <w:bottom w:val="single" w:sz="2" w:space="0" w:color="auto"/>
                    <w:right w:val="single" w:sz="2" w:space="0" w:color="auto"/>
                  </w:divBdr>
                  <w:divsChild>
                    <w:div w:id="1085421689">
                      <w:marLeft w:val="0"/>
                      <w:marRight w:val="0"/>
                      <w:marTop w:val="0"/>
                      <w:marBottom w:val="0"/>
                      <w:divBdr>
                        <w:top w:val="single" w:sz="2" w:space="0" w:color="auto"/>
                        <w:left w:val="single" w:sz="2" w:space="0" w:color="auto"/>
                        <w:bottom w:val="single" w:sz="2" w:space="0" w:color="auto"/>
                        <w:right w:val="single" w:sz="2" w:space="0" w:color="auto"/>
                      </w:divBdr>
                      <w:divsChild>
                        <w:div w:id="22866005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 w:id="1555116365">
      <w:bodyDiv w:val="1"/>
      <w:marLeft w:val="0"/>
      <w:marRight w:val="0"/>
      <w:marTop w:val="0"/>
      <w:marBottom w:val="0"/>
      <w:divBdr>
        <w:top w:val="none" w:sz="0" w:space="0" w:color="auto"/>
        <w:left w:val="none" w:sz="0" w:space="0" w:color="auto"/>
        <w:bottom w:val="none" w:sz="0" w:space="0" w:color="auto"/>
        <w:right w:val="none" w:sz="0" w:space="0" w:color="auto"/>
      </w:divBdr>
    </w:div>
    <w:div w:id="1613247321">
      <w:bodyDiv w:val="1"/>
      <w:marLeft w:val="0"/>
      <w:marRight w:val="0"/>
      <w:marTop w:val="0"/>
      <w:marBottom w:val="0"/>
      <w:divBdr>
        <w:top w:val="none" w:sz="0" w:space="0" w:color="auto"/>
        <w:left w:val="none" w:sz="0" w:space="0" w:color="auto"/>
        <w:bottom w:val="none" w:sz="0" w:space="0" w:color="auto"/>
        <w:right w:val="none" w:sz="0" w:space="0" w:color="auto"/>
      </w:divBdr>
    </w:div>
    <w:div w:id="1641378611">
      <w:bodyDiv w:val="1"/>
      <w:marLeft w:val="0"/>
      <w:marRight w:val="0"/>
      <w:marTop w:val="0"/>
      <w:marBottom w:val="0"/>
      <w:divBdr>
        <w:top w:val="none" w:sz="0" w:space="0" w:color="auto"/>
        <w:left w:val="none" w:sz="0" w:space="0" w:color="auto"/>
        <w:bottom w:val="none" w:sz="0" w:space="0" w:color="auto"/>
        <w:right w:val="none" w:sz="0" w:space="0" w:color="auto"/>
      </w:divBdr>
    </w:div>
    <w:div w:id="1670282130">
      <w:bodyDiv w:val="1"/>
      <w:marLeft w:val="0"/>
      <w:marRight w:val="0"/>
      <w:marTop w:val="0"/>
      <w:marBottom w:val="0"/>
      <w:divBdr>
        <w:top w:val="none" w:sz="0" w:space="0" w:color="auto"/>
        <w:left w:val="none" w:sz="0" w:space="0" w:color="auto"/>
        <w:bottom w:val="none" w:sz="0" w:space="0" w:color="auto"/>
        <w:right w:val="none" w:sz="0" w:space="0" w:color="auto"/>
      </w:divBdr>
      <w:divsChild>
        <w:div w:id="606238414">
          <w:marLeft w:val="0"/>
          <w:marRight w:val="0"/>
          <w:marTop w:val="0"/>
          <w:marBottom w:val="0"/>
          <w:divBdr>
            <w:top w:val="single" w:sz="2" w:space="0" w:color="auto"/>
            <w:left w:val="single" w:sz="2" w:space="0" w:color="auto"/>
            <w:bottom w:val="single" w:sz="2" w:space="0" w:color="auto"/>
            <w:right w:val="single" w:sz="2" w:space="0" w:color="auto"/>
          </w:divBdr>
          <w:divsChild>
            <w:div w:id="519009412">
              <w:marLeft w:val="0"/>
              <w:marRight w:val="0"/>
              <w:marTop w:val="0"/>
              <w:marBottom w:val="0"/>
              <w:divBdr>
                <w:top w:val="single" w:sz="2" w:space="0" w:color="auto"/>
                <w:left w:val="single" w:sz="2" w:space="0" w:color="auto"/>
                <w:bottom w:val="single" w:sz="2" w:space="0" w:color="auto"/>
                <w:right w:val="single" w:sz="2" w:space="0" w:color="auto"/>
              </w:divBdr>
              <w:divsChild>
                <w:div w:id="884218229">
                  <w:marLeft w:val="0"/>
                  <w:marRight w:val="0"/>
                  <w:marTop w:val="0"/>
                  <w:marBottom w:val="0"/>
                  <w:divBdr>
                    <w:top w:val="single" w:sz="2" w:space="0" w:color="auto"/>
                    <w:left w:val="single" w:sz="2" w:space="0" w:color="auto"/>
                    <w:bottom w:val="single" w:sz="2" w:space="0" w:color="auto"/>
                    <w:right w:val="single" w:sz="2" w:space="0" w:color="auto"/>
                  </w:divBdr>
                  <w:divsChild>
                    <w:div w:id="1147893449">
                      <w:marLeft w:val="0"/>
                      <w:marRight w:val="0"/>
                      <w:marTop w:val="0"/>
                      <w:marBottom w:val="0"/>
                      <w:divBdr>
                        <w:top w:val="single" w:sz="2" w:space="0" w:color="auto"/>
                        <w:left w:val="single" w:sz="2" w:space="0" w:color="auto"/>
                        <w:bottom w:val="single" w:sz="2" w:space="0" w:color="auto"/>
                        <w:right w:val="single" w:sz="2" w:space="0" w:color="auto"/>
                      </w:divBdr>
                      <w:divsChild>
                        <w:div w:id="2078700955">
                          <w:marLeft w:val="0"/>
                          <w:marRight w:val="0"/>
                          <w:marTop w:val="0"/>
                          <w:marBottom w:val="0"/>
                          <w:divBdr>
                            <w:top w:val="single" w:sz="2" w:space="0" w:color="auto"/>
                            <w:left w:val="single" w:sz="2" w:space="0" w:color="auto"/>
                            <w:bottom w:val="single" w:sz="2" w:space="0" w:color="auto"/>
                            <w:right w:val="single" w:sz="2" w:space="0" w:color="auto"/>
                          </w:divBdr>
                          <w:divsChild>
                            <w:div w:id="1843200954">
                              <w:marLeft w:val="0"/>
                              <w:marRight w:val="0"/>
                              <w:marTop w:val="0"/>
                              <w:marBottom w:val="0"/>
                              <w:divBdr>
                                <w:top w:val="single" w:sz="2" w:space="0" w:color="auto"/>
                                <w:left w:val="single" w:sz="2" w:space="0" w:color="auto"/>
                                <w:bottom w:val="single" w:sz="2" w:space="0" w:color="auto"/>
                                <w:right w:val="single" w:sz="2" w:space="0" w:color="auto"/>
                              </w:divBdr>
                              <w:divsChild>
                                <w:div w:id="66941089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570117415">
                          <w:marLeft w:val="0"/>
                          <w:marRight w:val="0"/>
                          <w:marTop w:val="0"/>
                          <w:marBottom w:val="0"/>
                          <w:divBdr>
                            <w:top w:val="single" w:sz="2" w:space="0" w:color="auto"/>
                            <w:left w:val="single" w:sz="2" w:space="0" w:color="auto"/>
                            <w:bottom w:val="single" w:sz="2" w:space="0" w:color="auto"/>
                            <w:right w:val="single" w:sz="2" w:space="0" w:color="auto"/>
                          </w:divBdr>
                          <w:divsChild>
                            <w:div w:id="55397881">
                              <w:marLeft w:val="0"/>
                              <w:marRight w:val="0"/>
                              <w:marTop w:val="0"/>
                              <w:marBottom w:val="0"/>
                              <w:divBdr>
                                <w:top w:val="single" w:sz="2" w:space="0" w:color="auto"/>
                                <w:left w:val="single" w:sz="2" w:space="0" w:color="auto"/>
                                <w:bottom w:val="single" w:sz="2" w:space="0" w:color="auto"/>
                                <w:right w:val="single" w:sz="2" w:space="0" w:color="auto"/>
                              </w:divBdr>
                              <w:divsChild>
                                <w:div w:id="419374196">
                                  <w:marLeft w:val="0"/>
                                  <w:marRight w:val="0"/>
                                  <w:marTop w:val="0"/>
                                  <w:marBottom w:val="0"/>
                                  <w:divBdr>
                                    <w:top w:val="single" w:sz="2" w:space="0" w:color="auto"/>
                                    <w:left w:val="single" w:sz="2" w:space="0" w:color="auto"/>
                                    <w:bottom w:val="single" w:sz="2" w:space="0" w:color="auto"/>
                                    <w:right w:val="single" w:sz="2" w:space="0" w:color="auto"/>
                                  </w:divBdr>
                                  <w:divsChild>
                                    <w:div w:id="163112832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436025729">
              <w:marLeft w:val="0"/>
              <w:marRight w:val="0"/>
              <w:marTop w:val="0"/>
              <w:marBottom w:val="0"/>
              <w:divBdr>
                <w:top w:val="single" w:sz="2" w:space="0" w:color="auto"/>
                <w:left w:val="single" w:sz="2" w:space="0" w:color="auto"/>
                <w:bottom w:val="single" w:sz="2" w:space="0" w:color="auto"/>
                <w:right w:val="single" w:sz="2" w:space="0" w:color="auto"/>
              </w:divBdr>
              <w:divsChild>
                <w:div w:id="872571985">
                  <w:marLeft w:val="0"/>
                  <w:marRight w:val="0"/>
                  <w:marTop w:val="0"/>
                  <w:marBottom w:val="0"/>
                  <w:divBdr>
                    <w:top w:val="single" w:sz="2" w:space="0" w:color="auto"/>
                    <w:left w:val="single" w:sz="2" w:space="0" w:color="auto"/>
                    <w:bottom w:val="single" w:sz="2" w:space="0" w:color="auto"/>
                    <w:right w:val="single" w:sz="2" w:space="0" w:color="auto"/>
                  </w:divBdr>
                  <w:divsChild>
                    <w:div w:id="58893270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 w:id="1766803142">
      <w:bodyDiv w:val="1"/>
      <w:marLeft w:val="0"/>
      <w:marRight w:val="0"/>
      <w:marTop w:val="0"/>
      <w:marBottom w:val="0"/>
      <w:divBdr>
        <w:top w:val="none" w:sz="0" w:space="0" w:color="auto"/>
        <w:left w:val="none" w:sz="0" w:space="0" w:color="auto"/>
        <w:bottom w:val="none" w:sz="0" w:space="0" w:color="auto"/>
        <w:right w:val="none" w:sz="0" w:space="0" w:color="auto"/>
      </w:divBdr>
    </w:div>
    <w:div w:id="1790658107">
      <w:bodyDiv w:val="1"/>
      <w:marLeft w:val="0"/>
      <w:marRight w:val="0"/>
      <w:marTop w:val="0"/>
      <w:marBottom w:val="0"/>
      <w:divBdr>
        <w:top w:val="none" w:sz="0" w:space="0" w:color="auto"/>
        <w:left w:val="none" w:sz="0" w:space="0" w:color="auto"/>
        <w:bottom w:val="none" w:sz="0" w:space="0" w:color="auto"/>
        <w:right w:val="none" w:sz="0" w:space="0" w:color="auto"/>
      </w:divBdr>
    </w:div>
    <w:div w:id="2057191641">
      <w:bodyDiv w:val="1"/>
      <w:marLeft w:val="0"/>
      <w:marRight w:val="0"/>
      <w:marTop w:val="0"/>
      <w:marBottom w:val="0"/>
      <w:divBdr>
        <w:top w:val="none" w:sz="0" w:space="0" w:color="auto"/>
        <w:left w:val="none" w:sz="0" w:space="0" w:color="auto"/>
        <w:bottom w:val="none" w:sz="0" w:space="0" w:color="auto"/>
        <w:right w:val="none" w:sz="0" w:space="0" w:color="auto"/>
      </w:divBdr>
    </w:div>
    <w:div w:id="2113744674">
      <w:bodyDiv w:val="1"/>
      <w:marLeft w:val="0"/>
      <w:marRight w:val="0"/>
      <w:marTop w:val="0"/>
      <w:marBottom w:val="0"/>
      <w:divBdr>
        <w:top w:val="none" w:sz="0" w:space="0" w:color="auto"/>
        <w:left w:val="none" w:sz="0" w:space="0" w:color="auto"/>
        <w:bottom w:val="none" w:sz="0" w:space="0" w:color="auto"/>
        <w:right w:val="none" w:sz="0" w:space="0" w:color="auto"/>
      </w:divBdr>
      <w:divsChild>
        <w:div w:id="146289980">
          <w:marLeft w:val="0"/>
          <w:marRight w:val="0"/>
          <w:marTop w:val="0"/>
          <w:marBottom w:val="0"/>
          <w:divBdr>
            <w:top w:val="single" w:sz="2" w:space="0" w:color="auto"/>
            <w:left w:val="single" w:sz="2" w:space="0" w:color="auto"/>
            <w:bottom w:val="single" w:sz="2" w:space="0" w:color="auto"/>
            <w:right w:val="single" w:sz="2" w:space="0" w:color="auto"/>
          </w:divBdr>
          <w:divsChild>
            <w:div w:id="1790200090">
              <w:marLeft w:val="0"/>
              <w:marRight w:val="0"/>
              <w:marTop w:val="0"/>
              <w:marBottom w:val="0"/>
              <w:divBdr>
                <w:top w:val="single" w:sz="2" w:space="0" w:color="auto"/>
                <w:left w:val="single" w:sz="2" w:space="0" w:color="auto"/>
                <w:bottom w:val="single" w:sz="2" w:space="0" w:color="auto"/>
                <w:right w:val="single" w:sz="2" w:space="0" w:color="auto"/>
              </w:divBdr>
              <w:divsChild>
                <w:div w:id="73554816">
                  <w:marLeft w:val="0"/>
                  <w:marRight w:val="0"/>
                  <w:marTop w:val="0"/>
                  <w:marBottom w:val="0"/>
                  <w:divBdr>
                    <w:top w:val="single" w:sz="2" w:space="0" w:color="auto"/>
                    <w:left w:val="single" w:sz="2" w:space="0" w:color="auto"/>
                    <w:bottom w:val="single" w:sz="2" w:space="0" w:color="auto"/>
                    <w:right w:val="single" w:sz="2" w:space="0" w:color="auto"/>
                  </w:divBdr>
                  <w:divsChild>
                    <w:div w:id="1360273504">
                      <w:marLeft w:val="0"/>
                      <w:marRight w:val="0"/>
                      <w:marTop w:val="0"/>
                      <w:marBottom w:val="0"/>
                      <w:divBdr>
                        <w:top w:val="single" w:sz="2" w:space="0" w:color="auto"/>
                        <w:left w:val="single" w:sz="2" w:space="0" w:color="auto"/>
                        <w:bottom w:val="single" w:sz="2" w:space="0" w:color="auto"/>
                        <w:right w:val="single" w:sz="2" w:space="0" w:color="auto"/>
                      </w:divBdr>
                      <w:divsChild>
                        <w:div w:id="1033337401">
                          <w:marLeft w:val="0"/>
                          <w:marRight w:val="0"/>
                          <w:marTop w:val="0"/>
                          <w:marBottom w:val="0"/>
                          <w:divBdr>
                            <w:top w:val="single" w:sz="2" w:space="0" w:color="auto"/>
                            <w:left w:val="single" w:sz="2" w:space="0" w:color="auto"/>
                            <w:bottom w:val="single" w:sz="2" w:space="0" w:color="auto"/>
                            <w:right w:val="single" w:sz="2" w:space="0" w:color="auto"/>
                          </w:divBdr>
                          <w:divsChild>
                            <w:div w:id="846604069">
                              <w:marLeft w:val="0"/>
                              <w:marRight w:val="0"/>
                              <w:marTop w:val="0"/>
                              <w:marBottom w:val="0"/>
                              <w:divBdr>
                                <w:top w:val="single" w:sz="2" w:space="0" w:color="auto"/>
                                <w:left w:val="single" w:sz="2" w:space="0" w:color="auto"/>
                                <w:bottom w:val="single" w:sz="2" w:space="0" w:color="auto"/>
                                <w:right w:val="single" w:sz="2" w:space="0" w:color="auto"/>
                              </w:divBdr>
                              <w:divsChild>
                                <w:div w:id="126060416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78989089">
                          <w:marLeft w:val="0"/>
                          <w:marRight w:val="0"/>
                          <w:marTop w:val="0"/>
                          <w:marBottom w:val="0"/>
                          <w:divBdr>
                            <w:top w:val="single" w:sz="2" w:space="0" w:color="auto"/>
                            <w:left w:val="single" w:sz="2" w:space="0" w:color="auto"/>
                            <w:bottom w:val="single" w:sz="2" w:space="0" w:color="auto"/>
                            <w:right w:val="single" w:sz="2" w:space="0" w:color="auto"/>
                          </w:divBdr>
                          <w:divsChild>
                            <w:div w:id="452360721">
                              <w:marLeft w:val="0"/>
                              <w:marRight w:val="0"/>
                              <w:marTop w:val="0"/>
                              <w:marBottom w:val="0"/>
                              <w:divBdr>
                                <w:top w:val="single" w:sz="2" w:space="0" w:color="auto"/>
                                <w:left w:val="single" w:sz="2" w:space="0" w:color="auto"/>
                                <w:bottom w:val="single" w:sz="2" w:space="0" w:color="auto"/>
                                <w:right w:val="single" w:sz="2" w:space="0" w:color="auto"/>
                              </w:divBdr>
                              <w:divsChild>
                                <w:div w:id="1629824150">
                                  <w:marLeft w:val="0"/>
                                  <w:marRight w:val="0"/>
                                  <w:marTop w:val="0"/>
                                  <w:marBottom w:val="0"/>
                                  <w:divBdr>
                                    <w:top w:val="single" w:sz="2" w:space="0" w:color="auto"/>
                                    <w:left w:val="single" w:sz="2" w:space="0" w:color="auto"/>
                                    <w:bottom w:val="single" w:sz="2" w:space="0" w:color="auto"/>
                                    <w:right w:val="single" w:sz="2" w:space="0" w:color="auto"/>
                                  </w:divBdr>
                                  <w:divsChild>
                                    <w:div w:id="199302207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 w:id="1564414487">
              <w:marLeft w:val="0"/>
              <w:marRight w:val="0"/>
              <w:marTop w:val="0"/>
              <w:marBottom w:val="0"/>
              <w:divBdr>
                <w:top w:val="single" w:sz="2" w:space="0" w:color="auto"/>
                <w:left w:val="single" w:sz="2" w:space="0" w:color="auto"/>
                <w:bottom w:val="single" w:sz="2" w:space="0" w:color="auto"/>
                <w:right w:val="single" w:sz="2" w:space="0" w:color="auto"/>
              </w:divBdr>
              <w:divsChild>
                <w:div w:id="446856850">
                  <w:marLeft w:val="0"/>
                  <w:marRight w:val="0"/>
                  <w:marTop w:val="0"/>
                  <w:marBottom w:val="0"/>
                  <w:divBdr>
                    <w:top w:val="single" w:sz="2" w:space="0" w:color="auto"/>
                    <w:left w:val="single" w:sz="2" w:space="0" w:color="auto"/>
                    <w:bottom w:val="single" w:sz="2" w:space="0" w:color="auto"/>
                    <w:right w:val="single" w:sz="2" w:space="0" w:color="auto"/>
                  </w:divBdr>
                  <w:divsChild>
                    <w:div w:id="25848790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168596441">
          <w:marLeft w:val="0"/>
          <w:marRight w:val="0"/>
          <w:marTop w:val="0"/>
          <w:marBottom w:val="0"/>
          <w:divBdr>
            <w:top w:val="single" w:sz="2" w:space="0" w:color="auto"/>
            <w:left w:val="single" w:sz="2" w:space="0" w:color="auto"/>
            <w:bottom w:val="single" w:sz="2" w:space="0" w:color="auto"/>
            <w:right w:val="single" w:sz="2" w:space="0" w:color="auto"/>
          </w:divBdr>
          <w:divsChild>
            <w:div w:id="573009482">
              <w:marLeft w:val="0"/>
              <w:marRight w:val="0"/>
              <w:marTop w:val="0"/>
              <w:marBottom w:val="0"/>
              <w:divBdr>
                <w:top w:val="single" w:sz="2" w:space="0" w:color="auto"/>
                <w:left w:val="single" w:sz="2" w:space="0" w:color="auto"/>
                <w:bottom w:val="single" w:sz="2" w:space="0" w:color="auto"/>
                <w:right w:val="single" w:sz="2" w:space="0" w:color="auto"/>
              </w:divBdr>
              <w:divsChild>
                <w:div w:id="1988972283">
                  <w:marLeft w:val="0"/>
                  <w:marRight w:val="0"/>
                  <w:marTop w:val="0"/>
                  <w:marBottom w:val="0"/>
                  <w:divBdr>
                    <w:top w:val="single" w:sz="2" w:space="0" w:color="auto"/>
                    <w:left w:val="single" w:sz="2" w:space="0" w:color="auto"/>
                    <w:bottom w:val="single" w:sz="2" w:space="0" w:color="auto"/>
                    <w:right w:val="single" w:sz="2" w:space="0" w:color="auto"/>
                  </w:divBdr>
                  <w:divsChild>
                    <w:div w:id="588126336">
                      <w:marLeft w:val="0"/>
                      <w:marRight w:val="0"/>
                      <w:marTop w:val="0"/>
                      <w:marBottom w:val="0"/>
                      <w:divBdr>
                        <w:top w:val="single" w:sz="2" w:space="0" w:color="auto"/>
                        <w:left w:val="single" w:sz="2" w:space="0" w:color="auto"/>
                        <w:bottom w:val="single" w:sz="2" w:space="0" w:color="auto"/>
                        <w:right w:val="single" w:sz="2" w:space="0" w:color="auto"/>
                      </w:divBdr>
                      <w:divsChild>
                        <w:div w:id="123077449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 w:id="214369249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microsoft.com/office/2011/relationships/people" Target="people.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C3B3C1-115B-7142-B763-9A89294F78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2100</TotalTime>
  <Pages>15</Pages>
  <Words>20425</Words>
  <Characters>116428</Characters>
  <Application>Microsoft Office Word</Application>
  <DocSecurity>0</DocSecurity>
  <Lines>970</Lines>
  <Paragraphs>273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136580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Benjamin J. Makhlouf</dc:creator>
  <cp:keywords/>
  <dc:description/>
  <cp:lastModifiedBy>Benjamin J. Makhlouf</cp:lastModifiedBy>
  <cp:revision>26</cp:revision>
  <dcterms:created xsi:type="dcterms:W3CDTF">2025-07-26T18:19:00Z</dcterms:created>
  <dcterms:modified xsi:type="dcterms:W3CDTF">2025-07-31T18:14:00Z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zotero-version="6.0.37"&gt;&lt;session id="HtQRzn35"/&gt;&lt;style id="http://www.zotero.org/styles/journal-of-applied-ecology" hasBibliography="1" bibliographyStyleHasBeenSet="0"/&gt;&lt;prefs&gt;&lt;pref name="fieldType" value="Field"/&gt;&lt;/prefs&gt;&lt;/data&gt;</vt:lpwstr>
  </property>
</Properties>
</file>