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56A875" w14:textId="77777777" w:rsidR="000F3B6C" w:rsidRDefault="000F3B6C" w:rsidP="004712C9">
      <w:pPr>
        <w:suppressLineNumbers/>
        <w:jc w:val="center"/>
        <w:rPr>
          <w:rFonts w:ascii="Garamond" w:hAnsi="Garamond"/>
          <w:b/>
          <w:bCs/>
          <w:sz w:val="32"/>
          <w:szCs w:val="32"/>
        </w:rPr>
      </w:pPr>
    </w:p>
    <w:p w14:paraId="43F57144" w14:textId="5F47D7F5" w:rsidR="000F3B6C" w:rsidRDefault="000F3B6C" w:rsidP="004712C9">
      <w:pPr>
        <w:suppressLineNumbers/>
        <w:jc w:val="center"/>
        <w:rPr>
          <w:rFonts w:ascii="Garamond" w:hAnsi="Garamond"/>
          <w:b/>
          <w:bCs/>
          <w:sz w:val="32"/>
          <w:szCs w:val="32"/>
        </w:rPr>
      </w:pPr>
      <w:r>
        <w:rPr>
          <w:rFonts w:ascii="Garamond" w:hAnsi="Garamond"/>
          <w:b/>
          <w:bCs/>
          <w:sz w:val="32"/>
          <w:szCs w:val="32"/>
        </w:rPr>
        <w:t xml:space="preserve">Timed fishery closures protect stock diversity and increase resource stability </w:t>
      </w:r>
      <w:r w:rsidR="0016395C">
        <w:rPr>
          <w:rFonts w:ascii="Garamond" w:hAnsi="Garamond"/>
          <w:b/>
          <w:bCs/>
          <w:sz w:val="32"/>
          <w:szCs w:val="32"/>
        </w:rPr>
        <w:t>across</w:t>
      </w:r>
      <w:r>
        <w:rPr>
          <w:rFonts w:ascii="Garamond" w:hAnsi="Garamond"/>
          <w:b/>
          <w:bCs/>
          <w:sz w:val="32"/>
          <w:szCs w:val="32"/>
        </w:rPr>
        <w:t xml:space="preserve"> a large river-basin.</w:t>
      </w:r>
    </w:p>
    <w:p w14:paraId="0C7925DE" w14:textId="14AEE9D7" w:rsidR="000F3B6C" w:rsidRPr="0016395C" w:rsidRDefault="000F3B6C" w:rsidP="004712C9">
      <w:pPr>
        <w:suppressLineNumbers/>
        <w:jc w:val="center"/>
        <w:rPr>
          <w:rFonts w:ascii="Garamond" w:hAnsi="Garamond"/>
          <w:b/>
          <w:bCs/>
          <w:sz w:val="20"/>
          <w:szCs w:val="20"/>
        </w:rPr>
      </w:pPr>
      <w:commentRangeStart w:id="0"/>
      <w:r>
        <w:rPr>
          <w:rFonts w:ascii="Garamond" w:hAnsi="Garamond"/>
          <w:b/>
          <w:bCs/>
          <w:sz w:val="20"/>
          <w:szCs w:val="20"/>
        </w:rPr>
        <w:t>Ben Makhlouf, Daniel Schindler, Tim Cline, Zach Liller, Sean Larson</w:t>
      </w:r>
      <w:commentRangeEnd w:id="0"/>
      <w:r>
        <w:rPr>
          <w:rStyle w:val="CommentReference"/>
        </w:rPr>
        <w:commentReference w:id="0"/>
      </w:r>
    </w:p>
    <w:p w14:paraId="3B7D4E61" w14:textId="77777777" w:rsidR="00676513" w:rsidRDefault="00676513" w:rsidP="004712C9">
      <w:pPr>
        <w:suppressLineNumbers/>
        <w:rPr>
          <w:rFonts w:ascii="Garamond" w:hAnsi="Garamond"/>
          <w:b/>
          <w:bCs/>
          <w:sz w:val="22"/>
          <w:szCs w:val="22"/>
          <w:u w:val="single"/>
        </w:rPr>
      </w:pPr>
    </w:p>
    <w:p w14:paraId="58C68C67" w14:textId="77777777" w:rsidR="00F552CD" w:rsidRPr="006D1917" w:rsidRDefault="00F552CD" w:rsidP="00F552CD">
      <w:pPr>
        <w:spacing w:line="480" w:lineRule="auto"/>
        <w:rPr>
          <w:rFonts w:ascii="Garamond" w:hAnsi="Garamond"/>
          <w:b/>
          <w:bCs/>
          <w:sz w:val="22"/>
          <w:szCs w:val="22"/>
          <w:u w:val="single"/>
        </w:rPr>
      </w:pPr>
      <w:commentRangeStart w:id="1"/>
      <w:commentRangeStart w:id="2"/>
      <w:r w:rsidRPr="006D1917">
        <w:rPr>
          <w:rFonts w:ascii="Garamond" w:hAnsi="Garamond"/>
          <w:b/>
          <w:bCs/>
          <w:sz w:val="22"/>
          <w:szCs w:val="22"/>
          <w:u w:val="single"/>
        </w:rPr>
        <w:t>Introduction</w:t>
      </w:r>
      <w:commentRangeEnd w:id="1"/>
      <w:r w:rsidR="00367B6D">
        <w:rPr>
          <w:rStyle w:val="CommentReference"/>
        </w:rPr>
        <w:commentReference w:id="1"/>
      </w:r>
      <w:commentRangeEnd w:id="2"/>
      <w:r w:rsidR="00313CB8">
        <w:rPr>
          <w:rStyle w:val="CommentReference"/>
        </w:rPr>
        <w:commentReference w:id="2"/>
      </w:r>
      <w:r w:rsidRPr="006D1917">
        <w:rPr>
          <w:rFonts w:ascii="Garamond" w:hAnsi="Garamond"/>
          <w:b/>
          <w:bCs/>
          <w:sz w:val="22"/>
          <w:szCs w:val="22"/>
          <w:u w:val="single"/>
        </w:rPr>
        <w:t xml:space="preserve">: </w:t>
      </w:r>
      <w:r w:rsidRPr="006D1917">
        <w:rPr>
          <w:rFonts w:ascii="Garamond" w:hAnsi="Garamond"/>
          <w:sz w:val="22"/>
          <w:szCs w:val="22"/>
        </w:rPr>
        <w:t xml:space="preserve"> </w:t>
      </w:r>
    </w:p>
    <w:p w14:paraId="534439ED" w14:textId="75D14B69" w:rsidR="0090107F" w:rsidRDefault="00711069" w:rsidP="00F552CD">
      <w:pPr>
        <w:spacing w:line="480" w:lineRule="auto"/>
        <w:ind w:firstLine="720"/>
        <w:rPr>
          <w:rFonts w:ascii="Garamond" w:hAnsi="Garamond"/>
          <w:sz w:val="22"/>
          <w:szCs w:val="22"/>
        </w:rPr>
      </w:pPr>
      <w:r w:rsidRPr="00711069">
        <w:rPr>
          <w:rFonts w:ascii="Garamond" w:hAnsi="Garamond"/>
          <w:sz w:val="22"/>
          <w:szCs w:val="22"/>
        </w:rPr>
        <w:t xml:space="preserve">A key challenge in fisheries management is the need to maximize harvest opportunities while maintaining and protecting biodiversity. This challenge is present in mixed species fisheries, where harvesting productive species often risks over-exploitation of non-target co-occurring species of concern. The same challenge also arises in single species mixed stock fisheries, where a single run </w:t>
      </w:r>
      <w:r>
        <w:rPr>
          <w:rFonts w:ascii="Garamond" w:hAnsi="Garamond"/>
          <w:sz w:val="22"/>
          <w:szCs w:val="22"/>
        </w:rPr>
        <w:t>consists</w:t>
      </w:r>
      <w:r w:rsidRPr="00711069">
        <w:rPr>
          <w:rFonts w:ascii="Garamond" w:hAnsi="Garamond"/>
          <w:sz w:val="22"/>
          <w:szCs w:val="22"/>
        </w:rPr>
        <w:t xml:space="preserve"> of several unique stock components that together contribute to biocomplexity</w:t>
      </w:r>
      <w:r>
        <w:rPr>
          <w:rFonts w:ascii="Garamond" w:hAnsi="Garamond"/>
          <w:sz w:val="22"/>
          <w:szCs w:val="22"/>
        </w:rPr>
        <w:t xml:space="preserve"> in the form of variable life history strategies and genetic makeup. This intraspecies biocomplexity serves to increase ecosystem stability by distributing risk across several weakly or negatively correlated sub-components. In addition, for </w:t>
      </w:r>
      <w:r w:rsidR="003D30C7">
        <w:rPr>
          <w:rFonts w:ascii="Garamond" w:hAnsi="Garamond"/>
          <w:sz w:val="22"/>
          <w:szCs w:val="22"/>
        </w:rPr>
        <w:t xml:space="preserve">fisheries which can harvest across several of these stock components, biocomplexity in life history may help reduce pressure on a single stock or series of stocks by distributing fishing pressure across a greater spatial and temporal scale. </w:t>
      </w:r>
    </w:p>
    <w:p w14:paraId="6FEF6D78" w14:textId="77777777" w:rsidR="001269D4" w:rsidRDefault="003D30C7" w:rsidP="001269D4">
      <w:pPr>
        <w:spacing w:line="480" w:lineRule="auto"/>
        <w:ind w:firstLine="720"/>
        <w:rPr>
          <w:rFonts w:ascii="Garamond" w:hAnsi="Garamond"/>
          <w:sz w:val="22"/>
          <w:szCs w:val="22"/>
        </w:rPr>
      </w:pPr>
      <w:r w:rsidRPr="003D30C7">
        <w:rPr>
          <w:rFonts w:ascii="Garamond" w:hAnsi="Garamond"/>
          <w:sz w:val="22"/>
          <w:szCs w:val="22"/>
        </w:rPr>
        <w:t>In salmon ecosystems, the existence and benefits of significant intrapopulation biocomplexity have been well established. Within a given population, variability in return timing and spatial distribution of habitat use distributes the risk of perturbation across both space and time</w:t>
      </w:r>
      <w:r>
        <w:rPr>
          <w:rFonts w:ascii="Garamond" w:hAnsi="Garamond"/>
          <w:sz w:val="22"/>
          <w:szCs w:val="22"/>
        </w:rPr>
        <w:t xml:space="preserve"> </w:t>
      </w:r>
      <w:r w:rsidRPr="003D30C7">
        <w:rPr>
          <w:rFonts w:ascii="Garamond" w:hAnsi="Garamond"/>
          <w:sz w:val="22"/>
          <w:szCs w:val="22"/>
        </w:rPr>
        <w:t>both within and among years.</w:t>
      </w:r>
      <w:r w:rsidR="00D43F43">
        <w:rPr>
          <w:rFonts w:ascii="Garamond" w:hAnsi="Garamond"/>
          <w:sz w:val="22"/>
          <w:szCs w:val="22"/>
        </w:rPr>
        <w:t xml:space="preserve"> </w:t>
      </w:r>
      <w:r w:rsidR="00D43F43" w:rsidRPr="00D43F43">
        <w:rPr>
          <w:rFonts w:ascii="Garamond" w:hAnsi="Garamond"/>
          <w:sz w:val="22"/>
          <w:szCs w:val="22"/>
        </w:rPr>
        <w:t>In doing so, this biocomplexity increases ecosystem resilience to short-term or local changes in habitat conditions, maximizes genetic diversity, and stabilizes aggregate resource availability.</w:t>
      </w:r>
      <w:r w:rsidR="00D43F43">
        <w:rPr>
          <w:rFonts w:ascii="Garamond" w:hAnsi="Garamond"/>
          <w:sz w:val="22"/>
          <w:szCs w:val="22"/>
        </w:rPr>
        <w:t xml:space="preserve"> </w:t>
      </w:r>
      <w:r w:rsidR="00D43F43" w:rsidRPr="00D43F43">
        <w:rPr>
          <w:rFonts w:ascii="Garamond" w:hAnsi="Garamond"/>
          <w:sz w:val="22"/>
          <w:szCs w:val="22"/>
        </w:rPr>
        <w:t xml:space="preserve">For fisheries that harvest migrating stocks downstream, as is the case with many Pacific salmon fisheries, the reliability and duration of resource availability depends on the aggregate dynamics of upstream stocks. </w:t>
      </w:r>
      <w:r w:rsidR="00D43F43">
        <w:rPr>
          <w:rFonts w:ascii="Garamond" w:hAnsi="Garamond"/>
          <w:sz w:val="22"/>
          <w:szCs w:val="22"/>
        </w:rPr>
        <w:t>M</w:t>
      </w:r>
      <w:r w:rsidR="00D43F43" w:rsidRPr="00D43F43">
        <w:rPr>
          <w:rFonts w:ascii="Garamond" w:hAnsi="Garamond"/>
          <w:sz w:val="22"/>
          <w:szCs w:val="22"/>
        </w:rPr>
        <w:t xml:space="preserve">anagers </w:t>
      </w:r>
      <w:r w:rsidR="00D43F43">
        <w:rPr>
          <w:rFonts w:ascii="Garamond" w:hAnsi="Garamond"/>
          <w:sz w:val="22"/>
          <w:szCs w:val="22"/>
        </w:rPr>
        <w:t xml:space="preserve">are therefore tasked with </w:t>
      </w:r>
      <w:r w:rsidR="00D43F43" w:rsidRPr="00D43F43">
        <w:rPr>
          <w:rFonts w:ascii="Garamond" w:hAnsi="Garamond"/>
          <w:sz w:val="22"/>
          <w:szCs w:val="22"/>
        </w:rPr>
        <w:t xml:space="preserve"> design</w:t>
      </w:r>
      <w:r w:rsidR="00D43F43">
        <w:rPr>
          <w:rFonts w:ascii="Garamond" w:hAnsi="Garamond"/>
          <w:sz w:val="22"/>
          <w:szCs w:val="22"/>
        </w:rPr>
        <w:t>ing</w:t>
      </w:r>
      <w:r w:rsidR="00D43F43" w:rsidRPr="00D43F43">
        <w:rPr>
          <w:rFonts w:ascii="Garamond" w:hAnsi="Garamond"/>
          <w:sz w:val="22"/>
          <w:szCs w:val="22"/>
        </w:rPr>
        <w:t xml:space="preserve"> harvest strategies that allow for downstream harvest while protecting the individual health of stock components</w:t>
      </w:r>
      <w:r w:rsidR="001269D4">
        <w:rPr>
          <w:rFonts w:ascii="Garamond" w:hAnsi="Garamond"/>
          <w:sz w:val="22"/>
          <w:szCs w:val="22"/>
        </w:rPr>
        <w:t xml:space="preserve">. </w:t>
      </w:r>
    </w:p>
    <w:p w14:paraId="7BD9E301" w14:textId="2EEC290E" w:rsidR="001269D4" w:rsidRDefault="001269D4" w:rsidP="001269D4">
      <w:pPr>
        <w:spacing w:line="480" w:lineRule="auto"/>
        <w:ind w:firstLine="720"/>
        <w:rPr>
          <w:rFonts w:ascii="Garamond" w:hAnsi="Garamond"/>
          <w:sz w:val="22"/>
          <w:szCs w:val="22"/>
        </w:rPr>
      </w:pPr>
      <w:r>
        <w:rPr>
          <w:rFonts w:ascii="Garamond" w:hAnsi="Garamond"/>
          <w:sz w:val="22"/>
          <w:szCs w:val="22"/>
        </w:rPr>
        <w:lastRenderedPageBreak/>
        <w:t xml:space="preserve">The harvest/biodiversity tradeoff is especially present in Western Alaska, which supports some of the largest salmon fisheries in the world, but which has seen a precipitous decline in the health of Chinook and Chum salmon populations in recent years. </w:t>
      </w:r>
    </w:p>
    <w:p w14:paraId="12345128" w14:textId="77777777" w:rsidR="001269D4" w:rsidRDefault="001269D4" w:rsidP="001269D4">
      <w:pPr>
        <w:spacing w:line="480" w:lineRule="auto"/>
        <w:ind w:firstLine="720"/>
        <w:rPr>
          <w:rFonts w:ascii="Garamond" w:hAnsi="Garamond"/>
          <w:sz w:val="22"/>
          <w:szCs w:val="22"/>
        </w:rPr>
      </w:pPr>
    </w:p>
    <w:p w14:paraId="3E4E8EDA" w14:textId="4378F3F8" w:rsidR="001269D4" w:rsidRDefault="001269D4" w:rsidP="001269D4">
      <w:pPr>
        <w:spacing w:line="480" w:lineRule="auto"/>
        <w:ind w:firstLine="720"/>
        <w:rPr>
          <w:rFonts w:ascii="Garamond" w:hAnsi="Garamond"/>
          <w:sz w:val="22"/>
          <w:szCs w:val="22"/>
        </w:rPr>
      </w:pPr>
      <w:r>
        <w:rPr>
          <w:rFonts w:ascii="Garamond" w:hAnsi="Garamond"/>
          <w:sz w:val="22"/>
          <w:szCs w:val="22"/>
        </w:rPr>
        <w:t xml:space="preserve">salmon fisheries, wherein salmon populations in large river systems are comprised of several stock components with variable health and pressure from both commercial and subsistence fisheries. In recent years returns of important species such as Chinook salmon have dropped </w:t>
      </w:r>
      <w:proofErr w:type="spellStart"/>
      <w:r>
        <w:rPr>
          <w:rFonts w:ascii="Garamond" w:hAnsi="Garamond"/>
          <w:sz w:val="22"/>
          <w:szCs w:val="22"/>
        </w:rPr>
        <w:t>precipitiously</w:t>
      </w:r>
      <w:proofErr w:type="spellEnd"/>
      <w:r>
        <w:rPr>
          <w:rFonts w:ascii="Garamond" w:hAnsi="Garamond"/>
          <w:sz w:val="22"/>
          <w:szCs w:val="22"/>
        </w:rPr>
        <w:t xml:space="preserve">, leading to </w:t>
      </w:r>
    </w:p>
    <w:p w14:paraId="1BD73E60" w14:textId="77777777" w:rsidR="001269D4" w:rsidRDefault="001269D4" w:rsidP="001269D4">
      <w:pPr>
        <w:spacing w:line="480" w:lineRule="auto"/>
        <w:ind w:firstLine="720"/>
        <w:rPr>
          <w:rFonts w:ascii="Garamond" w:hAnsi="Garamond"/>
          <w:sz w:val="22"/>
          <w:szCs w:val="22"/>
        </w:rPr>
      </w:pPr>
    </w:p>
    <w:p w14:paraId="5B9F262B" w14:textId="41A3A71B" w:rsidR="000C6898" w:rsidRDefault="000C6898" w:rsidP="001269D4">
      <w:pPr>
        <w:spacing w:line="480" w:lineRule="auto"/>
        <w:ind w:firstLine="720"/>
        <w:rPr>
          <w:rFonts w:ascii="Garamond" w:hAnsi="Garamond"/>
          <w:sz w:val="22"/>
          <w:szCs w:val="22"/>
        </w:rPr>
      </w:pPr>
      <w:r>
        <w:rPr>
          <w:rFonts w:ascii="Garamond" w:hAnsi="Garamond"/>
          <w:sz w:val="22"/>
          <w:szCs w:val="22"/>
        </w:rPr>
        <w:t xml:space="preserve">Western Alaska salmon fisheries face a pressing harvest biodiversity tradeoff , and with little fine scale understanding of the spatial ecology </w:t>
      </w:r>
    </w:p>
    <w:p w14:paraId="7178673D" w14:textId="77777777" w:rsidR="0090107F" w:rsidRDefault="000C6898" w:rsidP="00F552CD">
      <w:pPr>
        <w:spacing w:line="480" w:lineRule="auto"/>
        <w:ind w:firstLine="720"/>
        <w:rPr>
          <w:rFonts w:ascii="Garamond" w:hAnsi="Garamond"/>
          <w:sz w:val="22"/>
          <w:szCs w:val="22"/>
        </w:rPr>
      </w:pPr>
      <w:r>
        <w:rPr>
          <w:rFonts w:ascii="Garamond" w:hAnsi="Garamond"/>
          <w:sz w:val="22"/>
          <w:szCs w:val="22"/>
        </w:rPr>
        <w:t xml:space="preserve">This has led to the use of front end closure strategy in the Kuskokwim </w:t>
      </w:r>
      <w:r w:rsidR="0090107F">
        <w:rPr>
          <w:rFonts w:ascii="Garamond" w:hAnsi="Garamond"/>
          <w:sz w:val="22"/>
          <w:szCs w:val="22"/>
        </w:rPr>
        <w:t xml:space="preserve">to protect opportunity for upstream comm. And stabilize the fishery by protecting upstream stocks </w:t>
      </w:r>
    </w:p>
    <w:p w14:paraId="751F69BB" w14:textId="77777777" w:rsidR="0090107F" w:rsidRDefault="0090107F" w:rsidP="00F552CD">
      <w:pPr>
        <w:spacing w:line="480" w:lineRule="auto"/>
        <w:ind w:firstLine="720"/>
        <w:rPr>
          <w:rFonts w:ascii="Garamond" w:hAnsi="Garamond"/>
          <w:sz w:val="22"/>
          <w:szCs w:val="22"/>
        </w:rPr>
      </w:pPr>
      <w:r>
        <w:rPr>
          <w:rFonts w:ascii="Garamond" w:hAnsi="Garamond"/>
          <w:sz w:val="22"/>
          <w:szCs w:val="22"/>
        </w:rPr>
        <w:t xml:space="preserve">Little understanding of the spatiotemporal patterns in the system </w:t>
      </w:r>
    </w:p>
    <w:p w14:paraId="55C634CC" w14:textId="77777777" w:rsidR="0090107F" w:rsidRDefault="0090107F" w:rsidP="00F552CD">
      <w:pPr>
        <w:spacing w:line="480" w:lineRule="auto"/>
        <w:ind w:firstLine="720"/>
        <w:rPr>
          <w:rFonts w:ascii="Garamond" w:hAnsi="Garamond"/>
          <w:sz w:val="22"/>
          <w:szCs w:val="22"/>
        </w:rPr>
      </w:pPr>
      <w:r>
        <w:rPr>
          <w:rFonts w:ascii="Garamond" w:hAnsi="Garamond"/>
          <w:sz w:val="22"/>
          <w:szCs w:val="22"/>
        </w:rPr>
        <w:t xml:space="preserve">Here, we…. </w:t>
      </w:r>
    </w:p>
    <w:p w14:paraId="5B7C186E" w14:textId="77777777" w:rsidR="0090107F" w:rsidRDefault="0090107F" w:rsidP="00F552CD">
      <w:pPr>
        <w:spacing w:line="480" w:lineRule="auto"/>
        <w:ind w:firstLine="720"/>
        <w:rPr>
          <w:rFonts w:ascii="Garamond" w:hAnsi="Garamond"/>
          <w:sz w:val="22"/>
          <w:szCs w:val="22"/>
        </w:rPr>
      </w:pPr>
    </w:p>
    <w:p w14:paraId="0F71EEB4" w14:textId="5DBDF565" w:rsidR="000C6898" w:rsidRDefault="0090107F" w:rsidP="00F552CD">
      <w:pPr>
        <w:spacing w:line="480" w:lineRule="auto"/>
        <w:ind w:firstLine="720"/>
        <w:rPr>
          <w:rFonts w:ascii="Garamond" w:hAnsi="Garamond"/>
          <w:sz w:val="22"/>
          <w:szCs w:val="22"/>
        </w:rPr>
      </w:pPr>
      <w:r>
        <w:rPr>
          <w:rFonts w:ascii="Garamond" w:hAnsi="Garamond"/>
          <w:sz w:val="22"/>
          <w:szCs w:val="22"/>
        </w:rPr>
        <w:t xml:space="preserve"> </w:t>
      </w:r>
    </w:p>
    <w:p w14:paraId="4172017A" w14:textId="77777777" w:rsidR="000C6898" w:rsidRDefault="000C6898" w:rsidP="00F552CD">
      <w:pPr>
        <w:spacing w:line="480" w:lineRule="auto"/>
        <w:ind w:firstLine="720"/>
        <w:rPr>
          <w:rFonts w:ascii="Garamond" w:hAnsi="Garamond"/>
          <w:sz w:val="22"/>
          <w:szCs w:val="22"/>
        </w:rPr>
      </w:pPr>
    </w:p>
    <w:p w14:paraId="634EB05A" w14:textId="77777777" w:rsidR="000C6898" w:rsidRDefault="000C6898" w:rsidP="00F552CD">
      <w:pPr>
        <w:spacing w:line="480" w:lineRule="auto"/>
        <w:ind w:firstLine="720"/>
        <w:rPr>
          <w:rFonts w:ascii="Garamond" w:hAnsi="Garamond"/>
          <w:sz w:val="22"/>
          <w:szCs w:val="22"/>
        </w:rPr>
      </w:pPr>
    </w:p>
    <w:p w14:paraId="1414C562" w14:textId="77777777" w:rsidR="000C6898" w:rsidRDefault="000C6898" w:rsidP="00F552CD">
      <w:pPr>
        <w:spacing w:line="480" w:lineRule="auto"/>
        <w:ind w:firstLine="720"/>
        <w:rPr>
          <w:rFonts w:ascii="Garamond" w:hAnsi="Garamond"/>
          <w:sz w:val="22"/>
          <w:szCs w:val="22"/>
        </w:rPr>
      </w:pPr>
    </w:p>
    <w:p w14:paraId="0E2FC904" w14:textId="77777777" w:rsidR="000C6898" w:rsidRDefault="000C6898" w:rsidP="00F552CD">
      <w:pPr>
        <w:spacing w:line="480" w:lineRule="auto"/>
        <w:ind w:firstLine="720"/>
        <w:rPr>
          <w:rFonts w:ascii="Garamond" w:hAnsi="Garamond"/>
          <w:sz w:val="22"/>
          <w:szCs w:val="22"/>
        </w:rPr>
      </w:pPr>
    </w:p>
    <w:p w14:paraId="2D051071" w14:textId="77777777" w:rsidR="000C6898" w:rsidRDefault="000C6898" w:rsidP="00F552CD">
      <w:pPr>
        <w:spacing w:line="480" w:lineRule="auto"/>
        <w:ind w:firstLine="720"/>
        <w:rPr>
          <w:rFonts w:ascii="Garamond" w:hAnsi="Garamond"/>
          <w:sz w:val="22"/>
          <w:szCs w:val="22"/>
        </w:rPr>
      </w:pPr>
    </w:p>
    <w:p w14:paraId="6EB95AE2" w14:textId="77777777" w:rsidR="000C6898" w:rsidRDefault="000C6898" w:rsidP="00F552CD">
      <w:pPr>
        <w:spacing w:line="480" w:lineRule="auto"/>
        <w:ind w:firstLine="720"/>
        <w:rPr>
          <w:rFonts w:ascii="Garamond" w:hAnsi="Garamond"/>
          <w:sz w:val="22"/>
          <w:szCs w:val="22"/>
        </w:rPr>
      </w:pPr>
    </w:p>
    <w:p w14:paraId="583C1D1A" w14:textId="77777777" w:rsidR="000C6898" w:rsidRDefault="000C6898" w:rsidP="00F552CD">
      <w:pPr>
        <w:spacing w:line="480" w:lineRule="auto"/>
        <w:ind w:firstLine="720"/>
        <w:rPr>
          <w:rFonts w:ascii="Garamond" w:hAnsi="Garamond"/>
          <w:sz w:val="22"/>
          <w:szCs w:val="22"/>
        </w:rPr>
      </w:pPr>
    </w:p>
    <w:p w14:paraId="54053AD6" w14:textId="635BEA65" w:rsidR="00F552CD" w:rsidRPr="006D1917" w:rsidRDefault="00F552CD" w:rsidP="00F552CD">
      <w:pPr>
        <w:spacing w:line="480" w:lineRule="auto"/>
        <w:ind w:firstLine="720"/>
        <w:rPr>
          <w:rFonts w:ascii="Garamond" w:hAnsi="Garamond"/>
          <w:sz w:val="22"/>
          <w:szCs w:val="22"/>
        </w:rPr>
      </w:pPr>
      <w:r w:rsidRPr="006D1917">
        <w:rPr>
          <w:rFonts w:ascii="Garamond" w:hAnsi="Garamond"/>
          <w:sz w:val="22"/>
          <w:szCs w:val="22"/>
        </w:rPr>
        <w:t>Chinook salmon populations are experiencing unprecedented declines across much of their range</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{"citationID":"lr8eoJO9","properties":{"formattedCitation":"(Atlas et al., 2023; Ohlberger et al., 2018)","plainCitation":"(Atlas et al., 2023; Ohlberger et al., 2018)","noteIndex":0},"citationItems":[{"id":5384,"uris":["http://zotero.org/users/8421274/items/YYBUBGXV"],"itemData":{"id":5384,"type":"article-journal","abstract":"Chinook salmon (Oncorhynchus tshawytscha, Salmonidae) are foundational to social-ecological systems of the Northeast Pacific Rim and exhibit a rich diversity of life histories including in their adult migration timing, age at critical life-history transitions and marine feeding distributions. In recent decades Chinook have experienced declines across much of their native range; however, changes in productivity and abundance have rarely been evaluated in relation to life-history variation. To understand trends in Chinook salmon production, and how they are related to life history, we compiled time series data from the Fraser River to the Sacramento River on total run size (pre-fishery abundance) and escapement (post-fishery spawner abundance) and fit time series models to estimate trends across this bioregion. Our analysis revealed that most Chinook populations are declining, with negative trends in escapement (57 of 79) and total run (16 of 23) size. Trends were most acutely negative for interior spring Chinook in the Fraser, Columbia and Snake Rivers and most populations in California. Summer and fall Chinook had mixed trends, with several summer and fall upriver bright populations in the interior Columbia and Fraser exhibiting increases in abundance from the 1990s to 2019. Our research reveals widespread declines of this important species, but local complexity in trends that are mediated by population-level life history, migratory behaviours and watershed-scale restoration actions. Understanding linkages between life histories and resilience should inform rebuilding efforts for Chinook salmon and highlight the need to conserve intraspecific biodiversity.","container-title":"Fish and Fisheries","DOI":"10.1111/faf.12750","ISSN":"1467-2979","issue":"4","language":"en","license":"© 2023 The Authors. Fish and Fisheries published by John Wiley &amp; Sons Ltd.","note":"_eprint: https://onlinelibrary.wiley.com/doi/pdf/10.1111/faf.12750","page":"595-617","source":"Wiley Online Library","title":"Trends in Chinook salmon spawner abundance and total run size highlight linkages between life history, geography and decline","volume":"24","author":[{"family":"Atlas","given":"William I."},{"family":"Sloat","given":"Matthew R."},{"family":"Satterthwaite","given":"William H."},{"family":"Buehrens","given":"Thomas W."},{"family":"Parken","given":"Charles K."},{"family":"Moore","given":"Jonathan W."},{"family":"Mantua","given":"Nathan J."},{"family":"Hart","given":"Jon"},{"family":"Potapova","given":"Anna"}],"issued":{"date-parts":[["2023"]]}}},{"id":4421,"uris":["http://zotero.org/users/8421274/items/PUA9GF7A"],"itemData":{"id":4421,"type":"article-journal","abstract":"The demographic structure of populations is affected by life history strategies and how these interact with natural and anthropogenic factors such as exploitation, climate change, and biotic interactions. Previous work suggests that the mean size and age of some North American populations of Chinook salmon (Oncorhynchus tshawytscha, Salmonidae) are declining. These trends are of concern because Chinook salmon are highly valued commercially for their exceptional size and because the loss of the largest and oldest individuals may lead to reduced population productivity. Using long-term data from wild and hatchery populations, we quantified changes in the demographic structure of Chinook salmon populations over the past four decades across the Northeast Pacific Ocean, from California through western Alaska. Our results show that wild and hatchery fish are becoming smaller and younger throughout most of the Pacific coast. Proportions of older age classes have decreased over time in most regions. Simultaneously, the length-at-age of older fish has declined while the length-at-age of younger fish has typically increased. However, negative size trends of older ages were weak or non-existent at the southern end of the range. While it remains to be explored whether these trends are caused by changes in climate, fishing practices or species interactions such as predation, our qualitative review of the potential causes of demographic change suggests that selective removal of large fish has likely contributed to the apparent widespread declines in average body sizes.","container-title":"Fish and Fisheries","DOI":"10.1111/faf.12272","ISSN":"1467-2979","issue":"3","language":"en","license":"© 2018 The Authors. Fish and Fisheries published by John Wiley &amp; Sons Ltd.","note":"_eprint: https://onlinelibrary.wiley.com/doi/pdf/10.1111/faf.12272","page":"533-546","source":"Wiley Online Library","title":"Demographic changes in Chinook salmon across the Northeast Pacific Ocean","volume":"19","author":[{"family":"Ohlberger","given":"Jan"},{"family":"Ward","given":"Eric J"},{"family":"Schindler","given":"Daniel E"},{"family":"Lewis","given":"Bert"}],"issued":{"date-parts":[["2018"]]}}}],"schema":"https://github.com/citation-style-language/schema/raw/master/csl-citation.json"}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(Atlas et al., 2023; Ohlberger et al., 2018)</w:t>
      </w:r>
      <w:r>
        <w:rPr>
          <w:rFonts w:ascii="Garamond" w:hAnsi="Garamond"/>
          <w:sz w:val="22"/>
          <w:szCs w:val="22"/>
        </w:rPr>
        <w:fldChar w:fldCharType="end"/>
      </w:r>
      <w:r w:rsidRPr="006D1917">
        <w:rPr>
          <w:rFonts w:ascii="Garamond" w:hAnsi="Garamond"/>
          <w:sz w:val="22"/>
          <w:szCs w:val="22"/>
        </w:rPr>
        <w:t xml:space="preserve">. This trend is especially severe in </w:t>
      </w:r>
      <w:r>
        <w:rPr>
          <w:rFonts w:ascii="Garamond" w:hAnsi="Garamond"/>
          <w:sz w:val="22"/>
          <w:szCs w:val="22"/>
        </w:rPr>
        <w:t>w</w:t>
      </w:r>
      <w:r w:rsidRPr="006D1917">
        <w:rPr>
          <w:rFonts w:ascii="Garamond" w:hAnsi="Garamond"/>
          <w:sz w:val="22"/>
          <w:szCs w:val="22"/>
        </w:rPr>
        <w:t xml:space="preserve">estern Alaska watersheds, which contain some of the world's last pristine Chinook </w:t>
      </w:r>
      <w:r>
        <w:rPr>
          <w:rFonts w:ascii="Garamond" w:hAnsi="Garamond"/>
          <w:sz w:val="22"/>
          <w:szCs w:val="22"/>
        </w:rPr>
        <w:t xml:space="preserve">salmon </w:t>
      </w:r>
      <w:r w:rsidRPr="006D1917">
        <w:rPr>
          <w:rFonts w:ascii="Garamond" w:hAnsi="Garamond"/>
          <w:sz w:val="22"/>
          <w:szCs w:val="22"/>
        </w:rPr>
        <w:t xml:space="preserve">habitat but have seen steep declines in returning Chinook and </w:t>
      </w:r>
      <w:r>
        <w:rPr>
          <w:rFonts w:ascii="Garamond" w:hAnsi="Garamond"/>
          <w:sz w:val="22"/>
          <w:szCs w:val="22"/>
        </w:rPr>
        <w:t>c</w:t>
      </w:r>
      <w:r w:rsidRPr="006D1917">
        <w:rPr>
          <w:rFonts w:ascii="Garamond" w:hAnsi="Garamond"/>
          <w:sz w:val="22"/>
          <w:szCs w:val="22"/>
        </w:rPr>
        <w:t>hum salmon in recent years</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{"citationID":"MP9B29WU","properties":{"formattedCitation":"(Lamborn et al., 2025; Murdoch et al., 2024)","plainCitation":"(Lamborn et al., 2025; Murdoch et al., 2024)","noteIndex":0},"citationItems":[{"id":5379,"uris":["http://zotero.org/users/8421274/items/6TRPLVW4"],"itemData":{"id":5379,"type":"article-journal","abstract":"Across Alaska, there have been synchronous declines in the abundance, mean age, and size of Chinook salmon (Oncorhynchus tshawytscha, Salmonidae), a species with immense social and ecological importance. The decline of Chinook salmon, and regulations addressing declines, have drastically impacted people who rely on Alaska's fisheries. Despite their importance, the drivers causing Chinook salmon declines are still not well understood. Therefore, to improve our understanding of the likely drivers of these large-scale synchronous declines, we synthesised the peer-reviewed Chinook salmon literature published between 2010 and 2024 using a weight-of-evidence approach. We identified 94 variables used to explain the trends in abundance and demographics of Chinook salmon. Each variable's association with trends in Chinook salmon was individually assessed and integrated using a standardised method. Results of this synthesis suggest the drivers for large-scale synchronous declines have occurred in the North Pacific Ocean. Specifically, we found marine predation, size selective harvest, and pink salmon (Oncorhynchus gorbuscha) abundance are the factors most strongly associated with reduced size and age. Results also suggest ocean productivity–specifically winter sea surface temperature and the North Pacific Gyre Oscillation–are the most frequently identified predictors of regional Chinook salmon abundance. In addition to addressing freshwater factors like adult heat stress and juvenile predation, we suggest research, policy, and management focus on how to better understand and address the interactions between ocean productivity, marine predation, size selective harvest, and pink salmon abundance to improve the condition of Chinook salmon, and the people and ecosystems benefiting from them.","container-title":"Fish and Fisheries","DOI":"10.1111/faf.12895","ISSN":"1467-2979","issue":"n/a","language":"en","license":"© 2025 The Author(s). Fish and Fisheries published by John Wiley &amp; Sons Ltd.","note":"_eprint: https://onlinelibrary.wiley.com/doi/pdf/10.1111/faf.12895","source":"Wiley Online Library","title":"A Synthesis of Factors Related to Trends in Abundance and Demography of Alaska Chinook Salmon (Oncorhynchus tshawytscha, Salmonidae): Implications for Research, Management, and Policy","title-short":"A Synthesis of Factors Related to Trends in Abundance and Demography of Alaska Chinook Salmon (Oncorhynchus tshawytscha, Salmonidae)","URL":"https://onlinelibrary.wiley.com/doi/abs/10.1111/faf.12895","volume":"n/a","author":[{"family":"Lamborn","given":"Chase C."},{"family":"Ohlberger","given":"Jan"},{"family":"Walsworth","given":"Timothy E."},{"family":"Westley","given":"Peter A. H."},{"family":"Cunningham","given":"Curry J."},{"family":"Wynsma","given":"Sam"},{"family":"Smith","given":"Jordan W."}],"accessed":{"date-parts":[["2025",6,4]]},"issued":{"date-parts":[["2025"]]}}},{"id":5327,"uris":["http://zotero.org/users/8421274/items/QJJ96GUP"],"itemData":{"id":5327,"type":"article-journal","abstract":"Recent declines of Yukon River Chinook salmon (Oncorhynchus tshawytscha) populations have severely impacted people residing in the Yukon and Alaska. Evidence-based conservation strategies focused on stock recovery and adaptation are urgently needed but are limited by our understanding of what is driving declines, particularly in Canadian portions of the Yukon River basin. We examined how multiple environmental drivers may be influencing Canadian-origin Yukon River Chinook salmon productivity for eight populations over a 28-year period. We found that productivity was related to various environmental and ecosystem processes acting cumulatively over multiple life stages and across broad geographic scales. Productivity decreased in association with warmer upriver migration temperatures, wetter freshwater juvenile rearing habitats, and increasing abundances of potential marine competitors. In contrast, productivity increased in years with warmer and snowier winters and earlier spring onset. We found that different populations had similar relationships with environmental drivers, with potentially negative implications for regional fisheries stability. Our findings provide insight into how Chinook salmon are responding to rapid environmental change and can help inform salmon conservation initiatives and sustainable harvest strategies.","container-title":"CANADIAN JOURNAL OF FISHERIES AND AQUATIC SCIENCES","DOI":"10.1139/cjfas-2022-0254","ISSN":"0706-652X, 1205-7533","issue":"1","journalAbbreviation":"Can. J. Fish. Aquat. Sci.","language":"English","note":"number-of-pages: 18\npublisher-place: Ottawa\npublisher: Canadian Science Publishing\nWeb of Science ID: WOS:001129796500001","page":"97-114","source":"Clarivate Analytics Web of Science","title":"Multiple environmental drivers across life stages influence Yukon River Chinook salmon productivity","volume":"81","author":[{"family":"Murdoch","given":"A."},{"family":"Connors","given":"B. M."},{"family":"Lapointe","given":"N. W. R."},{"family":"Flemming","given":"J. Mills"},{"family":"Cooke","given":"S. J."},{"family":"Mantyka-Pringle","given":"C."}],"issued":{"date-parts":[["2024",1]]}}}],"schema":"https://github.com/citation-style-language/schema/raw/master/csl-citation.json"}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(Lamborn et al., 2025; Murdoch et al., 2024)</w:t>
      </w:r>
      <w:r>
        <w:rPr>
          <w:rFonts w:ascii="Garamond" w:hAnsi="Garamond"/>
          <w:sz w:val="22"/>
          <w:szCs w:val="22"/>
        </w:rPr>
        <w:fldChar w:fldCharType="end"/>
      </w:r>
      <w:r w:rsidRPr="006D1917">
        <w:rPr>
          <w:rFonts w:ascii="Garamond" w:hAnsi="Garamond"/>
          <w:sz w:val="22"/>
          <w:szCs w:val="22"/>
        </w:rPr>
        <w:t xml:space="preserve">. Salmon from this region </w:t>
      </w:r>
      <w:r>
        <w:rPr>
          <w:rFonts w:ascii="Garamond" w:hAnsi="Garamond"/>
          <w:sz w:val="22"/>
          <w:szCs w:val="22"/>
        </w:rPr>
        <w:t>have supported</w:t>
      </w:r>
      <w:r w:rsidRPr="006D1917">
        <w:rPr>
          <w:rFonts w:ascii="Garamond" w:hAnsi="Garamond"/>
          <w:sz w:val="22"/>
          <w:szCs w:val="22"/>
        </w:rPr>
        <w:t xml:space="preserve"> lucrative commercial </w:t>
      </w:r>
      <w:r w:rsidR="0016395C" w:rsidRPr="006D1917">
        <w:rPr>
          <w:rFonts w:ascii="Garamond" w:hAnsi="Garamond"/>
          <w:sz w:val="22"/>
          <w:szCs w:val="22"/>
        </w:rPr>
        <w:t>fisheries and</w:t>
      </w:r>
      <w:r w:rsidRPr="006D1917">
        <w:rPr>
          <w:rFonts w:ascii="Garamond" w:hAnsi="Garamond"/>
          <w:sz w:val="22"/>
          <w:szCs w:val="22"/>
        </w:rPr>
        <w:t xml:space="preserve"> have historically </w:t>
      </w:r>
      <w:r>
        <w:rPr>
          <w:rFonts w:ascii="Garamond" w:hAnsi="Garamond"/>
          <w:sz w:val="22"/>
          <w:szCs w:val="22"/>
        </w:rPr>
        <w:t>provided the cultural and nutritional</w:t>
      </w:r>
      <w:r w:rsidRPr="006D1917">
        <w:rPr>
          <w:rFonts w:ascii="Garamond" w:hAnsi="Garamond"/>
          <w:sz w:val="22"/>
          <w:szCs w:val="22"/>
        </w:rPr>
        <w:t xml:space="preserve"> </w:t>
      </w:r>
      <w:r>
        <w:rPr>
          <w:rFonts w:ascii="Garamond" w:hAnsi="Garamond"/>
          <w:sz w:val="22"/>
          <w:szCs w:val="22"/>
        </w:rPr>
        <w:t>foundation for</w:t>
      </w:r>
      <w:r w:rsidRPr="006D1917">
        <w:rPr>
          <w:rFonts w:ascii="Garamond" w:hAnsi="Garamond"/>
          <w:sz w:val="22"/>
          <w:szCs w:val="22"/>
        </w:rPr>
        <w:t xml:space="preserve"> dozens of </w:t>
      </w:r>
      <w:r>
        <w:rPr>
          <w:rFonts w:ascii="Garamond" w:hAnsi="Garamond"/>
          <w:sz w:val="22"/>
          <w:szCs w:val="22"/>
        </w:rPr>
        <w:t xml:space="preserve">subsistence </w:t>
      </w:r>
      <w:r w:rsidRPr="006D1917">
        <w:rPr>
          <w:rFonts w:ascii="Garamond" w:hAnsi="Garamond"/>
          <w:sz w:val="22"/>
          <w:szCs w:val="22"/>
        </w:rPr>
        <w:t xml:space="preserve">communities in the region. As runs have collapsed, however, </w:t>
      </w:r>
      <w:r>
        <w:rPr>
          <w:rFonts w:ascii="Garamond" w:hAnsi="Garamond"/>
          <w:sz w:val="22"/>
          <w:szCs w:val="22"/>
        </w:rPr>
        <w:t xml:space="preserve">harvest has been completed restricted </w:t>
      </w:r>
      <w:r w:rsidR="00D53B0E">
        <w:rPr>
          <w:rFonts w:ascii="Garamond" w:hAnsi="Garamond"/>
          <w:sz w:val="22"/>
          <w:szCs w:val="22"/>
        </w:rPr>
        <w:t>f</w:t>
      </w:r>
      <w:r>
        <w:rPr>
          <w:rFonts w:ascii="Garamond" w:hAnsi="Garamond"/>
          <w:sz w:val="22"/>
          <w:szCs w:val="22"/>
        </w:rPr>
        <w:t>or</w:t>
      </w:r>
      <w:r w:rsidRPr="006D1917">
        <w:rPr>
          <w:rFonts w:ascii="Garamond" w:hAnsi="Garamond"/>
          <w:sz w:val="22"/>
          <w:szCs w:val="22"/>
        </w:rPr>
        <w:t xml:space="preserve"> upstream communities </w:t>
      </w:r>
      <w:r w:rsidR="00D53B0E">
        <w:rPr>
          <w:rFonts w:ascii="Garamond" w:hAnsi="Garamond"/>
          <w:sz w:val="22"/>
          <w:szCs w:val="22"/>
        </w:rPr>
        <w:t xml:space="preserve">who </w:t>
      </w:r>
      <w:r w:rsidRPr="006D1917">
        <w:rPr>
          <w:rFonts w:ascii="Garamond" w:hAnsi="Garamond"/>
          <w:sz w:val="22"/>
          <w:szCs w:val="22"/>
        </w:rPr>
        <w:t>have voluntarily reduced or ceased subsistence fishing altogether, triggering a region-wide crisis of food insecurity, cultural loss, and the potential disappearance of a critical economic resource</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{"citationID":"pEObtCaz","properties":{"formattedCitation":"(Brown &amp; Godduhn, 2015)","plainCitation":"(Brown &amp; Godduhn, 2015)","noteIndex":0},"citationItems":[{"id":4428,"uris":["http://zotero.org/users/8421274/items/2WA8NCRM"],"itemData":{"id":4428,"type":"article-journal","language":"en","source":"Zotero","title":"Socioeconomic effects of declining salmon runs on the Yukon River","author":[{"family":"Brown","given":"Caroline L"},{"family":"Godduhn","given":"Anna"}],"issued":{"date-parts":[["2015"]]}}}],"schema":"https://github.com/citation-style-language/schema/raw/master/csl-citation.json"}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(Brown &amp; Godduhn, 2015)</w:t>
      </w:r>
      <w:r>
        <w:rPr>
          <w:rFonts w:ascii="Garamond" w:hAnsi="Garamond"/>
          <w:sz w:val="22"/>
          <w:szCs w:val="22"/>
        </w:rPr>
        <w:fldChar w:fldCharType="end"/>
      </w:r>
      <w:r w:rsidRPr="006D1917">
        <w:rPr>
          <w:rFonts w:ascii="Garamond" w:hAnsi="Garamond"/>
          <w:sz w:val="22"/>
          <w:szCs w:val="22"/>
        </w:rPr>
        <w:t xml:space="preserve">. As a result, resource managers face the difficult task of designing management strategies which balancing ongoing harvest opportunities with the urgent need to rebuild salmon populations and strengthen their resilience to future perturbations. </w:t>
      </w:r>
    </w:p>
    <w:p w14:paraId="48B5FC46" w14:textId="2D896D12" w:rsidR="00D53B0E" w:rsidRDefault="00F552CD" w:rsidP="00F552CD">
      <w:pPr>
        <w:pStyle w:val="NormalWeb"/>
        <w:spacing w:line="480" w:lineRule="auto"/>
        <w:ind w:firstLine="720"/>
        <w:rPr>
          <w:rFonts w:ascii="Garamond" w:hAnsi="Garamond"/>
          <w:sz w:val="22"/>
          <w:szCs w:val="22"/>
        </w:rPr>
      </w:pPr>
      <w:r w:rsidRPr="006D1917">
        <w:rPr>
          <w:rFonts w:ascii="Garamond" w:hAnsi="Garamond"/>
          <w:sz w:val="22"/>
          <w:szCs w:val="22"/>
        </w:rPr>
        <w:t>There is growing recognition of the critical role that intrapopulation variability plays in fostering resilience at the ecosystem scale in both terrestrial and aquatic ecosystems</w:t>
      </w:r>
      <w:r>
        <w:rPr>
          <w:rFonts w:ascii="Garamond" w:hAnsi="Garamond"/>
          <w:sz w:val="22"/>
          <w:szCs w:val="22"/>
        </w:rPr>
        <w:t xml:space="preserve"> </w:t>
      </w:r>
      <w:r>
        <w:rPr>
          <w:rFonts w:ascii="Garamond" w:hAnsi="Garamond"/>
          <w:sz w:val="22"/>
          <w:szCs w:val="22"/>
        </w:rPr>
        <w:fldChar w:fldCharType="begin"/>
      </w:r>
      <w:r w:rsidR="00A26A50">
        <w:rPr>
          <w:rFonts w:ascii="Garamond" w:hAnsi="Garamond"/>
          <w:sz w:val="22"/>
          <w:szCs w:val="22"/>
        </w:rPr>
        <w:instrText xml:space="preserve"> ADDIN ZOTERO_ITEM CSL_CITATION {"citationID":"ZMEsTNxs","properties":{"formattedCitation":"(Luck et al., 2003; Schindler et al., 2015)","plainCitation":"(Luck et al., 2003; Schindler et al., 2015)","noteIndex":0},"citationItems":[{"id":5557,"uris":["http://zotero.org/users/8421274/items/VSKUKCRX"],"itemData":{"id":5557,"type":"article-journal","abstract":"The current rate of biodiversity loss threatens to disrupt greatly the functioning of ecosystems, with potentially significant consequences for humanity. The magnitude of the loss is generally measured with the use of species extinction rates, an approach that understates the severity of the problem and masks some of its most important consequences. Here, we propose a major expansion of this focus to include population diversity: considering changes in the size, number, distribution and genetic composition of populations and the implications of those changes for the functioning of ecosystems and the provision of ecosystem services. We also outline the key components of population diversity and describe a new approach to delineating a population unit that explicitly links it to the services that it provides","container-title":"Trends in Ecology &amp; Evolution","DOI":"10.1016/S0169-5347(03)00100-9","journalAbbreviation":"Trends in Ecology &amp; Evolution","page":"331-336","source":"ResearchGate","title":"Population diversity and ecosystem services","volume":"18","author":[{"family":"Luck","given":"Gary"},{"family":"Daily","given":"Gretchen"},{"family":"Ehrlich","given":"Paul"}],"issued":{"date-parts":[["2003",7,1]]}}},{"id":68,"uris":["http://zotero.org/users/8421274/items/DIRY8NHC"],"itemData":{"id":68,"type":"article-journal","container-title":"Frontiers in Ecology and the Environment","issue":"5","note":"publisher: Wiley Online Library","page":"257–263","source":"Google Scholar","title":"The portfolio concept in ecology and evolution","volume":"13","author":[{"family":"Schindler","given":"Daniel E."},{"family":"Armstrong","given":"Jonathan B."},{"family":"Reed","given":"Thomas E."}],"issued":{"date-parts":[["2015"]]}}}],"schema":"https://github.com/citation-style-language/schema/raw/master/csl-citation.json"} </w:instrText>
      </w:r>
      <w:r>
        <w:rPr>
          <w:rFonts w:ascii="Garamond" w:hAnsi="Garamond"/>
          <w:sz w:val="22"/>
          <w:szCs w:val="22"/>
        </w:rPr>
        <w:fldChar w:fldCharType="separate"/>
      </w:r>
      <w:r w:rsidR="00A26A50">
        <w:rPr>
          <w:rFonts w:ascii="Garamond" w:hAnsi="Garamond"/>
          <w:noProof/>
          <w:sz w:val="22"/>
          <w:szCs w:val="22"/>
        </w:rPr>
        <w:t>(Luck et al., 2003; Schindler et al., 2015)</w:t>
      </w:r>
      <w:r>
        <w:rPr>
          <w:rFonts w:ascii="Garamond" w:hAnsi="Garamond"/>
          <w:sz w:val="22"/>
          <w:szCs w:val="22"/>
        </w:rPr>
        <w:fldChar w:fldCharType="end"/>
      </w:r>
      <w:r w:rsidRPr="006D1917">
        <w:rPr>
          <w:rFonts w:ascii="Garamond" w:hAnsi="Garamond"/>
          <w:sz w:val="22"/>
          <w:szCs w:val="22"/>
        </w:rPr>
        <w:t>. In salmon populations, substantial variation in both return timing and spatial distribution of habitat use produces significant complexity in life history strategies within and among populations</w:t>
      </w:r>
      <w:r>
        <w:rPr>
          <w:rFonts w:ascii="Garamond" w:hAnsi="Garamond"/>
          <w:sz w:val="22"/>
          <w:szCs w:val="22"/>
        </w:rPr>
        <w:t xml:space="preserve"> (Hilborn et al. 2003)</w:t>
      </w:r>
      <w:r w:rsidRPr="006D1917">
        <w:rPr>
          <w:rFonts w:ascii="Garamond" w:hAnsi="Garamond"/>
          <w:sz w:val="22"/>
          <w:szCs w:val="22"/>
        </w:rPr>
        <w:t>. Overall population performance in salmon ecosystems is</w:t>
      </w:r>
      <w:r>
        <w:rPr>
          <w:rFonts w:ascii="Garamond" w:hAnsi="Garamond"/>
          <w:sz w:val="22"/>
          <w:szCs w:val="22"/>
        </w:rPr>
        <w:t xml:space="preserve"> therefore</w:t>
      </w:r>
      <w:r w:rsidRPr="006D1917">
        <w:rPr>
          <w:rFonts w:ascii="Garamond" w:hAnsi="Garamond"/>
          <w:sz w:val="22"/>
          <w:szCs w:val="22"/>
        </w:rPr>
        <w:t xml:space="preserve"> shaped by the statistical averaging of multiple distinct, semi-independent sub-units distributed across space and time</w:t>
      </w:r>
      <w:r>
        <w:rPr>
          <w:rFonts w:ascii="Garamond" w:hAnsi="Garamond"/>
          <w:sz w:val="22"/>
          <w:szCs w:val="22"/>
        </w:rPr>
        <w:t xml:space="preserve"> </w:t>
      </w:r>
      <w:r>
        <w:rPr>
          <w:rFonts w:ascii="Garamond" w:hAnsi="Garamond"/>
          <w:sz w:val="22"/>
          <w:szCs w:val="22"/>
        </w:rPr>
        <w:fldChar w:fldCharType="begin"/>
      </w:r>
      <w:r w:rsidR="00A26A50">
        <w:rPr>
          <w:rFonts w:ascii="Garamond" w:hAnsi="Garamond"/>
          <w:sz w:val="22"/>
          <w:szCs w:val="22"/>
        </w:rPr>
        <w:instrText xml:space="preserve"> ADDIN ZOTERO_ITEM CSL_CITATION {"citationID":"4R3sEUmP","properties":{"formattedCitation":"(Connors et al., 2022; Ohlberger et al., 2016)","plainCitation":"(Connors et al., 2022; Ohlberger et al., 2016)","dontUpdate":true,"noteIndex":0},"citationItems":[{"id":4144,"uris":["http://zotero.org/users/8421274/items/M4DUIZ82"],"itemData":{"id":4144,"type":"article-journal","abstract":"Variation among populations in life history and intrinsic population characteristics (i.e., population diversity) helps maintain resilience to environmental change and dampen interannual variability in ecosystem services. As a result, ecological variation, and the processes that generate it, is considered central to strategies for managing risks to ecosystems in an increasingly variable and uncertain world. However, characterizing population diversity is difficult, particularly in large and remote regions, which often prevents its formal consideration in management advice. We combined genetic stock identification of archived scale and tissue samples with state-space run-reconstruction models to estimate migration timing and annual return abundance for eight geographically and genetically distinct Chinook salmon populations within the Canadian portion of the Yukon River. We found that among-population variation in migration timing and return abundances resulted in aggregate return migrations that were 2.1 times longer and 1.4 times more stable than if they had composed a single homogeneous population. We then fit state-space spawner–recruitment models to the annual return abundances to characterize among-population diversity in intrinsic productivity and population size and their consequences for the fisheries they support. Productivity and carrying capacity varied among populations by approximately 2.4-fold (2.9 to 6.9 recruits per spawner) and three-fold (8800 to 27,000 spawners), respectively. This diversity implies an equilibrium trade-off between harvesting of the population aggregate and the conservation of individual populations whereby the harvest rate predicted to maximize aggregate harvests comes at the cost of overfishing 40% of the populations but with a relatively low risk of extirpating the weakest ones. Our findings illustrate how population diversity in one of the largest salmon-producing river basins in the world contributes to fishery stability and food security in a region where salmon have high cultural and subsistence value. More generally, our work demonstrates the utility of molecular analyses of archived biological material for characterizing diversity in biological systems and its benefits and consequences for trade-offs in decision-making.","container-title":"Ecological Applications","DOI":"10.1002/eap.2709","ISSN":"1939-5582","issue":"8","language":"en","license":"© 2022 The Ecological Society of America.","note":"_eprint: https://onlinelibrary.wiley.com/doi/pdf/10.1002/eap.2709","page":"e2709","source":"Wiley Online Library","title":"Chinook salmon diversity contributes to fishery stability and trade-offs with mixed-stock harvest","volume":"32","author":[{"family":"Connors","given":"Brendan M."},{"family":"Siegle","given":"Matthew R."},{"family":"Harding","given":"Joel"},{"family":"Rossi","given":"Steven"},{"family":"Staton","given":"Benjamin A."},{"family":"Jones","given":"Michael L."},{"family":"Bradford","given":"Michael J."},{"family":"Brown","given":"Randy"},{"family":"Bechtol","given":"Bill"},{"family":"Doherty","given":"Beau"},{"family":"Cox","given":"Sean"},{"family":"Sutherland","given":"Ben J. G."}],"issued":{"date-parts":[["2022"]]}}},{"id":5321,"uris":["http://zotero.org/users/8421274/items/PJWLDI6C"],"itemData":{"id":5321,"type":"article-journal","abstract":"A central problem in understanding how species respond to global change is in parsing the effects of local drivers of population dynamics from regional and global drivers that are shared among populations. Management and conservation efforts that typically focus on a particular population would benefit greatly from being able to separate the effects of environmental processes at local, regional, and global scales. One way of addressing this challenge is to integrate data across multiple populations and use multivariate time series approaches to estimate shared and independent components of dynamics among neighboring populations. Here, we use a data set of 15 populations of Chinook salmon (Oncorhynchus tshawytscha) covering a broad geographical range in the eastern North Pacific Ocean to show how Dynamic Factor Analysis (DFA) can be used to estimate temporal coherence in population dynamics and to detect environmental drivers across spatial scales. Our results show that productivity dynamics of Chinook salmon populations strongly covary at the regional scale, but to a lesser degree at larger spatial scales. The timing of river ice break-up in spring was identified as an important driver of regional productivity dynamics. In addition, broad-scale variability in population productivity was linked to the North Pacific Gyre Oscillation, a dominant pattern of sea surface height variability. These broad-scale patterns in productivity dynamics may be associated with recent regime shifts in the Northeast Pacific Ocean. However, our results also demonstrate that populations within regions do not always respond consistently to the same environmental drivers, thus suggesting location-specific impacts. Overall, this study illustrates the use of DFA for quantifying the spatial and temporal complexity of multiple population responses to environmental change, thereby providing insights to processes that affect populations across large geographic areas, but that might be filtered by local habitat conditions.","container-title":"Ecosphere","DOI":"10.1002/ecs2.1333","ISSN":"2150-8925","issue":"4","language":"en","license":"© 2016 Ohlberger et al.","note":"_eprint: https://esajournals.onlinelibrary.wiley.com/doi/pdf/10.1002/ecs2.1333","page":"e01333","source":"Wiley Online Library","title":"Population coherence and environmental impacts across spatial scales: a case study of Chinook salmon","title-short":"Population coherence and environmental impacts across spatial scales","volume":"7","author":[{"family":"Ohlberger","given":"Jan"},{"family":"Scheuerell","given":"Mark D."},{"family":"Schindler","given":"Daniel E."}],"issued":{"date-parts":[["2016"]]}}}],"schema":"https://github.com/citation-style-language/schema/raw/master/csl-citation.json"}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(Schindler et al. 2010; Connors et al., 2022)</w:t>
      </w:r>
      <w:r>
        <w:rPr>
          <w:rFonts w:ascii="Garamond" w:hAnsi="Garamond"/>
          <w:sz w:val="22"/>
          <w:szCs w:val="22"/>
        </w:rPr>
        <w:fldChar w:fldCharType="end"/>
      </w:r>
      <w:r>
        <w:rPr>
          <w:rFonts w:ascii="Garamond" w:hAnsi="Garamond"/>
          <w:sz w:val="22"/>
          <w:szCs w:val="22"/>
        </w:rPr>
        <w:t xml:space="preserve">. </w:t>
      </w:r>
      <w:r w:rsidRPr="006D1917">
        <w:rPr>
          <w:rFonts w:ascii="Garamond" w:hAnsi="Garamond"/>
          <w:sz w:val="22"/>
          <w:szCs w:val="22"/>
        </w:rPr>
        <w:t>Weak or negative covariance among these stocks helps buffer the broader population against the poor performance of any individual subunit, whose success may fluctuate in response to a dynamic mosaic of multi-dimensional environmental conditions</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{"citationID":"m5A16NUn","properties":{"formattedCitation":"(Brennan, Schindler, et al., 2019; Schindler et al., 2010)","plainCitation":"(Brennan, Schindler, et al., 2019; Schindler et al., 2010)","noteIndex":0},"citationItems":[{"id":3844,"uris":["http://zotero.org/users/8421274/items/RXD5IA9D"],"itemData":{"id":3844,"type":"article-journal","abstract":"Watersheds are complex mosaics of habitats whose conditions vary across space and time as landscape features filter overriding climate forcing, yet the extent to which the reliability of ecosystem services depends on these dynamics remains unknown. We quantified how shifting habitat mosaics are expressed across a range of spatial scales within a large, free-flowing river, and how they stabilize the production of Pacific salmon that support valuable fisheries. The strontium isotope records of ear stones (otoliths) show that the relative productivity of locations across the river network, as both natal- and juvenile-rearing habitat, varies widely among years and that this variability is expressed across a broad range of spatial scales, ultimately stabilizing the interannual production of fish at the scale of the entire basin.","container-title":"Science","DOI":"10.1126/science.aav4313","issue":"6442","note":"publisher: American Association for the Advancement of Science","page":"783-786","source":"science.org (Atypon)","title":"Shifting habitat mosaics and fish production across river basins","volume":"364","author":[{"family":"Brennan","given":"Sean R."},{"family":"Schindler","given":"Daniel E."},{"family":"Cline","given":"Timothy J."},{"family":"Walsworth","given":"Timothy E."},{"family":"Buck","given":"Greg"},{"family":"Fernandez","given":"Diego P."}],"issued":{"date-parts":[["2019"]]}},"label":"page"},{"id":272,"uris":["http://zotero.org/users/8421274/items/24NDGS7V"],"itemData":{"id":272,"type":"article-journal","abstract":"One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States\npublisher: Nature Publishing Group\nsection: 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(Brennan, Schindler, et al., 2019; Schindler et al., 2010)</w:t>
      </w:r>
      <w:r>
        <w:rPr>
          <w:rFonts w:ascii="Garamond" w:hAnsi="Garamond"/>
          <w:sz w:val="22"/>
          <w:szCs w:val="22"/>
        </w:rPr>
        <w:fldChar w:fldCharType="end"/>
      </w:r>
      <w:r w:rsidRPr="006D1917">
        <w:rPr>
          <w:rFonts w:ascii="Garamond" w:hAnsi="Garamond"/>
          <w:sz w:val="22"/>
          <w:szCs w:val="22"/>
        </w:rPr>
        <w:t>. This “portfolio effect” dampens ecosystem variability by distributing risk across its components, much in the same way that financial diversification of a portfolio spreads investment risk across sectors to reduce overall volatility</w:t>
      </w:r>
      <w:r>
        <w:rPr>
          <w:rFonts w:ascii="Garamond" w:hAnsi="Garamond"/>
          <w:sz w:val="22"/>
          <w:szCs w:val="22"/>
        </w:rPr>
        <w:t xml:space="preserve"> </w:t>
      </w:r>
      <w:r>
        <w:rPr>
          <w:rFonts w:ascii="Garamond" w:hAnsi="Garamond"/>
          <w:sz w:val="22"/>
          <w:szCs w:val="22"/>
        </w:rPr>
        <w:fldChar w:fldCharType="begin"/>
      </w:r>
      <w:r w:rsidR="00A26A50">
        <w:rPr>
          <w:rFonts w:ascii="Garamond" w:hAnsi="Garamond"/>
          <w:sz w:val="22"/>
          <w:szCs w:val="22"/>
        </w:rPr>
        <w:instrText xml:space="preserve"> ADDIN ZOTERO_ITEM CSL_CITATION {"citationID":"ropzGQtb","properties":{"formattedCitation":"(Cline et al., 2017; Griffiths et al., 2014; Markowitz, 1952; Schindler et al., 2015)","plainCitation":"(Cline et al., 2017; Griffiths et al., 2014; Markowitz, 1952; Schindler et al., 2015)","dontUpdate":true,"noteIndex":0},"citationItems":[{"id":1181,"uris":["http://zotero.org/users/8421274/items/B23FV4AJ"],"itemData":{"id":1181,"type":"article-journal","abstract":"Abrupt shifts in natural resources and their markets are a ubiquitous challenge to human communities. Building resilient social-ecological systems requires approaches that are robust to uncertainty and to regime shifts. Harvesting diverse portfolios of natural resources and adapting portfolios in response to change could stabilize economies reliant on natural resources and their markets, both of which are prone to unpredictable shifts. Here we use fisheries catch and revenue data from Alaskan fishing communities over 34 years to test whether diversification and turnover in the composition of fishing opportunities increased economic stability during major ocean and market regime shifts in 1989. More than 85% of communities show reduced fishing revenues following these regime shifts. However, communities with the highest portfolio diversity and those that could opportunistically shift the composition of resources they harvest, experienced negligible or even positive changes in revenue. Maintaining diversity in economic opportunities and enabling turnover facilitates sustainability of communities reliant on renewable resources facing uncertain futures.","container-title":"Nature Communications","DOI":"10.1038/ncomms14042","ISSN":"2041-1723","issue":"1","journalAbbreviation":"Nat Commun","language":"en","license":"2017 The Author(s)","note":"number: 1\npublisher: Nature Publishing Group","page":"14042","source":"www-nature-com.offcampus.lib.washington.edu","title":"Fisheries portfolio diversification and turnover buffer Alaskan fishing communities from abrupt resource and market changes","volume":"8","author":[{"family":"Cline","given":"Timothy J."},{"family":"Schindler","given":"Daniel E."},{"family":"Hilborn","given":"Ray"}],"issued":{"date-parts":[["2017",1,16]]}}},{"id":4217,"uris":["http://zotero.org/users/8421274/items/8XTQF7BZ"],"itemData":{"id":4217,"type":"article-journal","abstract":"&lt;list list-type=\"1\" id=\"jpe12341-list-0001\"&gt; Quantifying the variability in the delivery of ecosystem services across the landscape can be used to set appropriate management targets, evaluate resilience and target conservation efforts. Ecosystem functions and services may exhibit portfolio-type dynamics, whereby diversity within lower levels promotes stability at more aggregated levels. Portfolio theory provides a framework to characterize the relative performance among ecosystems and the processes that drive differences in performance. We assessed Pacific salmon Oncorhynchus spp. portfolio performance across their native latitudinal range focusing on the reliability of salmon returns as a metric with which to assess the function of salmon ecosystems and their services to humans. We used the Sharpe ratio (e.g. the size of the total salmon return to the portfolio relative to its variability (risk)) to evaluate the performance of Chinook and sockeye salmon portfolios across the west coast of North America. We evaluated the effects on portfolio performance from the variance of and covariance among salmon returns within each portfolio, and the association between portfolio performance and watershed attributes. We found a positive latitudinal trend in the risk-adjusted performance of Chinook and sockeye salmon portfolios that also correlated negatively with anthropogenic impact on watersheds (e.g. dams and land-use change). High-latitude Chinook salmon portfolios were on average 25 times more reliable, and their portfolio risk was mainly due to low variance in the individual assets. Sockeye salmon portfolios were also more reliable at higher latitudes, but sources of risk varied among the highest performing portfolios.Synthesis and applications. Portfolio theory provides a straightforward method for characterizing the resilience of salmon ecosystems and their services. Natural variability in portfolio performance among undeveloped watersheds provides a benchmark for restoration efforts. Locally and regionally, assessing the sources of portfolio risk can guide actions to maintain existing resilience (protect habitat and disturbance regimes that maintain response diversity; employ harvest strategies sensitive to different portfolio components) or improve restoration activities. Improving our understanding of portfolio reliability may allow for management of natural resources that is robust to ongoing environmental change. Portfolio theory provides a straightforward method for characterizing the resilience of salmon ecosystems and their services. Natural variability in portfolio performance among undeveloped watersheds provides a benchmark for restoration efforts. Locally and regionally, assessing the sources of portfolio risk can guide actions to maintain existing resilience (protect habitat and disturbance regimes that maintain response diversity; employ harvest strategies sensitive to different portfolio components) or improve restoration activities. Improving our understanding of portfolio reliability may allow for management of natural resources that is robust to ongoing environmental change.","container-title":"JOURNAL OF APPLIED ECOLOGY","DOI":"10.1111/1365-2664.12341","ISSN":"0021-8901, 1365-2664","issue":"6","journalAbbreviation":"J. Appl. Ecol.","language":"English","note":"number-of-pages: 10\npublisher-place: Hoboken\npublisher: Wiley-Blackwell\nWeb of Science ID: WOS:000345706100010","page":"1554-1563","source":"Clarivate Analytics Web of Science","title":"Performance of salmon fishery portfolios across western North America","volume":"51","author":[{"family":"Griffiths","given":"Jennifer R."},{"family":"Schindler","given":"Daniel E."},{"family":"Armstrong","given":"Jonathan B."},{"family":"Scheuerell","given":"Mark D."},{"family":"Whited","given":"Diane C."},{"family":"Clark","given":"Robert A."},{"family":"Hilborn","given":"Ray"},{"family":"Holt","given":"Carrie A."},{"family":"Lindley","given":"Steven T."},{"family":"Stanford","given":"Jack A."},{"family":"Volk","given":"Eric C."}],"issued":{"date-parts":[["2014",12]]}}},{"id":5389,"uris":["http://zotero.org/users/8421274/items/4NQQUH9L"],"itemData":{"id":5389,"type":"article-journal","container-title":"The Journal of Finance","DOI":"10.2307/2975974","ISSN":"0022-1082","issue":"1","note":"publisher: [American Finance Association, Wiley]","page":"77-91","source":"JSTOR","title":"Portfolio Selection","volume":"7","author":[{"family":"Markowitz","given":"Harry"}],"issued":{"date-parts":[["1952"]]}}},{"id":68,"uris":["http://zotero.org/users/8421274/items/DIRY8NHC"],"itemData":{"id":68,"type":"article-journal","container-title":"Frontiers in Ecology and the Environment","issue":"5","note":"publisher: Wiley Online Library","page":"257–263","source":"Google Scholar","title":"The portfolio concept in ecology and evolution","volume":"13","author":[{"family":"Schindler","given":"Daniel E."},{"family":"Armstrong","given":"Jonathan B."},{"family":"Reed","given":"Thomas E."}],"issued":{"date-parts":[["2015"]]}}}],"schema":"https://github.com/citation-style-language/schema/raw/master/csl-citation.json"} </w:instrText>
      </w:r>
      <w:r>
        <w:rPr>
          <w:rFonts w:ascii="Garamond" w:hAnsi="Garamond"/>
          <w:sz w:val="22"/>
          <w:szCs w:val="22"/>
        </w:rPr>
        <w:fldChar w:fldCharType="separate"/>
      </w:r>
      <w:r w:rsidRPr="00F552CD">
        <w:rPr>
          <w:rFonts w:ascii="Garamond" w:hAnsi="Garamond"/>
          <w:noProof/>
          <w:sz w:val="22"/>
          <w:szCs w:val="22"/>
        </w:rPr>
        <w:t>(Griffiths et al., 2014; Markowitz, 1952; Schindler et al., 2015)</w:t>
      </w:r>
      <w:r>
        <w:rPr>
          <w:rFonts w:ascii="Garamond" w:hAnsi="Garamond"/>
          <w:sz w:val="22"/>
          <w:szCs w:val="22"/>
        </w:rPr>
        <w:fldChar w:fldCharType="end"/>
      </w:r>
      <w:r w:rsidRPr="00F552CD">
        <w:rPr>
          <w:rFonts w:ascii="Garamond" w:hAnsi="Garamond"/>
          <w:sz w:val="22"/>
          <w:szCs w:val="22"/>
        </w:rPr>
        <w:t xml:space="preserve">. </w:t>
      </w:r>
    </w:p>
    <w:p w14:paraId="67AF0167" w14:textId="79149193" w:rsidR="00F552CD" w:rsidRDefault="00F552CD" w:rsidP="00F552CD">
      <w:pPr>
        <w:pStyle w:val="NormalWeb"/>
        <w:spacing w:line="480" w:lineRule="auto"/>
        <w:ind w:firstLine="720"/>
        <w:rPr>
          <w:rFonts w:ascii="Garamond" w:hAnsi="Garamond"/>
          <w:sz w:val="22"/>
          <w:szCs w:val="22"/>
        </w:rPr>
      </w:pPr>
      <w:r>
        <w:rPr>
          <w:rFonts w:ascii="Garamond" w:hAnsi="Garamond"/>
          <w:sz w:val="22"/>
          <w:szCs w:val="22"/>
        </w:rPr>
        <w:lastRenderedPageBreak/>
        <w:t xml:space="preserve">The reliability of salmon resources to communities is a product of the health of stock components throughout the watershed. For Pacific salmon fisheries, which harvest stocks as the migrate upstream, the duration and reliability of this resource is the result of the aggregate dynamics of upstream stocks. For example, healthy stock components with unique spatiotemporal patterns may allow for more diverse set of harvest opportunities over a longer time period  </w:t>
      </w:r>
      <w:r>
        <w:rPr>
          <w:rFonts w:ascii="Garamond" w:hAnsi="Garamond"/>
          <w:sz w:val="22"/>
          <w:szCs w:val="22"/>
        </w:rPr>
        <w:fldChar w:fldCharType="begin"/>
      </w:r>
      <w:r>
        <w:rPr>
          <w:rFonts w:ascii="Garamond" w:hAnsi="Garamond"/>
          <w:sz w:val="22"/>
          <w:szCs w:val="22"/>
        </w:rPr>
        <w:instrText xml:space="preserve"> ADDIN ZOTERO_ITEM CSL_CITATION {"citationID":"bdM2yxbf","properties":{"formattedCitation":"(Nesbitt &amp; Moore, 2016)","plainCitation":"(Nesbitt &amp; Moore, 2016)","noteIndex":0},"citationItems":[{"id":3361,"uris":["http://zotero.org/users/8421274/items/U6M4JZTI"],"itemData":{"id":3361,"type":"article-journal","abstract":"Indigenous people are considered to be among the most vulnerable to food insecurity and biodiversity loss. Biodiversity is cited as a key component of indigenous food security; however, quantitative examples of this linkage are limited. We examined how species and population diversity influence the food security of indigenous fisheries for Pacific salmon (Oncorhynchus species). We compared two dimensions of food security – catch stability (interannual variability) and access (season length) – across a salmon diversity gradient for 21 fisheries on the Fraser River, Canada, over 30 years, using linear regression models. We used population diversity proxies derived from a range of existing measures because population-specific data were unavailable. While both population and species diversity were generally associated with higher catch stability and temporal access, population diversity had a stronger signal. Fisheries with access to high species diversity had up to 1·4 times more stable catch than predicted by the portfolio effect and up to 1·2 times longer fishing seasons than fisheries with access to fewer species. Fisheries with access to high population diversity had up to 3·8 times more stable catch and three times longer seasons than fisheries with access to fewer populations. Catch stability of Chinook Oncorhynchus tshawytscha and sockeye Oncorhynchus nerka fisheries was best explained by the number of populations and conservation units, respectively, that migrate past a fishery en route to spawning grounds. Similar population diversity metrics were important explanatory variables for season length of sockeye, pink Oncorhynchus gorbuscha, coho Oncorhynchus kisutch and chum Oncorhynchus keta fisheries. Synthesis and applications. We show an empirical example of how multiple scales of biodiversity support food security across a large watershed and suggest that protecting fine-scale salmon diversity will help promote food security for indigenous people. The scales of environmental assessments need to match the scales of the socio-ecological processes that will be affected by development. We illustrate that upstream projects that damage salmon habitat could degrade the food security of downstream indigenous fisheries, with implications to Canadian indigenous people and to watersheds around the world where migratory fishes support local fisheries.","container-title":"Journal of Applied Ecology","DOI":"10.1111/1365-2664.12717","ISSN":"1365-2664","issue":"5","language":"en","note":"_eprint: https://onlinelibrary.wiley.com/doi/pdf/10.1111/1365-2664.12717","page":"1489-1499","source":"Wiley Online Library","title":"Species and population diversity in Pacific salmon fisheries underpin indigenous food security","volume":"53","author":[{"family":"Nesbitt","given":"Holly K."},{"family":"Moore","given":"Jonathan W."}],"issued":{"date-parts":[["2016"]]}}}],"schema":"https://github.com/citation-style-language/schema/raw/master/csl-citation.json"}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(Nesbitt &amp; Moore, 2016)</w:t>
      </w:r>
      <w:r>
        <w:rPr>
          <w:rFonts w:ascii="Garamond" w:hAnsi="Garamond"/>
          <w:sz w:val="22"/>
          <w:szCs w:val="22"/>
        </w:rPr>
        <w:fldChar w:fldCharType="end"/>
      </w:r>
      <w:r>
        <w:rPr>
          <w:rFonts w:ascii="Garamond" w:hAnsi="Garamond"/>
          <w:sz w:val="22"/>
          <w:szCs w:val="22"/>
        </w:rPr>
        <w:t xml:space="preserve">. Further, distributing risk across space and time in several stocks may buffer basin-wide returns to local or short-term changes to habitat conditions, thereby enhancing </w:t>
      </w:r>
      <w:r w:rsidRPr="00C3570A">
        <w:rPr>
          <w:rFonts w:ascii="Garamond" w:hAnsi="Garamond"/>
          <w:sz w:val="22"/>
          <w:szCs w:val="22"/>
        </w:rPr>
        <w:t xml:space="preserve">both the accessibility and reliability of </w:t>
      </w:r>
      <w:r>
        <w:rPr>
          <w:rFonts w:ascii="Garamond" w:hAnsi="Garamond"/>
          <w:sz w:val="22"/>
          <w:szCs w:val="22"/>
        </w:rPr>
        <w:t xml:space="preserve">downstream </w:t>
      </w:r>
      <w:r w:rsidRPr="00C3570A">
        <w:rPr>
          <w:rFonts w:ascii="Garamond" w:hAnsi="Garamond"/>
          <w:sz w:val="22"/>
          <w:szCs w:val="22"/>
        </w:rPr>
        <w:t>harvest opportunities</w:t>
      </w:r>
      <w:r>
        <w:rPr>
          <w:rFonts w:ascii="Garamond" w:hAnsi="Garamond"/>
          <w:sz w:val="22"/>
          <w:szCs w:val="22"/>
        </w:rPr>
        <w:t xml:space="preserve"> (Schindler et al. 2010). The health of salmon populations in terms of </w:t>
      </w:r>
      <w:r w:rsidRPr="006D1917">
        <w:rPr>
          <w:rFonts w:ascii="Garamond" w:hAnsi="Garamond"/>
          <w:sz w:val="22"/>
          <w:szCs w:val="22"/>
        </w:rPr>
        <w:t>long-term resilience</w:t>
      </w:r>
      <w:r>
        <w:rPr>
          <w:rFonts w:ascii="Garamond" w:hAnsi="Garamond"/>
          <w:sz w:val="22"/>
          <w:szCs w:val="22"/>
        </w:rPr>
        <w:t xml:space="preserve"> and reliability of ecosystem services is therefore better assessed </w:t>
      </w:r>
      <w:r w:rsidRPr="006D1917">
        <w:rPr>
          <w:rFonts w:ascii="Garamond" w:hAnsi="Garamond"/>
          <w:sz w:val="22"/>
          <w:szCs w:val="22"/>
        </w:rPr>
        <w:t>by the health and viability of contributing subunits rather than by total run size alone</w:t>
      </w:r>
      <w:r>
        <w:rPr>
          <w:rFonts w:ascii="Garamond" w:hAnsi="Garamond"/>
          <w:sz w:val="22"/>
          <w:szCs w:val="22"/>
        </w:rPr>
        <w:t xml:space="preserve"> </w:t>
      </w:r>
      <w:r>
        <w:rPr>
          <w:rFonts w:ascii="Garamond" w:hAnsi="Garamond"/>
          <w:sz w:val="22"/>
          <w:szCs w:val="22"/>
        </w:rPr>
        <w:fldChar w:fldCharType="begin"/>
      </w:r>
      <w:r w:rsidR="00A26A50">
        <w:rPr>
          <w:rFonts w:ascii="Garamond" w:hAnsi="Garamond"/>
          <w:sz w:val="22"/>
          <w:szCs w:val="22"/>
        </w:rPr>
        <w:instrText xml:space="preserve"> ADDIN ZOTERO_ITEM CSL_CITATION {"citationID":"XiDspMSN","properties":{"formattedCitation":"(Connors et al., 2022)","plainCitation":"(Connors et al., 2022)","dontUpdate":true,"noteIndex":0},"citationItems":[{"id":4144,"uris":["http://zotero.org/users/8421274/items/M4DUIZ82"],"itemData":{"id":4144,"type":"article-journal","abstract":"Variation among populations in life history and intrinsic population characteristics (i.e., population diversity) helps maintain resilience to environmental change and dampen interannual variability in ecosystem services. As a result, ecological variation, and the processes that generate it, is considered central to strategies for managing risks to ecosystems in an increasingly variable and uncertain world. However, characterizing population diversity is difficult, particularly in large and remote regions, which often prevents its formal consideration in management advice. We combined genetic stock identification of archived scale and tissue samples with state-space run-reconstruction models to estimate migration timing and annual return abundance for eight geographically and genetically distinct Chinook salmon populations within the Canadian portion of the Yukon River. We found that among-population variation in migration timing and return abundances resulted in aggregate return migrations that were 2.1 times longer and 1.4 times more stable than if they had composed a single homogeneous population. We then fit state-space spawner–recruitment models to the annual return abundances to characterize among-population diversity in intrinsic productivity and population size and their consequences for the fisheries they support. Productivity and carrying capacity varied among populations by approximately 2.4-fold (2.9 to 6.9 recruits per spawner) and three-fold (8800 to 27,000 spawners), respectively. This diversity implies an equilibrium trade-off between harvesting of the population aggregate and the conservation of individual populations whereby the harvest rate predicted to maximize aggregate harvests comes at the cost of overfishing 40% of the populations but with a relatively low risk of extirpating the weakest ones. Our findings illustrate how population diversity in one of the largest salmon-producing river basins in the world contributes to fishery stability and food security in a region where salmon have high cultural and subsistence value. More generally, our work demonstrates the utility of molecular analyses of archived biological material for characterizing diversity in biological systems and its benefits and consequences for trade-offs in decision-making.","container-title":"Ecological Applications","DOI":"10.1002/eap.2709","ISSN":"1939-5582","issue":"8","language":"en","license":"© 2022 The Ecological Society of America.","note":"_eprint: https://onlinelibrary.wiley.com/doi/pdf/10.1002/eap.2709","page":"e2709","source":"Wiley Online Library","title":"Chinook salmon diversity contributes to fishery stability and trade-offs with mixed-stock harvest","volume":"32","author":[{"family":"Connors","given":"Brendan M."},{"family":"Siegle","given":"Matthew R."},{"family":"Harding","given":"Joel"},{"family":"Rossi","given":"Steven"},{"family":"Staton","given":"Benjamin A."},{"family":"Jones","given":"Michael L."},{"family":"Bradford","given":"Michael J."},{"family":"Brown","given":"Randy"},{"family":"Bechtol","given":"Bill"},{"family":"Doherty","given":"Beau"},{"family":"Cox","given":"Sean"},{"family":"Sutherland","given":"Ben J. G."}],"issued":{"date-parts":[["2022"]]}}}],"schema":"https://github.com/citation-style-language/schema/raw/master/csl-citation.json"}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(Griffiths et al. 2014; Connors et al., 2022)</w:t>
      </w:r>
      <w:r>
        <w:rPr>
          <w:rFonts w:ascii="Garamond" w:hAnsi="Garamond"/>
          <w:sz w:val="22"/>
          <w:szCs w:val="22"/>
        </w:rPr>
        <w:fldChar w:fldCharType="end"/>
      </w:r>
      <w:r w:rsidRPr="006D1917">
        <w:rPr>
          <w:rFonts w:ascii="Garamond" w:hAnsi="Garamond"/>
          <w:sz w:val="22"/>
          <w:szCs w:val="22"/>
        </w:rPr>
        <w:t>.</w:t>
      </w:r>
      <w:r>
        <w:rPr>
          <w:rFonts w:ascii="Garamond" w:hAnsi="Garamond"/>
          <w:sz w:val="22"/>
          <w:szCs w:val="22"/>
        </w:rPr>
        <w:t xml:space="preserve"> </w:t>
      </w:r>
    </w:p>
    <w:p w14:paraId="3FD5A835" w14:textId="77777777" w:rsidR="00F552CD" w:rsidRDefault="00F552CD" w:rsidP="00F552CD">
      <w:pPr>
        <w:pStyle w:val="NormalWeb"/>
        <w:spacing w:line="480" w:lineRule="auto"/>
        <w:ind w:firstLine="720"/>
        <w:rPr>
          <w:ins w:id="3" w:author="Benjamin J. Makhlouf" w:date="2025-07-26T14:59:00Z" w16du:dateUtc="2025-07-26T21:59:00Z"/>
          <w:rFonts w:ascii="Garamond" w:hAnsi="Garamond"/>
          <w:sz w:val="22"/>
          <w:szCs w:val="22"/>
        </w:rPr>
      </w:pPr>
      <w:r>
        <w:rPr>
          <w:rFonts w:ascii="Garamond" w:hAnsi="Garamond"/>
          <w:sz w:val="22"/>
          <w:szCs w:val="22"/>
        </w:rPr>
        <w:t xml:space="preserve">Downstream fisheries which harvest migrating stocks face a difficult challenge to design harvest methods which consider both </w:t>
      </w:r>
      <w:r w:rsidRPr="006D1917">
        <w:rPr>
          <w:rFonts w:ascii="Garamond" w:hAnsi="Garamond"/>
          <w:sz w:val="22"/>
          <w:szCs w:val="22"/>
        </w:rPr>
        <w:t xml:space="preserve">overall </w:t>
      </w:r>
      <w:r>
        <w:rPr>
          <w:rFonts w:ascii="Garamond" w:hAnsi="Garamond"/>
          <w:sz w:val="22"/>
          <w:szCs w:val="22"/>
        </w:rPr>
        <w:t>harvest opportunity</w:t>
      </w:r>
      <w:r w:rsidRPr="006D1917">
        <w:rPr>
          <w:rFonts w:ascii="Garamond" w:hAnsi="Garamond"/>
          <w:sz w:val="22"/>
          <w:szCs w:val="22"/>
        </w:rPr>
        <w:t xml:space="preserve"> as well as</w:t>
      </w:r>
      <w:r>
        <w:rPr>
          <w:rFonts w:ascii="Garamond" w:hAnsi="Garamond"/>
          <w:sz w:val="22"/>
          <w:szCs w:val="22"/>
        </w:rPr>
        <w:t xml:space="preserve"> stock specific exploitation rates. For example, strategies which </w:t>
      </w:r>
      <w:r w:rsidRPr="006D1917">
        <w:rPr>
          <w:rFonts w:ascii="Garamond" w:hAnsi="Garamond"/>
          <w:sz w:val="22"/>
          <w:szCs w:val="22"/>
        </w:rPr>
        <w:t>concentrate harvest in periods of peak abundance (e.g., highest CPUE per day)</w:t>
      </w:r>
      <w:r>
        <w:rPr>
          <w:rFonts w:ascii="Garamond" w:hAnsi="Garamond"/>
          <w:sz w:val="22"/>
          <w:szCs w:val="22"/>
        </w:rPr>
        <w:t xml:space="preserve"> </w:t>
      </w:r>
      <w:r w:rsidRPr="006D1917">
        <w:rPr>
          <w:rFonts w:ascii="Garamond" w:hAnsi="Garamond"/>
          <w:sz w:val="22"/>
          <w:szCs w:val="22"/>
        </w:rPr>
        <w:t>may fail to account for whether this peak consists of a mix of vulnerable, weak stocks or a single, more robust stock that can sustain higher exploitation</w:t>
      </w:r>
      <w:r>
        <w:rPr>
          <w:rFonts w:ascii="Garamond" w:hAnsi="Garamond"/>
          <w:sz w:val="22"/>
          <w:szCs w:val="22"/>
        </w:rPr>
        <w:t xml:space="preserve"> (Connors et al. 2022)</w:t>
      </w:r>
      <w:r w:rsidRPr="006D1917">
        <w:rPr>
          <w:rFonts w:ascii="Garamond" w:hAnsi="Garamond"/>
          <w:sz w:val="22"/>
          <w:szCs w:val="22"/>
        </w:rPr>
        <w:t xml:space="preserve">. </w:t>
      </w:r>
      <w:r>
        <w:rPr>
          <w:rFonts w:ascii="Garamond" w:hAnsi="Garamond"/>
          <w:sz w:val="22"/>
          <w:szCs w:val="22"/>
        </w:rPr>
        <w:t>Fishing which disproportionally exploits weak stocks as they migrate upstream may threaten the availability of resources to upstream communities and threaten the reliability of downstream resources in subsequent years as upstream stock health degrades. M</w:t>
      </w:r>
      <w:r w:rsidRPr="006D1917">
        <w:rPr>
          <w:rFonts w:ascii="Garamond" w:hAnsi="Garamond"/>
          <w:sz w:val="22"/>
          <w:szCs w:val="22"/>
        </w:rPr>
        <w:t>anagement strateg</w:t>
      </w:r>
      <w:r>
        <w:rPr>
          <w:rFonts w:ascii="Garamond" w:hAnsi="Garamond"/>
          <w:sz w:val="22"/>
          <w:szCs w:val="22"/>
        </w:rPr>
        <w:t>ies which maintain reliable fishery resources</w:t>
      </w:r>
      <w:r w:rsidRPr="006D1917">
        <w:rPr>
          <w:rFonts w:ascii="Garamond" w:hAnsi="Garamond"/>
          <w:sz w:val="22"/>
          <w:szCs w:val="22"/>
        </w:rPr>
        <w:t xml:space="preserve"> should </w:t>
      </w:r>
      <w:r>
        <w:rPr>
          <w:rFonts w:ascii="Garamond" w:hAnsi="Garamond"/>
          <w:sz w:val="22"/>
          <w:szCs w:val="22"/>
        </w:rPr>
        <w:t xml:space="preserve">therefore </w:t>
      </w:r>
      <w:r w:rsidRPr="006D1917">
        <w:rPr>
          <w:rFonts w:ascii="Garamond" w:hAnsi="Garamond"/>
          <w:sz w:val="22"/>
          <w:szCs w:val="22"/>
        </w:rPr>
        <w:t>aim to allow harvest opportunities on healthy stocks while minimizing the risk of overexploitation for co-migrating weak stocks</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{"citationID":"XABq2458","properties":{"formattedCitation":"(Connors et al., 2020)","plainCitation":"(Connors et al., 2020)","noteIndex":0},"citationItems":[{"id":4416,"uris":["http://zotero.org/users/8421274/items/STEMPPV7"],"itemData":{"id":4416,"type":"article-journal","abstract":"Accounting for population diversity can be critical to the sustainable management of mixed-stock fisheries because harvest rates that can be sustained by productive populations may come at the cost of overfishing less productive ones. While these harvest–diversity trade-offs are well-recognized, their consequences for harvest policy performance are not often explicitly evaluated in contemporary fisheries management. We use closed-loop simulations to evaluate the ability of alternative harvest policies to meet population diversity and fishery objectives for one of the largest subsistence Chinook salmon (Oncorhynchus tshawytscha) fisheries in the world (Kuskokwim River Basin in western Alaska). We found clear evidence of population diversity that resulted in asymmetric trade-offs among fishery and conservation objectives whereby policies that forgo relatively small amounts of harvest result in relatively large increases in equitable access to Chinook and elimination of risk of weak stock extirpation. The performance of alternative harvest policies, and the magnitude of trade-offs, were sensitive to regime shifts and uncertainty in the drivers of recruitment variation. However, we found that harvest policies that prioritized meeting minimum subsistence needs were unlikely to jeopardize long-term sustainability.","container-title":"Canadian Journal of Fisheries and Aquatic Sciences","DOI":"10.1139/cjfas-2019-0282","ISSN":"0706-652X","issue":"6","journalAbbreviation":"Can. J. Fish. Aquat. Sci.","note":"publisher: NRC Research Press","page":"1076-1089","source":"cdnsciencepub-com.offcampus.lib.washington.edu (Atypon)","title":"Incorporating harvest–population diversity trade-offs into harvest policy analyses of salmon management in large river basins","volume":"77","author":[{"family":"Connors","given":"Brendan M."},{"family":"Staton","given":"Benjamin"},{"family":"Coggins","given":"Lewis"},{"family":"Walters","given":"Carl"},{"family":"Jones","given":"Mike"},{"family":"Gwinn","given":"Daniel"},{"family":"Catalano","given":"Matt"},{"family":"Fleischman","given":"Steve"}],"issued":{"date-parts":[["2020",6]]}}}],"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(Connors et al., 2020)</w:t>
      </w:r>
      <w:r>
        <w:rPr>
          <w:rFonts w:ascii="Garamond" w:hAnsi="Garamond"/>
          <w:sz w:val="22"/>
          <w:szCs w:val="22"/>
        </w:rPr>
        <w:fldChar w:fldCharType="end"/>
      </w:r>
      <w:r>
        <w:rPr>
          <w:rFonts w:ascii="Garamond" w:hAnsi="Garamond"/>
          <w:sz w:val="22"/>
          <w:szCs w:val="22"/>
        </w:rPr>
        <w:t xml:space="preserve">. </w:t>
      </w:r>
      <w:r w:rsidRPr="006D1917">
        <w:rPr>
          <w:rFonts w:ascii="Garamond" w:hAnsi="Garamond"/>
          <w:sz w:val="22"/>
          <w:szCs w:val="22"/>
        </w:rPr>
        <w:t xml:space="preserve"> In practice, however, implementing such stock-specific management approaches requires detailed data on the spatiotemporal ecology of salmon populations; information that has historically been limited at sufficiently fine spatial and temporal scales</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{"citationID":"Gpa69QVN","properties":{"formattedCitation":"(Connors et al., 2020, 2022)","plainCitation":"(Connors et al., 2020, 2022)","noteIndex":0},"citationItems":[{"id":4416,"uris":["http://zotero.org/users/8421274/items/STEMPPV7"],"itemData":{"id":4416,"type":"article-journal","abstract":"Accounting for population diversity can be critical to the sustainable management of mixed-stock fisheries because harvest rates that can be sustained by productive populations may come at the cost of overfishing less productive ones. While these harvest–diversity trade-offs are well-recognized, their consequences for harvest policy performance are not often explicitly evaluated in contemporary fisheries management. We use closed-loop simulations to evaluate the ability of alternative harvest policies to meet population diversity and fishery objectives for one of the largest subsistence Chinook salmon (Oncorhynchus tshawytscha) fisheries in the world (Kuskokwim River Basin in western Alaska). We found clear evidence of population diversity that resulted in asymmetric trade-offs among fishery and conservation objectives whereby policies that forgo relatively small amounts of harvest result in relatively large increases in equitable access to Chinook and elimination of risk of weak stock extirpation. The performance of alternative harvest policies, and the magnitude of trade-offs, were sensitive to regime shifts and uncertainty in the drivers of recruitment variation. However, we found that harvest policies that prioritized meeting minimum subsistence needs were unlikely to jeopardize long-term sustainability.","container-title":"Canadian Journal of Fisheries and Aquatic Sciences","DOI":"10.1139/cjfas-2019-0282","ISSN":"0706-652X","issue":"6","journalAbbreviation":"Can. J. Fish. Aquat. Sci.","note":"publisher: NRC Research Press","page":"1076-1089","source":"cdnsciencepub-com.offcampus.lib.washington.edu (Atypon)","title":"Incorporating harvest–population diversity trade-offs into harvest policy analyses of salmon management in large river basins","volume":"77","author":[{"family":"Connors","given":"Brendan M."},{"family":"Staton","given":"Benjamin"},{"family":"Coggins","given":"Lewis"},{"family":"Walters","given":"Carl"},{"family":"Jones","given":"Mike"},{"family":"Gwinn","given":"Daniel"},{"family":"Catalano","given":"Matt"},{"family":"Fleischman","given":"Steve"}],"issued":{"date-parts":[["2020",6]]}}},{"id":4144,"uris":["http://zotero.org/users/8421274/items/M4DUIZ82"],"itemData":{"id":4144,"type":"article-journal","abstract":"Variation among populations in life history and intrinsic population characteristics (i.e., population diversity) helps maintain resilience to environmental change and dampen interannual variability in ecosystem services. As a result, ecological variation, and the processes that generate it, is considered central to strategies for managing risks to ecosystems in an increasingly variable and uncertain world. However, characterizing population diversity is difficult, particularly in large and remote regions, which often prevents its formal consideration in management advice. We combined genetic stock identification of archived scale and tissue samples with state-space run-reconstruction models to estimate migration timing and annual return abundance for eight geographically and genetically distinct Chinook salmon populations within the Canadian portion of the Yukon River. We found that among-population variation in migration timing and return abundances resulted in aggregate return migrations that were 2.1 times longer and 1.4 times more stable than if they had composed a single homogeneous population. We then fit state-space spawner–recruitment models to the annual return abundances to characterize among-population diversity in intrinsic productivity and population size and their consequences for the fisheries they support. Productivity and carrying capacity varied among populations by approximately 2.4-fold (2.9 to 6.9 recruits per spawner) and three-fold (8800 to 27,000 spawners), respectively. This diversity implies an equilibrium trade-off between harvesting of the population aggregate and the conservation of individual populations whereby the harvest rate predicted to maximize aggregate harvests comes at the cost of overfishing 40% of the populations but with a relatively low risk of extirpating the weakest ones. Our findings illustrate how population diversity in one of the largest salmon-producing river basins in the world contributes to fishery stability and food security in a region where salmon have high cultural and subsistence value. More generally, our work demonstrates the utility of molecular analyses of archived biological material for characterizing diversity in biological systems and its benefits and consequences for trade-offs in decision-making.","container-title":"Ecological Applications","DOI":"10.1002/eap.2709","ISSN":"1939-5582","issue":"8","language":"en","license":"© 2022 The Ecological Society of America.","note":"_eprint: https://onlinelibrary.wiley.com/doi/pdf/10.1002/eap.2709","page":"e2709","source":"Wiley Online Library","title":"Chinook salmon diversity contributes to fishery stability and trade-offs with mixed-stock harvest","volume":"32","author":[{"family":"Connors","given":"Brendan M."},{"family":"Siegle","given":"Matthew R."},{"family":"Harding","given":"Joel"},{"family":"Rossi","given":"Steven"},{"family":"Staton","given":"Benjamin A."},{"family":"Jones","given":"Michael L."},{"family":"Bradford","given":"Michael J."},{"family":"Brown","given":"Randy"},{"family":"Bechtol","given":"Bill"},{"family":"Doherty","given":"Beau"},{"family":"Cox","given":"Sean"},{"family":"Sutherland","given":"Ben J. G."}],"issued":{"date-parts":[["2022"]]}}}],"schema":"https://github.com/citation-style-language/schema/raw/master/csl-citation.json"}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(Connors et al., 2020, 2022)</w:t>
      </w:r>
      <w:r>
        <w:rPr>
          <w:rFonts w:ascii="Garamond" w:hAnsi="Garamond"/>
          <w:sz w:val="22"/>
          <w:szCs w:val="22"/>
        </w:rPr>
        <w:fldChar w:fldCharType="end"/>
      </w:r>
      <w:r>
        <w:rPr>
          <w:rFonts w:ascii="Garamond" w:hAnsi="Garamond"/>
          <w:sz w:val="22"/>
          <w:szCs w:val="22"/>
        </w:rPr>
        <w:t xml:space="preserve">. </w:t>
      </w:r>
    </w:p>
    <w:p w14:paraId="24B858F3" w14:textId="3A18F56F" w:rsidR="00FA738D" w:rsidRPr="006D1917" w:rsidRDefault="00FA738D" w:rsidP="00F552CD">
      <w:pPr>
        <w:pStyle w:val="NormalWeb"/>
        <w:spacing w:line="480" w:lineRule="auto"/>
        <w:ind w:firstLine="720"/>
        <w:rPr>
          <w:rFonts w:ascii="Garamond" w:hAnsi="Garamond"/>
          <w:sz w:val="22"/>
          <w:szCs w:val="22"/>
        </w:rPr>
      </w:pPr>
      <w:ins w:id="4" w:author="Benjamin J. Makhlouf" w:date="2025-07-26T14:59:00Z" w16du:dateUtc="2025-07-26T21:59:00Z">
        <w:r w:rsidRPr="00E14C01">
          <w:rPr>
            <w:rFonts w:ascii="Garamond" w:hAnsi="Garamond"/>
            <w:sz w:val="22"/>
            <w:szCs w:val="22"/>
          </w:rPr>
          <w:t>The Kuskokwim River, a large free-flowing system covering 124,000 km² in Western Alaska, has historically supported abundant returns of all five Pacific salmon species that serve as both a subsistence resource and cultural cornerstone for indigenous communities throughout the watershed (</w:t>
        </w:r>
        <w:proofErr w:type="spellStart"/>
        <w:r w:rsidRPr="00E14C01">
          <w:rPr>
            <w:rFonts w:ascii="Garamond" w:hAnsi="Garamond"/>
            <w:sz w:val="22"/>
            <w:szCs w:val="22"/>
          </w:rPr>
          <w:t>Esquible</w:t>
        </w:r>
        <w:proofErr w:type="spellEnd"/>
        <w:r w:rsidRPr="00E14C01">
          <w:rPr>
            <w:rFonts w:ascii="Garamond" w:hAnsi="Garamond"/>
            <w:sz w:val="22"/>
            <w:szCs w:val="22"/>
          </w:rPr>
          <w:t xml:space="preserve"> et al., </w:t>
        </w:r>
        <w:r w:rsidRPr="00E14C01">
          <w:rPr>
            <w:rFonts w:ascii="Garamond" w:hAnsi="Garamond"/>
            <w:sz w:val="22"/>
            <w:szCs w:val="22"/>
          </w:rPr>
          <w:lastRenderedPageBreak/>
          <w:t>2018). The basin's subsistence fisheries exhibit some of Alaska's highest participation rates, and subsistence fishing for Chinook salmon in the Kuskokwim basin Is among the most highly utilized in the state (</w:t>
        </w:r>
        <w:proofErr w:type="spellStart"/>
        <w:r w:rsidRPr="00E14C01">
          <w:rPr>
            <w:rFonts w:ascii="Garamond" w:hAnsi="Garamond"/>
            <w:sz w:val="22"/>
            <w:szCs w:val="22"/>
          </w:rPr>
          <w:t>Esquible</w:t>
        </w:r>
        <w:proofErr w:type="spellEnd"/>
        <w:r w:rsidRPr="00E14C01">
          <w:rPr>
            <w:rFonts w:ascii="Garamond" w:hAnsi="Garamond"/>
            <w:sz w:val="22"/>
            <w:szCs w:val="22"/>
          </w:rPr>
          <w:t xml:space="preserve"> et al., 2024). This deep connection to subsistence harvest extends to nearly every household in the region, which is comprised almost entirely of rural and indigenous communities that rely on these opportunities for a significant portion of their protein needs (Clark et al., 2018; </w:t>
        </w:r>
        <w:proofErr w:type="spellStart"/>
        <w:r w:rsidRPr="00E14C01">
          <w:rPr>
            <w:rFonts w:ascii="Garamond" w:hAnsi="Garamond"/>
            <w:sz w:val="22"/>
            <w:szCs w:val="22"/>
          </w:rPr>
          <w:t>Esquible</w:t>
        </w:r>
        <w:proofErr w:type="spellEnd"/>
        <w:r w:rsidRPr="00E14C01">
          <w:rPr>
            <w:rFonts w:ascii="Garamond" w:hAnsi="Garamond"/>
            <w:sz w:val="22"/>
            <w:szCs w:val="22"/>
          </w:rPr>
          <w:t xml:space="preserve"> et al., 2024).</w:t>
        </w:r>
      </w:ins>
    </w:p>
    <w:p w14:paraId="593CF6EA" w14:textId="77777777" w:rsidR="00932FBC" w:rsidRDefault="00F552CD" w:rsidP="00932FBC">
      <w:pPr>
        <w:spacing w:line="480" w:lineRule="auto"/>
        <w:ind w:firstLine="720"/>
        <w:rPr>
          <w:rFonts w:ascii="Garamond" w:hAnsi="Garamond"/>
          <w:sz w:val="22"/>
          <w:szCs w:val="22"/>
        </w:rPr>
      </w:pPr>
      <w:r>
        <w:rPr>
          <w:rFonts w:ascii="Garamond" w:hAnsi="Garamond"/>
          <w:sz w:val="22"/>
          <w:szCs w:val="22"/>
        </w:rPr>
        <w:t>Lack</w:t>
      </w:r>
      <w:r w:rsidRPr="006D1917">
        <w:rPr>
          <w:rFonts w:ascii="Garamond" w:hAnsi="Garamond"/>
          <w:sz w:val="22"/>
          <w:szCs w:val="22"/>
        </w:rPr>
        <w:t xml:space="preserve"> of stock-specific spatial ecology </w:t>
      </w:r>
      <w:r>
        <w:rPr>
          <w:rFonts w:ascii="Garamond" w:hAnsi="Garamond"/>
          <w:sz w:val="22"/>
          <w:szCs w:val="22"/>
        </w:rPr>
        <w:t xml:space="preserve">of Chinook salmon populations </w:t>
      </w:r>
      <w:r w:rsidRPr="006D1917">
        <w:rPr>
          <w:rFonts w:ascii="Garamond" w:hAnsi="Garamond"/>
          <w:sz w:val="22"/>
          <w:szCs w:val="22"/>
        </w:rPr>
        <w:t xml:space="preserve">in </w:t>
      </w:r>
      <w:r>
        <w:rPr>
          <w:rFonts w:ascii="Garamond" w:hAnsi="Garamond"/>
          <w:sz w:val="22"/>
          <w:szCs w:val="22"/>
        </w:rPr>
        <w:t>w</w:t>
      </w:r>
      <w:r w:rsidRPr="006D1917">
        <w:rPr>
          <w:rFonts w:ascii="Garamond" w:hAnsi="Garamond"/>
          <w:sz w:val="22"/>
          <w:szCs w:val="22"/>
        </w:rPr>
        <w:t>estern Alaska</w:t>
      </w:r>
      <w:r w:rsidR="00D53B0E">
        <w:rPr>
          <w:rFonts w:ascii="Garamond" w:hAnsi="Garamond"/>
          <w:sz w:val="22"/>
          <w:szCs w:val="22"/>
        </w:rPr>
        <w:t xml:space="preserve"> </w:t>
      </w:r>
      <w:r>
        <w:rPr>
          <w:rFonts w:ascii="Garamond" w:hAnsi="Garamond"/>
          <w:sz w:val="22"/>
          <w:szCs w:val="22"/>
        </w:rPr>
        <w:t xml:space="preserve">has necessitated that </w:t>
      </w:r>
      <w:r w:rsidRPr="006D1917">
        <w:rPr>
          <w:rFonts w:ascii="Garamond" w:hAnsi="Garamond"/>
          <w:sz w:val="22"/>
          <w:szCs w:val="22"/>
        </w:rPr>
        <w:t xml:space="preserve">management strategies </w:t>
      </w:r>
      <w:r>
        <w:rPr>
          <w:rFonts w:ascii="Garamond" w:hAnsi="Garamond"/>
          <w:sz w:val="22"/>
          <w:szCs w:val="22"/>
        </w:rPr>
        <w:t>be</w:t>
      </w:r>
      <w:r w:rsidRPr="006D1917">
        <w:rPr>
          <w:rFonts w:ascii="Garamond" w:hAnsi="Garamond"/>
          <w:sz w:val="22"/>
          <w:szCs w:val="22"/>
        </w:rPr>
        <w:t xml:space="preserve"> implemented at relatively coarse spatial scales. </w:t>
      </w:r>
      <w:r>
        <w:rPr>
          <w:rFonts w:ascii="Garamond" w:hAnsi="Garamond"/>
          <w:sz w:val="22"/>
          <w:szCs w:val="22"/>
        </w:rPr>
        <w:t>A salient example of this is in the</w:t>
      </w:r>
      <w:r w:rsidRPr="006D1917">
        <w:rPr>
          <w:rFonts w:ascii="Garamond" w:hAnsi="Garamond"/>
          <w:sz w:val="22"/>
          <w:szCs w:val="22"/>
        </w:rPr>
        <w:t xml:space="preserve"> Kuskokwim River </w:t>
      </w:r>
      <w:r>
        <w:rPr>
          <w:rFonts w:ascii="Garamond" w:hAnsi="Garamond"/>
          <w:sz w:val="22"/>
          <w:szCs w:val="22"/>
        </w:rPr>
        <w:t>where managers implement a</w:t>
      </w:r>
      <w:r w:rsidRPr="006D1917">
        <w:rPr>
          <w:rFonts w:ascii="Garamond" w:hAnsi="Garamond"/>
          <w:sz w:val="22"/>
          <w:szCs w:val="22"/>
        </w:rPr>
        <w:t xml:space="preserve"> front-end closure strateg</w:t>
      </w:r>
      <w:r>
        <w:rPr>
          <w:rFonts w:ascii="Garamond" w:hAnsi="Garamond"/>
          <w:sz w:val="22"/>
          <w:szCs w:val="22"/>
        </w:rPr>
        <w:t xml:space="preserve">y that heavily restricts fishing during the beginning of the salmon migration season to protect early returning fish </w:t>
      </w:r>
      <w:r>
        <w:rPr>
          <w:rFonts w:ascii="Garamond" w:hAnsi="Garamond"/>
          <w:sz w:val="22"/>
          <w:szCs w:val="22"/>
        </w:rPr>
        <w:fldChar w:fldCharType="begin"/>
      </w:r>
      <w:r w:rsidR="00A26A50">
        <w:rPr>
          <w:rFonts w:ascii="Garamond" w:hAnsi="Garamond"/>
          <w:sz w:val="22"/>
          <w:szCs w:val="22"/>
        </w:rPr>
        <w:instrText xml:space="preserve"> ADDIN ZOTERO_ITEM CSL_CITATION {"citationID":"A32imaA8","properties":{"formattedCitation":"(Bechtol et al., 2025)","plainCitation":"(Bechtol et al., 2025)","dontUpdate":true,"noteIndex":0},"citationItems":[{"id":5396,"uris":["http://zotero.org/users/8421274/items/5K4UUKKW"],"itemData":{"id":5396,"type":"report","language":"en","publisher":"Kuskokwim River Inter-Tribal Fish Commission, Bethel","source":"Zotero","title":"Inseason Harvest and Effort Estimates for the 2024 Kuskokwim River Subsistence Salmon Fisheries During Block Openings","author":[{"family":"Bechtol","given":"William R"},{"family":"Vicente","given":"Terese"},{"family":"Leon","given":"Justin"},{"family":"Hoffman","given":"Avery"},{"family":"Moses","given":"Aaron"},{"family":"Hooper","given":"Delen"}],"issued":{"date-parts":[["2025"]]}}}],"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(e.g. Bechtol et al., 2025)</w:t>
      </w:r>
      <w:r>
        <w:rPr>
          <w:rFonts w:ascii="Garamond" w:hAnsi="Garamond"/>
          <w:sz w:val="22"/>
          <w:szCs w:val="22"/>
        </w:rPr>
        <w:fldChar w:fldCharType="end"/>
      </w:r>
      <w:r>
        <w:rPr>
          <w:rFonts w:ascii="Garamond" w:hAnsi="Garamond"/>
          <w:sz w:val="22"/>
          <w:szCs w:val="22"/>
        </w:rPr>
        <w:t>.</w:t>
      </w:r>
      <w:r w:rsidRPr="006D1917">
        <w:rPr>
          <w:rFonts w:ascii="Garamond" w:hAnsi="Garamond"/>
          <w:sz w:val="22"/>
          <w:szCs w:val="22"/>
        </w:rPr>
        <w:t xml:space="preserve"> </w:t>
      </w:r>
      <w:r>
        <w:rPr>
          <w:rFonts w:ascii="Garamond" w:hAnsi="Garamond"/>
          <w:sz w:val="22"/>
          <w:szCs w:val="22"/>
        </w:rPr>
        <w:t>This strategy aims to</w:t>
      </w:r>
      <w:r w:rsidRPr="006D1917">
        <w:rPr>
          <w:rFonts w:ascii="Garamond" w:hAnsi="Garamond"/>
          <w:sz w:val="22"/>
          <w:szCs w:val="22"/>
        </w:rPr>
        <w:t xml:space="preserve"> support</w:t>
      </w:r>
      <w:r>
        <w:rPr>
          <w:rFonts w:ascii="Garamond" w:hAnsi="Garamond"/>
          <w:sz w:val="22"/>
          <w:szCs w:val="22"/>
        </w:rPr>
        <w:t xml:space="preserve"> </w:t>
      </w:r>
      <w:r w:rsidRPr="006D1917">
        <w:rPr>
          <w:rFonts w:ascii="Garamond" w:hAnsi="Garamond"/>
          <w:sz w:val="22"/>
          <w:szCs w:val="22"/>
        </w:rPr>
        <w:t>basin-wide escapement goals</w:t>
      </w:r>
      <w:r>
        <w:rPr>
          <w:rFonts w:ascii="Garamond" w:hAnsi="Garamond"/>
          <w:sz w:val="22"/>
          <w:szCs w:val="22"/>
        </w:rPr>
        <w:t xml:space="preserve"> while allowing for a significant number of fish to return to stocks in the upper portions of the river basin , thereby protecting access to harvest opportunities for upstream communities and bolstering the health of upstream stocks which have a general tendency to migrate early in the season </w:t>
      </w:r>
      <w:commentRangeStart w:id="5"/>
      <w:r>
        <w:rPr>
          <w:rFonts w:ascii="Garamond" w:hAnsi="Garamond"/>
          <w:sz w:val="22"/>
          <w:szCs w:val="22"/>
        </w:rPr>
        <w:fldChar w:fldCharType="begin"/>
      </w:r>
      <w:r>
        <w:rPr>
          <w:rFonts w:ascii="Garamond" w:hAnsi="Garamond"/>
          <w:sz w:val="22"/>
          <w:szCs w:val="22"/>
        </w:rPr>
        <w:instrText xml:space="preserve"> ADDIN ZOTERO_ITEM CSL_CITATION {"citationID":"7EzFVXNC","properties":{"formattedCitation":"(Clark et al., 2015)","plainCitation":"(Clark et al., 2015)","noteIndex":0},"citationItems":[{"id":5370,"uris":["http://zotero.org/users/8421274/items/CSEI4Y28"],"itemData":{"id":5370,"type":"article-journal","abstract":"Variation in the timing of migration to freshwaters to spawn is one important dimension of the life history variation within individual salmon stocks. That variable has important implications for developing sustainable fisheries that simultaneously exploit multiple populations within the same geographic area. We examined the variation in migration timing of adult Chinook Salmon Oncorhynchus tshawytscha within the Togiak River system of southwest Alaska to determine whether fish that spawned in different habitats migrated into freshwater from the ocean at different times. In particular, we evaluated whether there were watershed</w:instrText>
      </w:r>
      <w:r>
        <w:rPr>
          <w:rFonts w:ascii="Cambria Math" w:hAnsi="Cambria Math" w:cs="Cambria Math"/>
          <w:sz w:val="22"/>
          <w:szCs w:val="22"/>
        </w:rPr>
        <w:instrText>‐</w:instrText>
      </w:r>
      <w:r>
        <w:rPr>
          <w:rFonts w:ascii="Garamond" w:hAnsi="Garamond"/>
          <w:sz w:val="22"/>
          <w:szCs w:val="22"/>
        </w:rPr>
        <w:instrText>wide effects of body size, sex, spawning location, and year on the timing of spawning</w:instrText>
      </w:r>
      <w:r>
        <w:rPr>
          <w:rFonts w:ascii="Cambria Math" w:hAnsi="Cambria Math" w:cs="Cambria Math"/>
          <w:sz w:val="22"/>
          <w:szCs w:val="22"/>
        </w:rPr>
        <w:instrText>‐</w:instrText>
      </w:r>
      <w:r>
        <w:rPr>
          <w:rFonts w:ascii="Garamond" w:hAnsi="Garamond"/>
          <w:sz w:val="22"/>
          <w:szCs w:val="22"/>
        </w:rPr>
        <w:instrText>run migration into the Togiak River. Migration data and spawning fate were collected using radiotelemetry and analyzed with mixed effects models to account for among</w:instrText>
      </w:r>
      <w:r>
        <w:rPr>
          <w:rFonts w:ascii="Cambria Math" w:hAnsi="Cambria Math" w:cs="Cambria Math"/>
          <w:sz w:val="22"/>
          <w:szCs w:val="22"/>
        </w:rPr>
        <w:instrText>‐</w:instrText>
      </w:r>
      <w:r>
        <w:rPr>
          <w:rFonts w:ascii="Garamond" w:hAnsi="Garamond"/>
          <w:sz w:val="22"/>
          <w:szCs w:val="22"/>
        </w:rPr>
        <w:instrText xml:space="preserve">year variation in migration timing across the 4 years of the study. We found that migration timing of Chinook Salmon in the Togiak watershed is segregated by spawning location and sex and is consistent across body sizes and years. Fish that spawned higher in the watershed had a tendency to enter freshwater earlier than fish that spawned lower in the watershed and in the main stem of the river. Our results indicate clear stock structure in the migration of spawning Chinook Salmon to the Togiak River watershed, suggesting that it is important to distribute harvest over the entire distribution of Chinook Salmon run timing to minimize the risk of overexploiting certain components of the stock complex.","container-title":"Transactions of the American Fisheries Society","DOI":"10.1080/00028487.2015.1031281","ISSN":"0002-8487","issue":"4","journalAbbreviation":"Transactions of the American Fisheries Society","page":"829-836","source":"Silverchair","title":"Migration Timing of Adult Chinook Salmon into the Togiak River, Alaska, Watershed: Is There Evidence for Stock Structure?","title-short":"Migration Timing of Adult Chinook Salmon into the Togiak River, Alaska, Watershed","volume":"144","author":[{"family":"Clark","given":"Sydney C."},{"family":"Tanner","given":"Theresa L."},{"family":"Sethi","given":"Suresh A."},{"family":"Bentley","given":"Kale T."},{"family":"Schindler","given":"Daniel E."}],"issued":{"date-parts":[["2015",7,1]]}}}],"schema":"https://github.com/citation-style-language/schema/raw/master/csl-citation.json"} </w:instrText>
      </w:r>
      <w:r>
        <w:rPr>
          <w:rFonts w:ascii="Garamond" w:hAnsi="Garamond"/>
          <w:sz w:val="22"/>
          <w:szCs w:val="22"/>
        </w:rPr>
        <w:fldChar w:fldCharType="separate"/>
      </w:r>
      <w:r w:rsidRPr="008B4FCB">
        <w:rPr>
          <w:rFonts w:ascii="Garamond" w:hAnsi="Garamond"/>
          <w:sz w:val="22"/>
        </w:rPr>
        <w:t>(Clark et al., 2015)</w:t>
      </w:r>
      <w:r>
        <w:rPr>
          <w:rFonts w:ascii="Garamond" w:hAnsi="Garamond"/>
          <w:sz w:val="22"/>
          <w:szCs w:val="22"/>
        </w:rPr>
        <w:fldChar w:fldCharType="end"/>
      </w:r>
      <w:commentRangeEnd w:id="5"/>
      <w:r>
        <w:rPr>
          <w:rStyle w:val="CommentReference"/>
        </w:rPr>
        <w:commentReference w:id="5"/>
      </w:r>
      <w:r>
        <w:rPr>
          <w:rFonts w:ascii="Garamond" w:hAnsi="Garamond"/>
          <w:sz w:val="22"/>
          <w:szCs w:val="22"/>
        </w:rPr>
        <w:t xml:space="preserve">. However, little data exist which quantifies the spatiotemporal patterns among stocks. The impact of front-end closure strategies on individual stock components is not well understood, and a more complete understanding of stock contribution to the overall run both within and among years is currently not readily available. </w:t>
      </w:r>
      <w:r w:rsidR="00D53B0E">
        <w:rPr>
          <w:rFonts w:ascii="Garamond" w:hAnsi="Garamond"/>
          <w:sz w:val="22"/>
          <w:szCs w:val="22"/>
        </w:rPr>
        <w:t>T</w:t>
      </w:r>
      <w:r>
        <w:rPr>
          <w:rFonts w:ascii="Garamond" w:hAnsi="Garamond"/>
          <w:sz w:val="22"/>
          <w:szCs w:val="22"/>
        </w:rPr>
        <w:t xml:space="preserve">hese data may be important to assessing the impact of current management strategies and designing new strategies which maintain stock health across all components of the watershed and maintain a reliable resource for communities and industry in the region. </w:t>
      </w:r>
    </w:p>
    <w:p w14:paraId="38B791DA" w14:textId="05D50C13" w:rsidR="00F552CD" w:rsidRPr="00617050" w:rsidRDefault="00F552CD" w:rsidP="00932FBC">
      <w:pPr>
        <w:spacing w:line="480" w:lineRule="auto"/>
        <w:ind w:firstLine="720"/>
        <w:rPr>
          <w:rFonts w:ascii="Garamond" w:hAnsi="Garamond"/>
          <w:sz w:val="22"/>
          <w:szCs w:val="22"/>
        </w:rPr>
      </w:pPr>
      <w:r w:rsidRPr="006D1917">
        <w:rPr>
          <w:rFonts w:ascii="Garamond" w:hAnsi="Garamond"/>
          <w:sz w:val="22"/>
          <w:szCs w:val="22"/>
        </w:rPr>
        <w:t>Here, we apply otolit</w:t>
      </w:r>
      <w:r>
        <w:rPr>
          <w:rFonts w:ascii="Garamond" w:hAnsi="Garamond"/>
          <w:sz w:val="22"/>
          <w:szCs w:val="22"/>
        </w:rPr>
        <w:t>h microchemistry from fish caught at different times of the migration season over 6 years</w:t>
      </w:r>
      <w:r w:rsidR="00D53B0E">
        <w:rPr>
          <w:rFonts w:ascii="Garamond" w:hAnsi="Garamond"/>
          <w:sz w:val="22"/>
          <w:szCs w:val="22"/>
        </w:rPr>
        <w:t xml:space="preserve"> in the Kuskokwim River-basin</w:t>
      </w:r>
      <w:r w:rsidRPr="006D1917">
        <w:rPr>
          <w:rFonts w:ascii="Garamond" w:hAnsi="Garamond"/>
          <w:sz w:val="22"/>
          <w:szCs w:val="22"/>
        </w:rPr>
        <w:t xml:space="preserve"> to reconstruct spatiotemporal patterns of Chinook salmon natal origin distribution</w:t>
      </w:r>
      <w:r>
        <w:rPr>
          <w:rFonts w:ascii="Garamond" w:hAnsi="Garamond"/>
          <w:sz w:val="22"/>
          <w:szCs w:val="22"/>
        </w:rPr>
        <w:t xml:space="preserve"> at the sub basin scale. In doing so, we will</w:t>
      </w:r>
      <w:r w:rsidRPr="006D1917">
        <w:rPr>
          <w:rFonts w:ascii="Garamond" w:hAnsi="Garamond"/>
          <w:sz w:val="22"/>
          <w:szCs w:val="22"/>
        </w:rPr>
        <w:t>: (1) identify the spatiotemporal structure of returning populations in</w:t>
      </w:r>
      <w:r>
        <w:rPr>
          <w:rFonts w:ascii="Garamond" w:hAnsi="Garamond"/>
          <w:sz w:val="22"/>
          <w:szCs w:val="22"/>
        </w:rPr>
        <w:t xml:space="preserve"> the Kuskokwim river-basin, and </w:t>
      </w:r>
      <w:r w:rsidRPr="006D1917">
        <w:rPr>
          <w:rFonts w:ascii="Garamond" w:hAnsi="Garamond"/>
          <w:sz w:val="22"/>
          <w:szCs w:val="22"/>
        </w:rPr>
        <w:t>(2)</w:t>
      </w:r>
      <w:r>
        <w:rPr>
          <w:rFonts w:ascii="Garamond" w:hAnsi="Garamond"/>
          <w:sz w:val="22"/>
          <w:szCs w:val="22"/>
        </w:rPr>
        <w:t xml:space="preserve"> </w:t>
      </w:r>
      <w:r w:rsidRPr="006D1917">
        <w:rPr>
          <w:rFonts w:ascii="Garamond" w:hAnsi="Garamond"/>
          <w:sz w:val="22"/>
          <w:szCs w:val="22"/>
        </w:rPr>
        <w:t>evaluate the potential impacts of harvest strategies</w:t>
      </w:r>
      <w:r>
        <w:rPr>
          <w:rFonts w:ascii="Garamond" w:hAnsi="Garamond"/>
          <w:sz w:val="22"/>
          <w:szCs w:val="22"/>
        </w:rPr>
        <w:t xml:space="preserve"> such as a</w:t>
      </w:r>
      <w:r w:rsidRPr="006D1917">
        <w:rPr>
          <w:rFonts w:ascii="Garamond" w:hAnsi="Garamond"/>
          <w:sz w:val="22"/>
          <w:szCs w:val="22"/>
        </w:rPr>
        <w:t xml:space="preserve"> front-end closure</w:t>
      </w:r>
      <w:r>
        <w:rPr>
          <w:rFonts w:ascii="Garamond" w:hAnsi="Garamond"/>
          <w:sz w:val="22"/>
          <w:szCs w:val="22"/>
        </w:rPr>
        <w:t xml:space="preserve"> </w:t>
      </w:r>
      <w:r w:rsidRPr="006D1917">
        <w:rPr>
          <w:rFonts w:ascii="Garamond" w:hAnsi="Garamond"/>
          <w:sz w:val="22"/>
          <w:szCs w:val="22"/>
        </w:rPr>
        <w:t>on stocks across these systems.</w:t>
      </w:r>
    </w:p>
    <w:p w14:paraId="327E6388" w14:textId="77777777" w:rsidR="009833DB" w:rsidRDefault="009833DB" w:rsidP="009833DB">
      <w:pPr>
        <w:spacing w:line="480" w:lineRule="auto"/>
        <w:rPr>
          <w:rFonts w:ascii="Garamond" w:hAnsi="Garamond"/>
          <w:sz w:val="22"/>
          <w:szCs w:val="22"/>
        </w:rPr>
      </w:pPr>
    </w:p>
    <w:p w14:paraId="2A0F64D4" w14:textId="77777777" w:rsidR="009833DB" w:rsidRPr="006D1917" w:rsidRDefault="009833DB" w:rsidP="009833DB">
      <w:pPr>
        <w:spacing w:line="480" w:lineRule="auto"/>
        <w:rPr>
          <w:rFonts w:ascii="Garamond" w:hAnsi="Garamond"/>
          <w:b/>
          <w:bCs/>
          <w:sz w:val="32"/>
          <w:szCs w:val="32"/>
        </w:rPr>
      </w:pPr>
      <w:r w:rsidRPr="006D1917">
        <w:rPr>
          <w:rFonts w:ascii="Garamond" w:hAnsi="Garamond"/>
          <w:b/>
          <w:bCs/>
          <w:sz w:val="32"/>
          <w:szCs w:val="32"/>
        </w:rPr>
        <w:lastRenderedPageBreak/>
        <w:t xml:space="preserve">Methods: </w:t>
      </w:r>
    </w:p>
    <w:p w14:paraId="2B9BE153" w14:textId="77777777" w:rsidR="009833DB" w:rsidRDefault="009833DB" w:rsidP="009833DB">
      <w:pPr>
        <w:spacing w:line="480" w:lineRule="auto"/>
        <w:rPr>
          <w:rFonts w:ascii="Garamond" w:hAnsi="Garamond"/>
          <w:b/>
          <w:bCs/>
          <w:sz w:val="22"/>
          <w:szCs w:val="22"/>
          <w:u w:val="single"/>
        </w:rPr>
      </w:pPr>
      <w:r w:rsidRPr="006D1917">
        <w:rPr>
          <w:rFonts w:ascii="Garamond" w:hAnsi="Garamond"/>
          <w:b/>
          <w:bCs/>
          <w:sz w:val="22"/>
          <w:szCs w:val="22"/>
          <w:u w:val="single"/>
        </w:rPr>
        <w:t>Otolith Sample s</w:t>
      </w:r>
      <w:r>
        <w:rPr>
          <w:rFonts w:ascii="Garamond" w:hAnsi="Garamond"/>
          <w:b/>
          <w:bCs/>
          <w:sz w:val="22"/>
          <w:szCs w:val="22"/>
          <w:u w:val="single"/>
        </w:rPr>
        <w:t>ets</w:t>
      </w:r>
    </w:p>
    <w:p w14:paraId="2C50ADFF" w14:textId="77777777" w:rsidR="009C079F" w:rsidRDefault="009833DB" w:rsidP="009C079F">
      <w:pPr>
        <w:spacing w:line="480" w:lineRule="auto"/>
        <w:ind w:firstLine="720"/>
        <w:rPr>
          <w:rFonts w:ascii="Garamond" w:eastAsia="Times New Roman" w:hAnsi="Garamond" w:cs="Times New Roman"/>
          <w:kern w:val="0"/>
          <w:sz w:val="22"/>
          <w:szCs w:val="22"/>
          <w14:ligatures w14:val="none"/>
        </w:rPr>
      </w:pPr>
      <w:r w:rsidRPr="006D1917">
        <w:rPr>
          <w:rFonts w:ascii="Garamond" w:eastAsia="Times New Roman" w:hAnsi="Garamond" w:cs="Times New Roman"/>
          <w:kern w:val="0"/>
          <w:sz w:val="22"/>
          <w:szCs w:val="22"/>
          <w14:ligatures w14:val="none"/>
        </w:rPr>
        <w:t xml:space="preserve">Otoliths were collected </w:t>
      </w:r>
      <w:r w:rsidR="00367B6D">
        <w:rPr>
          <w:rFonts w:ascii="Garamond" w:eastAsia="Times New Roman" w:hAnsi="Garamond" w:cs="Times New Roman"/>
          <w:kern w:val="0"/>
          <w:sz w:val="22"/>
          <w:szCs w:val="22"/>
          <w14:ligatures w14:val="none"/>
        </w:rPr>
        <w:t xml:space="preserve">from Chinook salmon </w:t>
      </w:r>
      <w:r w:rsidR="00313CB8">
        <w:rPr>
          <w:rFonts w:ascii="Garamond" w:eastAsia="Times New Roman" w:hAnsi="Garamond" w:cs="Times New Roman"/>
          <w:kern w:val="0"/>
          <w:sz w:val="22"/>
          <w:szCs w:val="22"/>
          <w14:ligatures w14:val="none"/>
        </w:rPr>
        <w:t>from 2017 to 2022</w:t>
      </w:r>
      <w:r w:rsidR="00E212FE">
        <w:rPr>
          <w:rFonts w:ascii="Garamond" w:eastAsia="Times New Roman" w:hAnsi="Garamond" w:cs="Times New Roman"/>
          <w:kern w:val="0"/>
          <w:sz w:val="22"/>
          <w:szCs w:val="22"/>
          <w14:ligatures w14:val="none"/>
        </w:rPr>
        <w:t xml:space="preserve"> </w:t>
      </w:r>
      <w:r w:rsidR="00313CB8">
        <w:rPr>
          <w:rFonts w:ascii="Garamond" w:eastAsia="Times New Roman" w:hAnsi="Garamond" w:cs="Times New Roman"/>
          <w:kern w:val="0"/>
          <w:sz w:val="22"/>
          <w:szCs w:val="22"/>
          <w14:ligatures w14:val="none"/>
        </w:rPr>
        <w:t xml:space="preserve">sampled in </w:t>
      </w:r>
      <w:r w:rsidR="00E212FE">
        <w:rPr>
          <w:rFonts w:ascii="Garamond" w:eastAsia="Times New Roman" w:hAnsi="Garamond" w:cs="Times New Roman"/>
          <w:kern w:val="0"/>
          <w:sz w:val="22"/>
          <w:szCs w:val="22"/>
          <w14:ligatures w14:val="none"/>
        </w:rPr>
        <w:t xml:space="preserve">the Bethel Test Fishery (BTF) near Bethel, Alaska </w:t>
      </w:r>
      <w:r w:rsidR="00313CB8">
        <w:rPr>
          <w:rFonts w:ascii="Garamond" w:eastAsia="Times New Roman" w:hAnsi="Garamond" w:cs="Times New Roman"/>
          <w:kern w:val="0"/>
          <w:sz w:val="22"/>
          <w:szCs w:val="22"/>
          <w14:ligatures w14:val="none"/>
        </w:rPr>
        <w:t>in collaboration with</w:t>
      </w:r>
      <w:r w:rsidR="00367B6D">
        <w:rPr>
          <w:rFonts w:ascii="Garamond" w:eastAsia="Times New Roman" w:hAnsi="Garamond" w:cs="Times New Roman"/>
          <w:kern w:val="0"/>
          <w:sz w:val="22"/>
          <w:szCs w:val="22"/>
          <w14:ligatures w14:val="none"/>
        </w:rPr>
        <w:t xml:space="preserve"> the intern program of the </w:t>
      </w:r>
      <w:proofErr w:type="spellStart"/>
      <w:r w:rsidR="00367B6D">
        <w:rPr>
          <w:rFonts w:ascii="Garamond" w:eastAsia="Times New Roman" w:hAnsi="Garamond" w:cs="Times New Roman"/>
          <w:kern w:val="0"/>
          <w:sz w:val="22"/>
          <w:szCs w:val="22"/>
          <w14:ligatures w14:val="none"/>
        </w:rPr>
        <w:t>Orutsaramiut</w:t>
      </w:r>
      <w:proofErr w:type="spellEnd"/>
      <w:r w:rsidR="00367B6D">
        <w:rPr>
          <w:rFonts w:ascii="Garamond" w:eastAsia="Times New Roman" w:hAnsi="Garamond" w:cs="Times New Roman"/>
          <w:kern w:val="0"/>
          <w:sz w:val="22"/>
          <w:szCs w:val="22"/>
          <w14:ligatures w14:val="none"/>
        </w:rPr>
        <w:t xml:space="preserve"> Native Council </w:t>
      </w:r>
      <w:r w:rsidR="00313CB8">
        <w:rPr>
          <w:rFonts w:ascii="Garamond" w:eastAsia="Times New Roman" w:hAnsi="Garamond" w:cs="Times New Roman"/>
          <w:kern w:val="0"/>
          <w:sz w:val="22"/>
          <w:szCs w:val="22"/>
          <w14:ligatures w14:val="none"/>
        </w:rPr>
        <w:t>and</w:t>
      </w:r>
      <w:r w:rsidR="00367B6D">
        <w:rPr>
          <w:rFonts w:ascii="Garamond" w:eastAsia="Times New Roman" w:hAnsi="Garamond" w:cs="Times New Roman"/>
          <w:kern w:val="0"/>
          <w:sz w:val="22"/>
          <w:szCs w:val="22"/>
          <w14:ligatures w14:val="none"/>
        </w:rPr>
        <w:t xml:space="preserve"> the Alaska Department of Fish &amp; Game. </w:t>
      </w:r>
      <w:r w:rsidR="00313CB8">
        <w:rPr>
          <w:rFonts w:ascii="Garamond" w:eastAsia="Times New Roman" w:hAnsi="Garamond" w:cs="Times New Roman"/>
          <w:kern w:val="0"/>
          <w:sz w:val="22"/>
          <w:szCs w:val="22"/>
          <w14:ligatures w14:val="none"/>
        </w:rPr>
        <w:t xml:space="preserve">The BTF was designed to allow in-season assessment of run strength based on catch-per-unit-effort to inform management of subsistence fisheries throughout the river (Liller report). </w:t>
      </w:r>
      <w:r w:rsidR="00DD0E6E">
        <w:rPr>
          <w:rFonts w:ascii="Garamond" w:eastAsia="Times New Roman" w:hAnsi="Garamond" w:cs="Times New Roman"/>
          <w:kern w:val="0"/>
          <w:sz w:val="22"/>
          <w:szCs w:val="22"/>
          <w14:ligatures w14:val="none"/>
        </w:rPr>
        <w:t xml:space="preserve">As such, fish captured in this test fishery are expected to be a representative sample of returning stocks throughout the basin. We collected approximately 500 otoliths from each year from 2017-2022, ensuring sampling efforts over the full course of the run. From these, approximately 250 otoliths were selected for microchemical analysis in proportion to the relative catch per unit effort (CPUE) </w:t>
      </w:r>
      <w:r w:rsidR="009C079F">
        <w:rPr>
          <w:rFonts w:ascii="Garamond" w:eastAsia="Times New Roman" w:hAnsi="Garamond" w:cs="Times New Roman"/>
          <w:kern w:val="0"/>
          <w:sz w:val="22"/>
          <w:szCs w:val="22"/>
          <w14:ligatures w14:val="none"/>
        </w:rPr>
        <w:t xml:space="preserve">throughout the season. </w:t>
      </w:r>
    </w:p>
    <w:p w14:paraId="161FEB7F" w14:textId="4AD018B5" w:rsidR="009833DB" w:rsidRPr="005D5AB7" w:rsidRDefault="00313CB8" w:rsidP="009C079F">
      <w:pPr>
        <w:spacing w:line="480" w:lineRule="auto"/>
        <w:ind w:firstLine="720"/>
        <w:rPr>
          <w:rFonts w:ascii="Garamond" w:eastAsia="Times New Roman" w:hAnsi="Garamond" w:cs="Times New Roman"/>
          <w:kern w:val="0"/>
          <w:sz w:val="22"/>
          <w:szCs w:val="22"/>
          <w14:ligatures w14:val="none"/>
        </w:rPr>
      </w:pPr>
      <w:r>
        <w:rPr>
          <w:rFonts w:ascii="Garamond" w:hAnsi="Garamond"/>
          <w:sz w:val="22"/>
          <w:szCs w:val="22"/>
        </w:rPr>
        <w:t xml:space="preserve">Otoliths </w:t>
      </w:r>
      <w:r w:rsidR="009833DB">
        <w:rPr>
          <w:rFonts w:ascii="Garamond" w:hAnsi="Garamond"/>
          <w:sz w:val="22"/>
          <w:szCs w:val="22"/>
        </w:rPr>
        <w:t xml:space="preserve">were </w:t>
      </w:r>
      <w:r w:rsidR="009833DB" w:rsidRPr="006D1917">
        <w:rPr>
          <w:rFonts w:ascii="Garamond" w:eastAsia="Times New Roman" w:hAnsi="Garamond" w:cs="Times New Roman"/>
          <w:kern w:val="0"/>
          <w:sz w:val="22"/>
          <w:szCs w:val="22"/>
          <w14:ligatures w14:val="none"/>
        </w:rPr>
        <w:t xml:space="preserve">sectioned </w:t>
      </w:r>
      <w:r w:rsidR="00EF1756">
        <w:rPr>
          <w:rFonts w:ascii="Garamond" w:eastAsia="Times New Roman" w:hAnsi="Garamond" w:cs="Times New Roman"/>
          <w:kern w:val="0"/>
          <w:sz w:val="22"/>
          <w:szCs w:val="22"/>
          <w14:ligatures w14:val="none"/>
        </w:rPr>
        <w:t xml:space="preserve">with </w:t>
      </w:r>
      <w:r w:rsidR="0025573D">
        <w:rPr>
          <w:rFonts w:ascii="Garamond" w:eastAsia="Times New Roman" w:hAnsi="Garamond" w:cs="Times New Roman"/>
          <w:kern w:val="0"/>
          <w:sz w:val="22"/>
          <w:szCs w:val="22"/>
          <w14:ligatures w14:val="none"/>
        </w:rPr>
        <w:t xml:space="preserve">low speed diamond blade </w:t>
      </w:r>
      <w:proofErr w:type="spellStart"/>
      <w:r w:rsidR="0025573D">
        <w:rPr>
          <w:rFonts w:ascii="Garamond" w:eastAsia="Times New Roman" w:hAnsi="Garamond" w:cs="Times New Roman"/>
          <w:kern w:val="0"/>
          <w:sz w:val="22"/>
          <w:szCs w:val="22"/>
          <w14:ligatures w14:val="none"/>
        </w:rPr>
        <w:t>isomet</w:t>
      </w:r>
      <w:proofErr w:type="spellEnd"/>
      <w:r w:rsidR="0025573D">
        <w:rPr>
          <w:rFonts w:ascii="Garamond" w:eastAsia="Times New Roman" w:hAnsi="Garamond" w:cs="Times New Roman"/>
          <w:kern w:val="0"/>
          <w:sz w:val="22"/>
          <w:szCs w:val="22"/>
          <w14:ligatures w14:val="none"/>
        </w:rPr>
        <w:t xml:space="preserve"> </w:t>
      </w:r>
      <w:r w:rsidR="00EF1756">
        <w:rPr>
          <w:rFonts w:ascii="Garamond" w:eastAsia="Times New Roman" w:hAnsi="Garamond" w:cs="Times New Roman"/>
          <w:kern w:val="0"/>
          <w:sz w:val="22"/>
          <w:szCs w:val="22"/>
          <w14:ligatures w14:val="none"/>
        </w:rPr>
        <w:t xml:space="preserve">saw </w:t>
      </w:r>
      <w:r w:rsidR="009833DB" w:rsidRPr="006D1917">
        <w:rPr>
          <w:rFonts w:ascii="Garamond" w:eastAsia="Times New Roman" w:hAnsi="Garamond" w:cs="Times New Roman"/>
          <w:kern w:val="0"/>
          <w:sz w:val="22"/>
          <w:szCs w:val="22"/>
          <w14:ligatures w14:val="none"/>
        </w:rPr>
        <w:t xml:space="preserve">along the transverse plane, mounted on microscope slides, and polished to expose internal growth structures </w:t>
      </w:r>
      <w:r w:rsidR="009833DB">
        <w:rPr>
          <w:rFonts w:ascii="Garamond" w:eastAsia="Times New Roman" w:hAnsi="Garamond" w:cs="Times New Roman"/>
          <w:kern w:val="0"/>
          <w:sz w:val="22"/>
          <w:szCs w:val="22"/>
          <w14:ligatures w14:val="none"/>
        </w:rPr>
        <w:fldChar w:fldCharType="begin"/>
      </w:r>
      <w:r w:rsidR="009833DB">
        <w:rPr>
          <w:rFonts w:ascii="Garamond" w:eastAsia="Times New Roman" w:hAnsi="Garamond" w:cs="Times New Roman"/>
          <w:kern w:val="0"/>
          <w:sz w:val="22"/>
          <w:szCs w:val="22"/>
          <w14:ligatures w14:val="none"/>
        </w:rPr>
        <w:instrText xml:space="preserve"> ADDIN ZOTERO_ITEM CSL_CITATION {"citationID":"4icvZ6KO","properties":{"formattedCitation":"(Donohoe &amp; Zimmerman, 2010; Zimmerman &amp; Reeves, 2002)","plainCitation":"(Donohoe &amp; Zimmerman, 2010; Zimmerman &amp; Reeves, 2002)","noteIndex":0},"citationItems":[{"id":4778,"uris":["http://zotero.org/users/8421274/items/QJZIBTQC"],"itemData":{"id":4778,"type":"article-journal","abstract":"Beam-based analytical methods are widely used to measure the concentrations of elements and isotopes in otoliths. These methods usually require that otoliths be individually mounted and prepared to properly expose the desired growth region to the analytical beam. Most analytical instruments, such as LA-ICPMS and ion and electron microprobes, have sample holders that will accept only one to six slides or mounts at a time. We describe a method of mounting otoliths that allows for easy transfer of many otoliths to a single mount after they have been prepared. Such an approach increases the number of otoliths that can be analyzed in a single session by reducing the need open the sample chamber to exchange slides—a particularly time consuming step on instruments that operate under vacuum. For ion and electron microprobes, the method also greatly reduces the number of slides that must be coated with an electrical conductor prior to analysis. In this method, a narrow strip of cover glass is first glued at one end to a standard microscope slide. The otolith is then mounted in thermoplastic resin on the opposite, free end of the strip. The otolith can then be ground and flipped, if needed, by reheating the mounting medium. After otolith preparation is complete, the cover glass is cut with a scribe to free the otolith and up to 20 small otoliths can be arranged on a single petrographic slide.","container-title":"Environmental Biology of Fishes","DOI":"10.1007/s10641-010-9680-3","ISSN":"1573-5133","issue":"3","journalAbbreviation":"Environ Biol Fish","language":"en","page":"473-477","source":"Springer Link","title":"A method of mounting multiple otoliths for beam-based microchemical analyses","volume":"89","author":[{"family":"Donohoe","given":"Christopher J."},{"family":"Zimmerman","given":"Christian E."}],"issued":{"date-parts":[["2010",11,1]]}}},{"id":4132,"uris":["http://zotero.org/users/8421274/items/5YINANGC"],"itemData":{"id":4132,"type":"article-journal","abstract":"Comparisons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Society","DOI":"10.1577/1548-8659(2002)131&lt;0986:IOSARR&gt;2.0.CO;2","ISSN":"0002-8487","issue":"5","note":"publisher: Taylor &amp; Francis\n_eprint: https://doi.org/10.1577/1548-8659(2002)131&lt;0986:IOSARR&gt;2.0.CO;2","page":"986-993","source":"Taylor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sidR="009833DB">
        <w:rPr>
          <w:rFonts w:ascii="Garamond" w:eastAsia="Times New Roman" w:hAnsi="Garamond" w:cs="Times New Roman"/>
          <w:kern w:val="0"/>
          <w:sz w:val="22"/>
          <w:szCs w:val="22"/>
          <w14:ligatures w14:val="none"/>
        </w:rPr>
        <w:fldChar w:fldCharType="separate"/>
      </w:r>
      <w:r w:rsidR="009833DB">
        <w:rPr>
          <w:rFonts w:ascii="Garamond" w:eastAsia="Times New Roman" w:hAnsi="Garamond" w:cs="Times New Roman"/>
          <w:noProof/>
          <w:kern w:val="0"/>
          <w:sz w:val="22"/>
          <w:szCs w:val="22"/>
          <w14:ligatures w14:val="none"/>
        </w:rPr>
        <w:t>(Donohoe &amp; Zimmerman, 2010; Zimmerman &amp; Reeves, 2002)</w:t>
      </w:r>
      <w:r w:rsidR="009833DB">
        <w:rPr>
          <w:rFonts w:ascii="Garamond" w:eastAsia="Times New Roman" w:hAnsi="Garamond" w:cs="Times New Roman"/>
          <w:kern w:val="0"/>
          <w:sz w:val="22"/>
          <w:szCs w:val="22"/>
          <w14:ligatures w14:val="none"/>
        </w:rPr>
        <w:fldChar w:fldCharType="end"/>
      </w:r>
      <w:r w:rsidR="009833DB" w:rsidRPr="006D1917">
        <w:rPr>
          <w:rFonts w:ascii="Garamond" w:eastAsia="Times New Roman" w:hAnsi="Garamond" w:cs="Times New Roman"/>
          <w:kern w:val="0"/>
          <w:sz w:val="22"/>
          <w:szCs w:val="22"/>
          <w14:ligatures w14:val="none"/>
        </w:rPr>
        <w:t xml:space="preserve">. Prepared samples were analyzed at the University of Utah Strontium Isotope Laboratory using laser ablation inductively coupled plasma mass spectrometry (LA-ICP-MS). Laser ablation was conducted along a transect from the otolith core to just beyond the onset of marine </w:t>
      </w:r>
      <w:r w:rsidR="009833DB" w:rsidRPr="005D5AB7">
        <w:rPr>
          <w:rFonts w:ascii="Garamond" w:eastAsia="Times New Roman" w:hAnsi="Garamond" w:cs="Times New Roman"/>
          <w:kern w:val="0"/>
          <w:sz w:val="22"/>
          <w:szCs w:val="22"/>
          <w14:ligatures w14:val="none"/>
        </w:rPr>
        <w:t xml:space="preserve">growth </w:t>
      </w:r>
      <w:r w:rsidR="009833DB" w:rsidRPr="005D5AB7">
        <w:rPr>
          <w:rFonts w:ascii="Garamond" w:hAnsi="Garamond" w:cstheme="majorHAnsi"/>
          <w:sz w:val="22"/>
          <w:szCs w:val="22"/>
        </w:rPr>
        <w:t xml:space="preserve">using a 53 </w:t>
      </w:r>
      <w:r w:rsidR="009833DB" w:rsidRPr="005D5AB7">
        <w:rPr>
          <w:rFonts w:ascii="Garamond" w:hAnsi="Garamond" w:cstheme="majorHAnsi"/>
          <w:sz w:val="22"/>
          <w:szCs w:val="22"/>
        </w:rPr>
        <w:sym w:font="Symbol" w:char="F06D"/>
      </w:r>
      <w:r w:rsidR="009833DB" w:rsidRPr="005D5AB7">
        <w:rPr>
          <w:rFonts w:ascii="Garamond" w:hAnsi="Garamond" w:cstheme="majorHAnsi"/>
          <w:sz w:val="22"/>
          <w:szCs w:val="22"/>
        </w:rPr>
        <w:t>m diameter beam and scanning at 2</w:t>
      </w:r>
      <w:r w:rsidR="009833DB" w:rsidRPr="005D5AB7">
        <w:rPr>
          <w:rFonts w:ascii="Garamond" w:hAnsi="Garamond" w:cstheme="majorHAnsi"/>
          <w:sz w:val="22"/>
          <w:szCs w:val="22"/>
        </w:rPr>
        <w:sym w:font="Symbol" w:char="F06D"/>
      </w:r>
      <w:r w:rsidR="009833DB" w:rsidRPr="005D5AB7">
        <w:rPr>
          <w:rFonts w:ascii="Garamond" w:hAnsi="Garamond" w:cstheme="majorHAnsi"/>
          <w:sz w:val="22"/>
          <w:szCs w:val="22"/>
        </w:rPr>
        <w:t xml:space="preserve">m/second </w:t>
      </w:r>
      <w:r w:rsidR="009833DB" w:rsidRPr="005D5AB7">
        <w:rPr>
          <w:rFonts w:ascii="Garamond" w:hAnsi="Garamond" w:cstheme="majorHAnsi"/>
          <w:sz w:val="22"/>
          <w:szCs w:val="22"/>
        </w:rPr>
        <w:fldChar w:fldCharType="begin"/>
      </w:r>
      <w:r w:rsidR="00A26A50">
        <w:rPr>
          <w:rFonts w:ascii="Garamond" w:hAnsi="Garamond" w:cstheme="majorHAnsi"/>
          <w:sz w:val="22"/>
          <w:szCs w:val="22"/>
        </w:rPr>
        <w:instrText xml:space="preserve"> ADDIN ZOTERO_ITEM CSL_CITATION {"citationID":"nvLrB1dQ","properties":{"formattedCitation":"(Brennan et al., 2015; Zimmerman &amp; Reeves, 2002)","plainCitation":"(Brennan et al., 2015; Zimmerman &amp; Reeves, 2002)","dontUpdate":true,"noteIndex":0},"citationItems":[{"id":"h4h2qxOD/ChWvHkvk","uris":["http://zotero.org/users/8421274/items/IY3FLHLM"],"itemData":{"id":915,"type":"article-journal","abstract":"Strontium isotopes simultaneously delineate fine-scale natal habitats and migrations of Pacific salmon harvested during a coastal commercial fishery., 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Advances","DOI":"10.1126/sciadv.1400124","ISSN":"2375-2548","issue":"4","journalAbbreviation":"Sci Adv","note":"PMID: 26601173\nPMCID: PMC4640640","page":"e1400124","source":"PubMed Central","title":"Strontium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Society","DOI":"10.1577/1548-8659(2002)131&lt;0986:IOSARR&gt;2.0.CO;2","ISSN":"0002-8487","issue":"5","note":"publisher: Taylor &amp; Francis\n_eprint: https://doi.org/10.1577/1548-8659(2002)131&lt;0986:IOSARR&gt;2.0.CO;2","page":"986-993","source":"Taylor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sidR="009833DB" w:rsidRPr="005D5AB7">
        <w:rPr>
          <w:rFonts w:ascii="Garamond" w:hAnsi="Garamond" w:cstheme="majorHAnsi"/>
          <w:sz w:val="22"/>
          <w:szCs w:val="22"/>
        </w:rPr>
        <w:fldChar w:fldCharType="separate"/>
      </w:r>
      <w:r w:rsidR="009833DB" w:rsidRPr="005D5AB7">
        <w:rPr>
          <w:rFonts w:ascii="Garamond" w:hAnsi="Garamond" w:cstheme="majorHAnsi"/>
          <w:noProof/>
          <w:sz w:val="22"/>
          <w:szCs w:val="22"/>
        </w:rPr>
        <w:t>(Brennan et al., 2015)</w:t>
      </w:r>
      <w:r w:rsidR="009833DB" w:rsidRPr="005D5AB7">
        <w:rPr>
          <w:rFonts w:ascii="Garamond" w:hAnsi="Garamond" w:cstheme="majorHAnsi"/>
          <w:sz w:val="22"/>
          <w:szCs w:val="22"/>
        </w:rPr>
        <w:fldChar w:fldCharType="end"/>
      </w:r>
      <w:r w:rsidR="009833DB">
        <w:rPr>
          <w:rFonts w:ascii="Garamond" w:eastAsia="Times New Roman" w:hAnsi="Garamond" w:cs="Times New Roman"/>
          <w:kern w:val="0"/>
          <w:sz w:val="22"/>
          <w:szCs w:val="22"/>
          <w14:ligatures w14:val="none"/>
        </w:rPr>
        <w:t xml:space="preserve">. </w:t>
      </w:r>
      <w:r w:rsidR="009833DB" w:rsidRPr="006D1917">
        <w:rPr>
          <w:rFonts w:ascii="Garamond" w:eastAsia="Times New Roman" w:hAnsi="Garamond" w:cs="Times New Roman"/>
          <w:kern w:val="0"/>
          <w:sz w:val="22"/>
          <w:szCs w:val="22"/>
          <w14:ligatures w14:val="none"/>
        </w:rPr>
        <w:t>The result</w:t>
      </w:r>
      <w:r w:rsidR="00E212FE">
        <w:rPr>
          <w:rFonts w:ascii="Garamond" w:eastAsia="Times New Roman" w:hAnsi="Garamond" w:cs="Times New Roman"/>
          <w:kern w:val="0"/>
          <w:sz w:val="22"/>
          <w:szCs w:val="22"/>
          <w14:ligatures w14:val="none"/>
        </w:rPr>
        <w:t>ing</w:t>
      </w:r>
      <w:r w:rsidR="009833DB" w:rsidRPr="006D1917">
        <w:rPr>
          <w:rFonts w:ascii="Garamond" w:eastAsia="Times New Roman" w:hAnsi="Garamond" w:cs="Times New Roman"/>
          <w:kern w:val="0"/>
          <w:sz w:val="22"/>
          <w:szCs w:val="22"/>
          <w14:ligatures w14:val="none"/>
        </w:rPr>
        <w:t xml:space="preserve"> </w:t>
      </w:r>
      <w:r w:rsidR="009833DB">
        <w:rPr>
          <w:rFonts w:ascii="Garamond" w:eastAsia="Times New Roman" w:hAnsi="Garamond" w:cs="Times New Roman"/>
          <w:kern w:val="0"/>
          <w:sz w:val="22"/>
          <w:szCs w:val="22"/>
          <w14:ligatures w14:val="none"/>
        </w:rPr>
        <w:t xml:space="preserve">data represent a continuously integrated </w:t>
      </w:r>
      <w:r w:rsidR="009833DB" w:rsidRPr="006D1917">
        <w:rPr>
          <w:rFonts w:ascii="Garamond" w:eastAsia="Times New Roman" w:hAnsi="Garamond" w:cs="Times New Roman"/>
          <w:kern w:val="0"/>
          <w:sz w:val="22"/>
          <w:szCs w:val="22"/>
          <w14:ligatures w14:val="none"/>
        </w:rPr>
        <w:t xml:space="preserve"> measurement of Sr</w:t>
      </w:r>
      <w:r w:rsidR="009833DB">
        <w:rPr>
          <w:rFonts w:ascii="Garamond" w:eastAsia="Times New Roman" w:hAnsi="Garamond" w:cs="Times New Roman"/>
          <w:kern w:val="0"/>
          <w:sz w:val="22"/>
          <w:szCs w:val="22"/>
          <w:vertAlign w:val="superscript"/>
          <w14:ligatures w14:val="none"/>
        </w:rPr>
        <w:t>87</w:t>
      </w:r>
      <w:r w:rsidR="009833DB">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86</w:t>
      </w:r>
      <w:r w:rsidR="009833DB" w:rsidRPr="006D1917">
        <w:rPr>
          <w:rFonts w:ascii="Garamond" w:eastAsia="Times New Roman" w:hAnsi="Garamond" w:cs="Times New Roman"/>
          <w:kern w:val="0"/>
          <w:sz w:val="22"/>
          <w:szCs w:val="22"/>
          <w14:ligatures w14:val="none"/>
        </w:rPr>
        <w:t xml:space="preserve"> </w:t>
      </w:r>
      <w:r w:rsidR="009833DB">
        <w:rPr>
          <w:rFonts w:ascii="Garamond" w:eastAsia="Times New Roman" w:hAnsi="Garamond" w:cs="Times New Roman"/>
          <w:kern w:val="0"/>
          <w:sz w:val="22"/>
          <w:szCs w:val="22"/>
          <w14:ligatures w14:val="none"/>
        </w:rPr>
        <w:t xml:space="preserve">from early development until marine entry </w:t>
      </w:r>
      <w:r w:rsidR="009833DB">
        <w:rPr>
          <w:rFonts w:ascii="Garamond" w:eastAsia="Times New Roman" w:hAnsi="Garamond" w:cs="Times New Roman"/>
          <w:kern w:val="0"/>
          <w:sz w:val="22"/>
          <w:szCs w:val="22"/>
          <w14:ligatures w14:val="none"/>
        </w:rPr>
        <w:fldChar w:fldCharType="begin"/>
      </w:r>
      <w:r w:rsidR="00A26A50">
        <w:rPr>
          <w:rFonts w:ascii="Garamond" w:eastAsia="Times New Roman" w:hAnsi="Garamond" w:cs="Times New Roman"/>
          <w:kern w:val="0"/>
          <w:sz w:val="22"/>
          <w:szCs w:val="22"/>
          <w14:ligatures w14:val="none"/>
        </w:rPr>
        <w:instrText xml:space="preserve"> ADDIN ZOTERO_ITEM CSL_CITATION {"citationID":"drNJXJRw","properties":{"formattedCitation":"(Brennan et al., 2015; Campana, 1999; Capo et al., 1998)","plainCitation":"(Brennan et al., 2015; Campana, 1999; Capo et al., 1998)","noteIndex":0},"citationItems":[{"id":"h4h2qxOD/ChWvHkvk","uris":["http://zotero.org/users/8421274/items/IY3FLHLM"],"itemData":{"id":"dI01jIsp/qEdWN4pU","type":"article-journal","abstract":"Strontium isotopes simultaneously delineate fine-scale natal habitats and migrations of Pacific salmon harvested during a coastal commercial fishery., 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Advances","DOI":"10.1126/sciadv.1400124","ISSN":"2375-2548","issue":"4","journalAbbreviation":"Sci Adv","note":"PMID: 26601173\nPMCID: PMC4640640","page":"e1400124","source":"PubMed Central","title":"Strontium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otoliths","volume":"188","author":[{"family":"Campana","given":"Se"}],"issued":{"date-parts":[["1999"]]}}},{"id":1457,"uris":["http://zotero.org/users/8421274/items/TDIQBP7K"],"itemData":{"id":1457,"type":"article-journal","abstract":"The strontium (Sr) isotope method can be a powerful tool in studies of chemical weathering and soil genesis, cation provenance and mobility, and the chronostratigraphic correlation of marine sediments. It is a sensitive geochemical tracer, applicable to large-scale ecosystem studies as well as to centimeter-scaled examination of cation mobility within a soil profile. The 87Sr/86Sr ratios of natural materials reflect the sources of strontium available during their formation. Isotopically distinct inputs from precipitation, dryfall, soil parent material, and surface or groundwater allow determination of the relative proportions of those materials entering or leaving an ecosystem. The isotopic compositions of labile (soil exchange complex and soil solution) strontium and Sr in vegetation reflect the sources of cations available to plants. Strontium isotopes can be used to track the biogeochemical cycling of nutrient cations such as calcium. The extent of cation contributions from in situ weathering and external additions to soil from dust and rain can also be resolved with this method. In this paper, we review the geochemistry and isotopic systematics of strontium, and discuss the use of this method as a tracer of earth surface processes.","container-title":"Geoderma","DOI":"10.1016/S0016-7061(97)00102-X","ISSN":"0016-7061","issue":"1","journalAbbreviation":"Geoderma","language":"en","page":"197-225","source":"ScienceDirect","title":"Strontium isotopes as tracers of ecosystem processes: theory and methods","title-short":"Strontium isotopes as tracers of ecosystem processes","volume":"82","author":[{"family":"Capo","given":"Rosemary C."},{"family":"Stewart","given":"Brian W."},{"family":"Chadwick","given":"Oliver A."}],"issued":{"date-parts":[["1998",2,1]]}}}],"schema":"https://github.com/citation-style-language/schema/raw/master/csl-citation.json"} </w:instrText>
      </w:r>
      <w:r w:rsidR="009833DB">
        <w:rPr>
          <w:rFonts w:ascii="Garamond" w:eastAsia="Times New Roman" w:hAnsi="Garamond" w:cs="Times New Roman"/>
          <w:kern w:val="0"/>
          <w:sz w:val="22"/>
          <w:szCs w:val="22"/>
          <w14:ligatures w14:val="none"/>
        </w:rPr>
        <w:fldChar w:fldCharType="separate"/>
      </w:r>
      <w:r w:rsidR="009833DB">
        <w:rPr>
          <w:rFonts w:ascii="Garamond" w:eastAsia="Times New Roman" w:hAnsi="Garamond" w:cs="Times New Roman"/>
          <w:noProof/>
          <w:kern w:val="0"/>
          <w:sz w:val="22"/>
          <w:szCs w:val="22"/>
          <w14:ligatures w14:val="none"/>
        </w:rPr>
        <w:t>(Brennan et al., 2015; Campana, 1999; Capo et al., 1998)</w:t>
      </w:r>
      <w:r w:rsidR="009833DB">
        <w:rPr>
          <w:rFonts w:ascii="Garamond" w:eastAsia="Times New Roman" w:hAnsi="Garamond" w:cs="Times New Roman"/>
          <w:kern w:val="0"/>
          <w:sz w:val="22"/>
          <w:szCs w:val="22"/>
          <w14:ligatures w14:val="none"/>
        </w:rPr>
        <w:fldChar w:fldCharType="end"/>
      </w:r>
      <w:r w:rsidR="009833DB">
        <w:rPr>
          <w:rFonts w:ascii="Garamond" w:eastAsia="Times New Roman" w:hAnsi="Garamond" w:cs="Times New Roman"/>
          <w:kern w:val="0"/>
          <w:sz w:val="22"/>
          <w:szCs w:val="22"/>
          <w14:ligatures w14:val="none"/>
        </w:rPr>
        <w:t xml:space="preserve">. </w:t>
      </w:r>
      <w:r w:rsidR="009833DB" w:rsidRPr="006D1917">
        <w:rPr>
          <w:rFonts w:ascii="Garamond" w:eastAsia="Times New Roman" w:hAnsi="Garamond" w:cs="Times New Roman"/>
          <w:kern w:val="0"/>
          <w:sz w:val="22"/>
          <w:szCs w:val="22"/>
          <w14:ligatures w14:val="none"/>
        </w:rPr>
        <w:t xml:space="preserve">From these data, the </w:t>
      </w:r>
      <w:r w:rsidR="00E212FE">
        <w:rPr>
          <w:rFonts w:ascii="Garamond" w:eastAsia="Times New Roman" w:hAnsi="Garamond" w:cs="Times New Roman"/>
          <w:kern w:val="0"/>
          <w:sz w:val="22"/>
          <w:szCs w:val="22"/>
          <w14:ligatures w14:val="none"/>
        </w:rPr>
        <w:t xml:space="preserve">Sr87/86 value associated with the </w:t>
      </w:r>
      <w:r w:rsidR="009833DB" w:rsidRPr="006D1917">
        <w:rPr>
          <w:rFonts w:ascii="Garamond" w:eastAsia="Times New Roman" w:hAnsi="Garamond" w:cs="Times New Roman"/>
          <w:kern w:val="0"/>
          <w:sz w:val="22"/>
          <w:szCs w:val="22"/>
          <w14:ligatures w14:val="none"/>
        </w:rPr>
        <w:t>natal freshwater rearing period was extracted by examining</w:t>
      </w:r>
      <w:r w:rsidR="009833DB">
        <w:rPr>
          <w:rFonts w:ascii="Garamond" w:eastAsia="Times New Roman" w:hAnsi="Garamond" w:cs="Times New Roman"/>
          <w:kern w:val="0"/>
          <w:sz w:val="22"/>
          <w:szCs w:val="22"/>
          <w14:ligatures w14:val="none"/>
        </w:rPr>
        <w:t xml:space="preserve"> patterns of </w:t>
      </w:r>
      <w:r w:rsidR="009833DB" w:rsidRPr="006D1917">
        <w:rPr>
          <w:rFonts w:ascii="Garamond" w:eastAsia="Times New Roman" w:hAnsi="Garamond" w:cs="Times New Roman"/>
          <w:kern w:val="0"/>
          <w:sz w:val="22"/>
          <w:szCs w:val="22"/>
          <w14:ligatures w14:val="none"/>
        </w:rPr>
        <w:t>change in Sr</w:t>
      </w:r>
      <w:r w:rsidR="009833DB">
        <w:rPr>
          <w:rFonts w:ascii="Garamond" w:eastAsia="Times New Roman" w:hAnsi="Garamond" w:cs="Times New Roman"/>
          <w:kern w:val="0"/>
          <w:sz w:val="22"/>
          <w:szCs w:val="22"/>
          <w:vertAlign w:val="superscript"/>
          <w14:ligatures w14:val="none"/>
        </w:rPr>
        <w:t>87</w:t>
      </w:r>
      <w:r w:rsidR="009833DB">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86</w:t>
      </w:r>
      <w:r w:rsidR="009833DB" w:rsidRPr="006D1917">
        <w:rPr>
          <w:rFonts w:ascii="Garamond" w:eastAsia="Times New Roman" w:hAnsi="Garamond" w:cs="Times New Roman"/>
          <w:kern w:val="0"/>
          <w:sz w:val="22"/>
          <w:szCs w:val="22"/>
          <w14:ligatures w14:val="none"/>
        </w:rPr>
        <w:t xml:space="preserve"> and Sr</w:t>
      </w:r>
      <w:r w:rsidR="009833DB">
        <w:rPr>
          <w:rFonts w:ascii="Garamond" w:eastAsia="Times New Roman" w:hAnsi="Garamond" w:cs="Times New Roman"/>
          <w:kern w:val="0"/>
          <w:sz w:val="22"/>
          <w:szCs w:val="22"/>
          <w:vertAlign w:val="superscript"/>
          <w14:ligatures w14:val="none"/>
        </w:rPr>
        <w:t>88</w:t>
      </w:r>
      <w:r w:rsidR="009833DB" w:rsidRPr="006D1917">
        <w:rPr>
          <w:rFonts w:ascii="Garamond" w:eastAsia="Times New Roman" w:hAnsi="Garamond" w:cs="Times New Roman"/>
          <w:kern w:val="0"/>
          <w:sz w:val="22"/>
          <w:szCs w:val="22"/>
          <w14:ligatures w14:val="none"/>
        </w:rPr>
        <w:t xml:space="preserve"> </w:t>
      </w:r>
      <w:r w:rsidR="009833DB">
        <w:rPr>
          <w:rFonts w:ascii="Garamond" w:eastAsia="Times New Roman" w:hAnsi="Garamond" w:cs="Times New Roman"/>
          <w:kern w:val="0"/>
          <w:sz w:val="22"/>
          <w:szCs w:val="22"/>
          <w14:ligatures w14:val="none"/>
        </w:rPr>
        <w:t>between the core and freshwater region</w:t>
      </w:r>
      <w:r w:rsidR="00E212FE">
        <w:rPr>
          <w:rFonts w:ascii="Garamond" w:eastAsia="Times New Roman" w:hAnsi="Garamond" w:cs="Times New Roman"/>
          <w:kern w:val="0"/>
          <w:sz w:val="22"/>
          <w:szCs w:val="22"/>
          <w14:ligatures w14:val="none"/>
        </w:rPr>
        <w:t xml:space="preserve">, </w:t>
      </w:r>
      <w:r w:rsidR="009833DB" w:rsidRPr="006D1917">
        <w:rPr>
          <w:rFonts w:ascii="Garamond" w:eastAsia="Times New Roman" w:hAnsi="Garamond" w:cs="Times New Roman"/>
          <w:kern w:val="0"/>
          <w:sz w:val="22"/>
          <w:szCs w:val="22"/>
          <w14:ligatures w14:val="none"/>
        </w:rPr>
        <w:t>morphological features of the otolith visible among the ablation path</w:t>
      </w:r>
      <w:r w:rsidR="00E212FE">
        <w:rPr>
          <w:rFonts w:ascii="Garamond" w:eastAsia="Times New Roman" w:hAnsi="Garamond" w:cs="Times New Roman"/>
          <w:kern w:val="0"/>
          <w:sz w:val="22"/>
          <w:szCs w:val="22"/>
          <w14:ligatures w14:val="none"/>
        </w:rPr>
        <w:t xml:space="preserve">, and known distances from the core to onset of the freshwater signal </w:t>
      </w:r>
      <w:r w:rsidR="00C95028">
        <w:rPr>
          <w:rFonts w:ascii="Garamond" w:eastAsia="Times New Roman" w:hAnsi="Garamond" w:cs="Times New Roman"/>
          <w:kern w:val="0"/>
          <w:sz w:val="22"/>
          <w:szCs w:val="22"/>
          <w14:ligatures w14:val="none"/>
        </w:rPr>
        <w:fldChar w:fldCharType="begin"/>
      </w:r>
      <w:r w:rsidR="00C95028">
        <w:rPr>
          <w:rFonts w:ascii="Garamond" w:eastAsia="Times New Roman" w:hAnsi="Garamond" w:cs="Times New Roman"/>
          <w:kern w:val="0"/>
          <w:sz w:val="22"/>
          <w:szCs w:val="22"/>
          <w14:ligatures w14:val="none"/>
        </w:rPr>
        <w:instrText xml:space="preserve"> ADDIN ZOTERO_ITEM CSL_CITATION {"citationID":"9Eo1mxW7","properties":{"formattedCitation":"(Brennan, Schindler, et al., 2019; Chittaro et al., 2023)","plainCitation":"(Brennan, Schindler, et al., 2019; Chittaro et al., 2023)","noteIndex":0},"citationItems":[{"id":3844,"uris":["http://zotero.org/users/8421274/items/RXD5IA9D"],"itemData":{"id":3844,"type":"article-journal","abstract":"Watersheds are complex mosaics of habitats whose conditions vary across space and time as landscape features filter overriding climate forcing, yet the extent to which the reliability of ecosystem services depends on these dynamics remains unknown. We quantified how shifting habitat mosaics are expressed across a range of spatial scales within a large, free-flowing river, and how they stabilize the production of Pacific salmon that support valuable fisheries. The strontium isotope records of ear stones (otoliths) show that the relative productivity of locations across the river network, as both natal- and juvenile-rearing habitat, varies widely among years and that this variability is expressed across a broad range of spatial scales, ultimately stabilizing the interannual production of fish at the scale of the entire basin.","container-title":"Science","DOI":"10.1126/science.aav4313","issue":"6442","note":"publisher: American Association for the Advancement of Science","page":"783-786","source":"science.org (Atypon)","title":"Shifting habitat mosaics and fish production across river basins","volume":"364","author":[{"family":"Brennan","given":"Sean R."},{"family":"Schindler","given":"Daniel E."},{"family":"Cline","given":"Timothy J."},{"family":"Walsworth","given":"Timothy E."},{"family":"Buck","given":"Greg"},{"family":"Fernandez","given":"Diego P."}],"issued":{"date-parts":[["2019"]]}}},{"id":4257,"uris":["http://zotero.org/users/8421274/items/TAJ7RSQZ"],"itemData":{"id":4257,"type":"article-journal","abstract":"Effective species management often requires understanding patterns of movement and habitat use. A common approach in identifying where individuals reside relies upon chemical tracers from the environment that are incorporated into an individual's tissues. For fish, isotopes in their otoliths, specifically the portion of their otolith formed during their larval stage, have been used to identify the natal origin. Complicating this work, however, is the fact that during this life stage, there is a shift in the source of isotopes deposited onto the growing otolith from maternally to environmentally derived. The objective of this study was to identify the portion of the otolith representing this transition to environmentally derived isotopes so as to accurately investigate questions of natal origin for a threatened population of fall Chinook salmon (Oncorhynchus tshawytscha). We exposed developing larvae to four treatments that differed in terms of their water strontium isotope ratio (87Sr/86Sr) and used change-point analysis of otolith 87Sr/86Sr and strontium to calcium ratio (Sr/Ca) to identify the otolith radius corresponding to the transition to environmentally derived isotopes. Our results indicated this transition occurred, on average, at 132 μm (87Sr/86Sr; ±50 μm standard deviation) and 127 μm (Sr/Ca; ±29 μm) from the otolith core, which corresponded to the developmental time between hatching and exogenous feeding. A substantial proportion of our otoliths (i.e., 61%) did not show convergence between otolith and water 87Sr/86Sr by the end of the 113-day experiment, which was likely due to the dietary contribution of marine-based feed. Therefore, we were unable to recommend an otolith radius to target for the purposes of reconstructing natal origin apart from being beyond approximately 130 μm.","container-title":"Ecology of Freshwater Fish","DOI":"10.1111/eff.12673","ISSN":"1600-0633","issue":"1","language":"en","license":"© 2022 John Wiley &amp; Sons Ltd. This article has been contributed to by U.S. Government employees and their work is in the public domain in the USA.","note":"_eprint: https://onlinelibrary.wiley.com/doi/pdf/10.1111/eff.12673","page":"107-119","source":"Wiley Online Library","title":"The incorporation of environmentally derived 87Sr/86Sr and Sr/Ca in early otolith formation of Chinook salmon","volume":"32","author":[{"family":"Chittaro","given":"Paul"},{"family":"Hegg","given":"Jens"},{"family":"Fuhrman","given":"Abby"},{"family":"Robichaux","given":"Devin"},{"family":"Doung","given":"Rothboury"},{"family":"Beckman","given":"Brian"},{"family":"Fisher","given":"Chris"},{"family":"Vervoort","given":"Jeff"},{"family":"Kennedy","given":"Brian"}],"issued":{"date-parts":[["2023"]]}}}],"schema":"https://github.com/citation-style-language/schema/raw/master/csl-citation.json"} </w:instrText>
      </w:r>
      <w:r w:rsidR="00C95028">
        <w:rPr>
          <w:rFonts w:ascii="Garamond" w:eastAsia="Times New Roman" w:hAnsi="Garamond" w:cs="Times New Roman"/>
          <w:kern w:val="0"/>
          <w:sz w:val="22"/>
          <w:szCs w:val="22"/>
          <w14:ligatures w14:val="none"/>
        </w:rPr>
        <w:fldChar w:fldCharType="separate"/>
      </w:r>
      <w:r w:rsidR="00C95028">
        <w:rPr>
          <w:rFonts w:ascii="Garamond" w:eastAsia="Times New Roman" w:hAnsi="Garamond" w:cs="Times New Roman"/>
          <w:noProof/>
          <w:kern w:val="0"/>
          <w:sz w:val="22"/>
          <w:szCs w:val="22"/>
          <w14:ligatures w14:val="none"/>
        </w:rPr>
        <w:t>(Brennan, Schindler, et al., 2019; Chittaro et al., 2023)</w:t>
      </w:r>
      <w:r w:rsidR="00C95028">
        <w:rPr>
          <w:rFonts w:ascii="Garamond" w:eastAsia="Times New Roman" w:hAnsi="Garamond" w:cs="Times New Roman"/>
          <w:kern w:val="0"/>
          <w:sz w:val="22"/>
          <w:szCs w:val="22"/>
          <w14:ligatures w14:val="none"/>
        </w:rPr>
        <w:fldChar w:fldCharType="end"/>
      </w:r>
      <w:ins w:id="6" w:author="Benjamin J. Makhlouf" w:date="2025-07-26T13:45:00Z" w16du:dateUtc="2025-07-26T20:45:00Z">
        <w:r w:rsidR="00C95028">
          <w:rPr>
            <w:rFonts w:ascii="Garamond" w:eastAsia="Times New Roman" w:hAnsi="Garamond" w:cs="Times New Roman"/>
            <w:kern w:val="0"/>
            <w:sz w:val="22"/>
            <w:szCs w:val="22"/>
            <w14:ligatures w14:val="none"/>
          </w:rPr>
          <w:t xml:space="preserve">. </w:t>
        </w:r>
      </w:ins>
    </w:p>
    <w:p w14:paraId="619A1F68" w14:textId="77777777" w:rsidR="009833DB" w:rsidRDefault="009833DB" w:rsidP="009833DB">
      <w:pPr>
        <w:spacing w:before="100" w:beforeAutospacing="1" w:after="100" w:afterAutospacing="1" w:line="480" w:lineRule="auto"/>
        <w:rPr>
          <w:rFonts w:ascii="Garamond" w:eastAsia="Times New Roman" w:hAnsi="Garamond" w:cs="Times New Roman"/>
          <w:kern w:val="0"/>
          <w:sz w:val="22"/>
          <w:szCs w:val="22"/>
          <w14:ligatures w14:val="none"/>
        </w:rPr>
      </w:pPr>
      <w:proofErr w:type="spellStart"/>
      <w:r w:rsidRPr="006D1917">
        <w:rPr>
          <w:rFonts w:ascii="Garamond" w:eastAsia="Times New Roman" w:hAnsi="Garamond" w:cs="Times New Roman"/>
          <w:b/>
          <w:bCs/>
          <w:kern w:val="0"/>
          <w:sz w:val="22"/>
          <w:szCs w:val="22"/>
          <w14:ligatures w14:val="none"/>
        </w:rPr>
        <w:t>Isoscape</w:t>
      </w:r>
      <w:proofErr w:type="spellEnd"/>
      <w:r w:rsidRPr="006D1917">
        <w:rPr>
          <w:rFonts w:ascii="Garamond" w:eastAsia="Times New Roman" w:hAnsi="Garamond" w:cs="Times New Roman"/>
          <w:b/>
          <w:bCs/>
          <w:kern w:val="0"/>
          <w:sz w:val="22"/>
          <w:szCs w:val="22"/>
          <w14:ligatures w14:val="none"/>
        </w:rPr>
        <w:t xml:space="preserve"> Development</w:t>
      </w:r>
    </w:p>
    <w:p w14:paraId="70B3C26D" w14:textId="6F5463D0" w:rsidR="009833DB" w:rsidRPr="009C079F" w:rsidRDefault="00AB074C" w:rsidP="009C079F">
      <w:pPr>
        <w:spacing w:before="100" w:beforeAutospacing="1" w:after="100" w:afterAutospacing="1" w:line="480" w:lineRule="auto"/>
        <w:ind w:firstLine="720"/>
        <w:rPr>
          <w:rFonts w:ascii="Garamond" w:hAnsi="Garamond" w:cs="Times New Roman"/>
          <w:sz w:val="22"/>
          <w:szCs w:val="22"/>
        </w:rPr>
      </w:pPr>
      <w:r>
        <w:rPr>
          <w:rFonts w:ascii="Garamond" w:eastAsia="Times New Roman" w:hAnsi="Garamond" w:cs="Times New Roman"/>
          <w:kern w:val="0"/>
          <w:sz w:val="22"/>
          <w:szCs w:val="22"/>
          <w14:ligatures w14:val="none"/>
        </w:rPr>
        <w:lastRenderedPageBreak/>
        <w:t>We used an</w:t>
      </w:r>
      <w:r w:rsidR="00E212FE">
        <w:rPr>
          <w:rFonts w:ascii="Garamond" w:eastAsia="Times New Roman" w:hAnsi="Garamond" w:cs="Times New Roman"/>
          <w:kern w:val="0"/>
          <w:sz w:val="22"/>
          <w:szCs w:val="22"/>
          <w14:ligatures w14:val="none"/>
        </w:rPr>
        <w:t xml:space="preserve"> </w:t>
      </w:r>
      <w:proofErr w:type="spellStart"/>
      <w:r w:rsidR="00E212FE">
        <w:rPr>
          <w:rFonts w:ascii="Garamond" w:eastAsia="Times New Roman" w:hAnsi="Garamond" w:cs="Times New Roman"/>
          <w:kern w:val="0"/>
          <w:sz w:val="22"/>
          <w:szCs w:val="22"/>
          <w14:ligatures w14:val="none"/>
        </w:rPr>
        <w:t>isoscape</w:t>
      </w:r>
      <w:proofErr w:type="spellEnd"/>
      <w:r w:rsidR="00E212FE">
        <w:rPr>
          <w:rFonts w:ascii="Garamond" w:eastAsia="Times New Roman" w:hAnsi="Garamond" w:cs="Times New Roman"/>
          <w:kern w:val="0"/>
          <w:sz w:val="22"/>
          <w:szCs w:val="22"/>
          <w14:ligatures w14:val="none"/>
        </w:rPr>
        <w:t xml:space="preserve"> of the Kuskokwim river </w:t>
      </w:r>
      <w:r>
        <w:rPr>
          <w:rFonts w:ascii="Garamond" w:eastAsia="Times New Roman" w:hAnsi="Garamond" w:cs="Times New Roman"/>
          <w:kern w:val="0"/>
          <w:sz w:val="22"/>
          <w:szCs w:val="22"/>
          <w14:ligatures w14:val="none"/>
        </w:rPr>
        <w:t xml:space="preserve">basin </w:t>
      </w:r>
      <w:r w:rsidR="009C079F">
        <w:rPr>
          <w:rFonts w:ascii="Garamond" w:eastAsia="Times New Roman" w:hAnsi="Garamond" w:cs="Times New Roman"/>
          <w:kern w:val="0"/>
          <w:sz w:val="22"/>
          <w:szCs w:val="22"/>
          <w14:ligatures w14:val="none"/>
        </w:rPr>
        <w:t>constructed</w:t>
      </w:r>
      <w:r>
        <w:rPr>
          <w:rFonts w:ascii="Garamond" w:eastAsia="Times New Roman" w:hAnsi="Garamond" w:cs="Times New Roman"/>
          <w:kern w:val="0"/>
          <w:sz w:val="22"/>
          <w:szCs w:val="22"/>
          <w14:ligatures w14:val="none"/>
        </w:rPr>
        <w:t xml:space="preserve"> </w:t>
      </w:r>
      <w:r w:rsidR="009C079F">
        <w:rPr>
          <w:rFonts w:ascii="Garamond" w:eastAsia="Times New Roman" w:hAnsi="Garamond" w:cs="Times New Roman"/>
          <w:kern w:val="0"/>
          <w:sz w:val="22"/>
          <w:szCs w:val="22"/>
          <w14:ligatures w14:val="none"/>
        </w:rPr>
        <w:t xml:space="preserve">by </w:t>
      </w:r>
      <w:r>
        <w:rPr>
          <w:rFonts w:ascii="Garamond" w:eastAsia="Times New Roman" w:hAnsi="Garamond" w:cs="Times New Roman"/>
          <w:kern w:val="0"/>
          <w:sz w:val="22"/>
          <w:szCs w:val="22"/>
          <w14:ligatures w14:val="none"/>
        </w:rPr>
        <w:fldChar w:fldCharType="begin"/>
      </w:r>
      <w:r>
        <w:rPr>
          <w:rFonts w:ascii="Garamond" w:eastAsia="Times New Roman" w:hAnsi="Garamond" w:cs="Times New Roman"/>
          <w:kern w:val="0"/>
          <w:sz w:val="22"/>
          <w:szCs w:val="22"/>
          <w14:ligatures w14:val="none"/>
        </w:rPr>
        <w:instrText xml:space="preserve"> ADDIN ZOTERO_ITEM CSL_CITATION {"citationID":"W38QgOZ8","properties":{"formattedCitation":"(French et al., 2020)","plainCitation":"(French et al., 2020)","noteIndex":0},"citationItems":[{"id":1684,"uris":["http://zotero.org/users/8421274/items/M654PKRJ"],"itemData":{"id":1684,"type":"article-journal","abstract":"Riverine chemistry reflects both watershed conditions and instream processing, both of which vary across river networks, yet little is known about the scales at which watershed attributes regulate biogeochemical constituents. We used spatial stream network (SSN) models to quantify both watershed and instream effects on streamwater constituents in the Kuskokwim River (western Alaska), the largest free-flowing river in the United States. We assessed chemical constituents spanning from labile nutrients (nitrate [NO3−] and orthophosphate [PO43−]) to biologically and chemically conservative tracers (calcium [Ca2+], strontium [Sr2+], and Sr isotopes [87Sr/86Sr]). We also examined the behavior of dissolved organic carbon (DOC) relative to these constituents to understand whether bulk DOC behaved conservatively in a large boreal river network, where future changes in DOC and nutrient loading are expected under a shifting climate. We derived watershed spatial covariates comprising land cover, geology, and geomorphic characteristics at 14 different spatial extents based on stream order and relative to position in the river network to understand the effect of distant and proximal watershed attributes on streamwater constituents. For all constituents but 87Sr/86Sr, watershed attributes in low-order headwater catchments yielded the best predictive ability for streamwater constituent concentrations across the entire network. Spatial patterning for conservative tracers and bulk DOC showed strong spatial autocorrelation, whereas PO43− and NO3− exhibited spatial patchiness indicative of instream processing. Our work shows that headwater streams are disproportionately important contributors to network-wide biogeochemical constituents supporting aquatic food webs and that conservation and management of aquatic systems should include these small and often remote watershed areas.","container-title":"Journal of Geophysical Research: Biogeosciences","DOI":"10.1029/2020JG005851","ISSN":"2169-8961","issue":"12","language":"en","note":"_eprint: https://agupubs.onlinelibrary.wiley.com/doi/pdf/10.1029/2020JG005851","page":"e2020JG005851","source":"Wiley Online Library","title":"Headwater Catchments Govern Biogeochemistry in America's Largest Free-Flowing River Network","volume":"125","author":[{"family":"French","given":"David W."},{"family":"Schindler","given":"Daniel E."},{"family":"Brennan","given":"Sean R."},{"family":"Whited","given":"Diane"}],"issued":{"date-parts":[["2020"]]}}}],"schema":"https://github.com/citation-style-language/schema/raw/master/csl-citation.json"} </w:instrText>
      </w:r>
      <w:r>
        <w:rPr>
          <w:rFonts w:ascii="Garamond" w:eastAsia="Times New Roman" w:hAnsi="Garamond" w:cs="Times New Roman"/>
          <w:kern w:val="0"/>
          <w:sz w:val="22"/>
          <w:szCs w:val="22"/>
          <w14:ligatures w14:val="none"/>
        </w:rPr>
        <w:fldChar w:fldCharType="separate"/>
      </w:r>
      <w:r>
        <w:rPr>
          <w:rFonts w:ascii="Garamond" w:eastAsia="Times New Roman" w:hAnsi="Garamond" w:cs="Times New Roman"/>
          <w:noProof/>
          <w:kern w:val="0"/>
          <w:sz w:val="22"/>
          <w:szCs w:val="22"/>
          <w14:ligatures w14:val="none"/>
        </w:rPr>
        <w:t>(French et al., 2020)</w:t>
      </w:r>
      <w:r>
        <w:rPr>
          <w:rFonts w:ascii="Garamond" w:eastAsia="Times New Roman" w:hAnsi="Garamond" w:cs="Times New Roman"/>
          <w:kern w:val="0"/>
          <w:sz w:val="22"/>
          <w:szCs w:val="22"/>
          <w14:ligatures w14:val="none"/>
        </w:rPr>
        <w:fldChar w:fldCharType="end"/>
      </w:r>
      <w:r>
        <w:rPr>
          <w:rFonts w:ascii="Garamond" w:eastAsia="Times New Roman" w:hAnsi="Garamond" w:cs="Times New Roman"/>
          <w:kern w:val="0"/>
          <w:sz w:val="22"/>
          <w:szCs w:val="22"/>
          <w14:ligatures w14:val="none"/>
        </w:rPr>
        <w:t xml:space="preserve">, in which </w:t>
      </w:r>
      <w:r w:rsidR="009833DB" w:rsidRPr="006D1917">
        <w:rPr>
          <w:rFonts w:ascii="Garamond" w:eastAsia="Times New Roman" w:hAnsi="Garamond" w:cs="Times New Roman"/>
          <w:kern w:val="0"/>
          <w:sz w:val="22"/>
          <w:szCs w:val="22"/>
          <w14:ligatures w14:val="none"/>
        </w:rPr>
        <w:t>spatial variation in Sr</w:t>
      </w:r>
      <w:r w:rsidR="009833DB">
        <w:rPr>
          <w:rFonts w:ascii="Garamond" w:eastAsia="Times New Roman" w:hAnsi="Garamond" w:cs="Times New Roman"/>
          <w:kern w:val="0"/>
          <w:sz w:val="22"/>
          <w:szCs w:val="22"/>
          <w:vertAlign w:val="superscript"/>
          <w14:ligatures w14:val="none"/>
        </w:rPr>
        <w:t>87</w:t>
      </w:r>
      <w:r w:rsidR="009833DB">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86</w:t>
      </w:r>
      <w:r w:rsidR="009833DB" w:rsidRPr="006D1917">
        <w:rPr>
          <w:rFonts w:ascii="Garamond" w:eastAsia="Times New Roman" w:hAnsi="Garamond" w:cs="Times New Roman"/>
          <w:kern w:val="0"/>
          <w:sz w:val="22"/>
          <w:szCs w:val="22"/>
          <w14:ligatures w14:val="none"/>
        </w:rPr>
        <w:t xml:space="preserve"> ratios across the river basin</w:t>
      </w:r>
      <w:r>
        <w:rPr>
          <w:rFonts w:ascii="Garamond" w:eastAsia="Times New Roman" w:hAnsi="Garamond" w:cs="Times New Roman"/>
          <w:kern w:val="0"/>
          <w:sz w:val="22"/>
          <w:szCs w:val="22"/>
          <w14:ligatures w14:val="none"/>
        </w:rPr>
        <w:t xml:space="preserve"> </w:t>
      </w:r>
      <w:r w:rsidR="009C079F">
        <w:rPr>
          <w:rFonts w:ascii="Garamond" w:eastAsia="Times New Roman" w:hAnsi="Garamond" w:cs="Times New Roman"/>
          <w:kern w:val="0"/>
          <w:sz w:val="22"/>
          <w:szCs w:val="22"/>
          <w14:ligatures w14:val="none"/>
        </w:rPr>
        <w:t xml:space="preserve">were </w:t>
      </w:r>
      <w:r>
        <w:rPr>
          <w:rFonts w:ascii="Garamond" w:eastAsia="Times New Roman" w:hAnsi="Garamond" w:cs="Times New Roman"/>
          <w:kern w:val="0"/>
          <w:sz w:val="22"/>
          <w:szCs w:val="22"/>
          <w14:ligatures w14:val="none"/>
        </w:rPr>
        <w:t>modeled using spatial stream network modeling (SSNM)</w:t>
      </w:r>
      <w:r w:rsidR="009C079F">
        <w:rPr>
          <w:rFonts w:ascii="Garamond" w:eastAsia="Times New Roman" w:hAnsi="Garamond" w:cs="Times New Roman"/>
          <w:kern w:val="0"/>
          <w:sz w:val="22"/>
          <w:szCs w:val="22"/>
          <w14:ligatures w14:val="none"/>
        </w:rPr>
        <w:t xml:space="preserve"> and derived from water samples collected throughout the river basin </w:t>
      </w:r>
      <w:r w:rsidR="00693A39" w:rsidRPr="00693A39">
        <w:rPr>
          <w:rFonts w:ascii="Garamond" w:eastAsia="Times New Roman" w:hAnsi="Garamond" w:cs="Times New Roman"/>
          <w:kern w:val="0"/>
          <w:sz w:val="22"/>
          <w:szCs w:val="22"/>
          <w14:ligatures w14:val="none"/>
          <w:rPrChange w:id="7" w:author="Benjamin J. Makhlouf" w:date="2025-07-26T13:00:00Z" w16du:dateUtc="2025-07-26T20:00:00Z">
            <w:rPr>
              <w:rFonts w:ascii="Garamond" w:eastAsia="Times New Roman" w:hAnsi="Garamond" w:cs="Times New Roman"/>
              <w:kern w:val="0"/>
              <w:sz w:val="22"/>
              <w:szCs w:val="22"/>
              <w:highlight w:val="yellow"/>
              <w14:ligatures w14:val="none"/>
            </w:rPr>
          </w:rPrChange>
        </w:rPr>
        <w:fldChar w:fldCharType="begin"/>
      </w:r>
      <w:r w:rsidR="00693A39" w:rsidRPr="00693A39">
        <w:rPr>
          <w:rFonts w:ascii="Garamond" w:eastAsia="Times New Roman" w:hAnsi="Garamond" w:cs="Times New Roman"/>
          <w:kern w:val="0"/>
          <w:sz w:val="22"/>
          <w:szCs w:val="22"/>
          <w14:ligatures w14:val="none"/>
          <w:rPrChange w:id="8" w:author="Benjamin J. Makhlouf" w:date="2025-07-26T13:00:00Z" w16du:dateUtc="2025-07-26T20:00:00Z">
            <w:rPr>
              <w:rFonts w:ascii="Garamond" w:eastAsia="Times New Roman" w:hAnsi="Garamond" w:cs="Times New Roman"/>
              <w:kern w:val="0"/>
              <w:sz w:val="22"/>
              <w:szCs w:val="22"/>
              <w:highlight w:val="yellow"/>
              <w14:ligatures w14:val="none"/>
            </w:rPr>
          </w:rPrChange>
        </w:rPr>
        <w:instrText xml:space="preserve"> ADDIN ZOTERO_ITEM CSL_CITATION {"citationID":"5Pp7WuA9","properties":{"formattedCitation":"(French et al., 2020)","plainCitation":"(French et al., 2020)","noteIndex":0},"citationItems":[{"id":1684,"uris":["http://zotero.org/users/8421274/items/M654PKRJ"],"itemData":{"id":1684,"type":"article-journal","abstract":"Riverine chemistry reflects both watershed conditions and instream processing, both of which vary across river networks, yet little is known about the scales at which watershed attributes regulate biogeochemical constituents. We used spatial stream network (SSN) models to quantify both watershed and instream effects on streamwater constituents in the Kuskokwim River (western Alaska), the largest free-flowing river in the United States. We assessed chemical constituents spanning from labile nutrients (nitrate [NO3−] and orthophosphate [PO43−]) to biologically and chemically conservative tracers (calcium [Ca2+], strontium [Sr2+], and Sr isotopes [87Sr/86Sr]). We also examined the behavior of dissolved organic carbon (DOC) relative to these constituents to understand whether bulk DOC behaved conservatively in a large boreal river network, where future changes in DOC and nutrient loading are expected under a shifting climate. We derived watershed spatial covariates comprising land cover, geology, and geomorphic characteristics at 14 different spatial extents based on stream order and relative to position in the river network to understand the effect of distant and proximal watershed attributes on streamwater constituents. For all constituents but 87Sr/86Sr, watershed attributes in low-order headwater catchments yielded the best predictive ability for streamwater constituent concentrations across the entire network. Spatial patterning for conservative tracers and bulk DOC showed strong spatial autocorrelation, whereas PO43− and NO3− exhibited spatial patchiness indicative of instream processing. Our work shows that headwater streams are disproportionately important contributors to network-wide biogeochemical constituents supporting aquatic food webs and that conservation and management of aquatic systems should include these small and often remote watershed areas.","container-title":"Journal of Geophysical Research: Biogeosciences","DOI":"10.1029/2020JG005851","ISSN":"2169-8961","issue":"12","language":"en","note":"_eprint: https://agupubs.onlinelibrary.wiley.com/doi/pdf/10.1029/2020JG005851","page":"e2020JG005851","source":"Wiley Online Library","title":"Headwater Catchments Govern Biogeochemistry in America's Largest Free-Flowing River Network","volume":"125","author":[{"family":"French","given":"David W."},{"family":"Schindler","given":"Daniel E."},{"family":"Brennan","given":"Sean R."},{"family":"Whited","given":"Diane"}],"issued":{"date-parts":[["2020"]]}}}],"schema":"https://github.com/citation-style-language/schema/raw/master/csl-citation.json"} </w:instrText>
      </w:r>
      <w:r w:rsidR="00693A39" w:rsidRPr="00693A39">
        <w:rPr>
          <w:rFonts w:ascii="Garamond" w:eastAsia="Times New Roman" w:hAnsi="Garamond" w:cs="Times New Roman"/>
          <w:kern w:val="0"/>
          <w:sz w:val="22"/>
          <w:szCs w:val="22"/>
          <w14:ligatures w14:val="none"/>
          <w:rPrChange w:id="9" w:author="Benjamin J. Makhlouf" w:date="2025-07-26T13:00:00Z" w16du:dateUtc="2025-07-26T20:00:00Z">
            <w:rPr>
              <w:rFonts w:ascii="Garamond" w:eastAsia="Times New Roman" w:hAnsi="Garamond" w:cs="Times New Roman"/>
              <w:kern w:val="0"/>
              <w:sz w:val="22"/>
              <w:szCs w:val="22"/>
              <w:highlight w:val="yellow"/>
              <w14:ligatures w14:val="none"/>
            </w:rPr>
          </w:rPrChange>
        </w:rPr>
        <w:fldChar w:fldCharType="separate"/>
      </w:r>
      <w:r w:rsidR="00693A39" w:rsidRPr="00693A39">
        <w:rPr>
          <w:rFonts w:ascii="Garamond" w:eastAsia="Times New Roman" w:hAnsi="Garamond" w:cs="Times New Roman"/>
          <w:noProof/>
          <w:kern w:val="0"/>
          <w:sz w:val="22"/>
          <w:szCs w:val="22"/>
          <w14:ligatures w14:val="none"/>
          <w:rPrChange w:id="10" w:author="Benjamin J. Makhlouf" w:date="2025-07-26T13:00:00Z" w16du:dateUtc="2025-07-26T20:00:00Z">
            <w:rPr>
              <w:rFonts w:ascii="Garamond" w:eastAsia="Times New Roman" w:hAnsi="Garamond" w:cs="Times New Roman"/>
              <w:noProof/>
              <w:kern w:val="0"/>
              <w:sz w:val="22"/>
              <w:szCs w:val="22"/>
              <w:highlight w:val="yellow"/>
              <w14:ligatures w14:val="none"/>
            </w:rPr>
          </w:rPrChange>
        </w:rPr>
        <w:t>(French et al., 2020</w:t>
      </w:r>
      <w:r w:rsidR="00693A39" w:rsidRPr="00693A39">
        <w:rPr>
          <w:rFonts w:ascii="Garamond" w:eastAsia="Times New Roman" w:hAnsi="Garamond" w:cs="Times New Roman"/>
          <w:noProof/>
          <w:kern w:val="0"/>
          <w:sz w:val="22"/>
          <w:szCs w:val="22"/>
          <w14:ligatures w14:val="none"/>
          <w:rPrChange w:id="11" w:author="Benjamin J. Makhlouf" w:date="2025-07-26T13:00:00Z" w16du:dateUtc="2025-07-26T20:00:00Z">
            <w:rPr>
              <w:rFonts w:ascii="Garamond" w:eastAsia="Times New Roman" w:hAnsi="Garamond" w:cs="Times New Roman"/>
              <w:noProof/>
              <w:kern w:val="0"/>
              <w:sz w:val="22"/>
              <w:szCs w:val="22"/>
              <w:highlight w:val="yellow"/>
              <w14:ligatures w14:val="none"/>
            </w:rPr>
          </w:rPrChange>
        </w:rPr>
        <w:t>, N = 120</w:t>
      </w:r>
      <w:r w:rsidR="00693A39" w:rsidRPr="00693A39">
        <w:rPr>
          <w:rFonts w:ascii="Garamond" w:eastAsia="Times New Roman" w:hAnsi="Garamond" w:cs="Times New Roman"/>
          <w:noProof/>
          <w:kern w:val="0"/>
          <w:sz w:val="22"/>
          <w:szCs w:val="22"/>
          <w14:ligatures w14:val="none"/>
          <w:rPrChange w:id="12" w:author="Benjamin J. Makhlouf" w:date="2025-07-26T13:00:00Z" w16du:dateUtc="2025-07-26T20:00:00Z">
            <w:rPr>
              <w:rFonts w:ascii="Garamond" w:eastAsia="Times New Roman" w:hAnsi="Garamond" w:cs="Times New Roman"/>
              <w:noProof/>
              <w:kern w:val="0"/>
              <w:sz w:val="22"/>
              <w:szCs w:val="22"/>
              <w:highlight w:val="yellow"/>
              <w14:ligatures w14:val="none"/>
            </w:rPr>
          </w:rPrChange>
        </w:rPr>
        <w:t>)</w:t>
      </w:r>
      <w:r w:rsidR="00693A39" w:rsidRPr="00693A39">
        <w:rPr>
          <w:rFonts w:ascii="Garamond" w:eastAsia="Times New Roman" w:hAnsi="Garamond" w:cs="Times New Roman"/>
          <w:kern w:val="0"/>
          <w:sz w:val="22"/>
          <w:szCs w:val="22"/>
          <w14:ligatures w14:val="none"/>
          <w:rPrChange w:id="13" w:author="Benjamin J. Makhlouf" w:date="2025-07-26T13:00:00Z" w16du:dateUtc="2025-07-26T20:00:00Z">
            <w:rPr>
              <w:rFonts w:ascii="Garamond" w:eastAsia="Times New Roman" w:hAnsi="Garamond" w:cs="Times New Roman"/>
              <w:kern w:val="0"/>
              <w:sz w:val="22"/>
              <w:szCs w:val="22"/>
              <w:highlight w:val="yellow"/>
              <w14:ligatures w14:val="none"/>
            </w:rPr>
          </w:rPrChange>
        </w:rPr>
        <w:fldChar w:fldCharType="end"/>
      </w:r>
      <w:r w:rsidR="009C079F">
        <w:rPr>
          <w:rFonts w:ascii="Garamond" w:eastAsia="Times New Roman" w:hAnsi="Garamond" w:cs="Times New Roman"/>
          <w:kern w:val="0"/>
          <w:sz w:val="22"/>
          <w:szCs w:val="22"/>
          <w14:ligatures w14:val="none"/>
        </w:rPr>
        <w:t xml:space="preserve">. </w:t>
      </w:r>
      <w:r w:rsidR="00E212FE">
        <w:rPr>
          <w:rFonts w:ascii="Garamond" w:eastAsia="Times New Roman" w:hAnsi="Garamond" w:cs="Times New Roman"/>
          <w:kern w:val="0"/>
          <w:sz w:val="22"/>
          <w:szCs w:val="22"/>
          <w14:ligatures w14:val="none"/>
        </w:rPr>
        <w:t xml:space="preserve">This approach considered </w:t>
      </w:r>
      <w:r w:rsidR="009833DB" w:rsidRPr="006D1917">
        <w:rPr>
          <w:rFonts w:ascii="Garamond" w:eastAsia="Times New Roman" w:hAnsi="Garamond" w:cs="Times New Roman"/>
          <w:kern w:val="0"/>
          <w:sz w:val="22"/>
          <w:szCs w:val="22"/>
          <w14:ligatures w14:val="none"/>
        </w:rPr>
        <w:t>several geologic and hydrological covariates as well as</w:t>
      </w:r>
      <w:r w:rsidR="009C079F">
        <w:rPr>
          <w:rFonts w:ascii="Garamond" w:eastAsia="Times New Roman" w:hAnsi="Garamond" w:cs="Times New Roman"/>
          <w:kern w:val="0"/>
          <w:sz w:val="22"/>
          <w:szCs w:val="22"/>
          <w14:ligatures w14:val="none"/>
        </w:rPr>
        <w:t xml:space="preserve"> the effect of both </w:t>
      </w:r>
      <w:r w:rsidR="009833DB" w:rsidRPr="006D1917">
        <w:rPr>
          <w:rFonts w:ascii="Garamond" w:eastAsia="Times New Roman" w:hAnsi="Garamond" w:cs="Times New Roman"/>
          <w:kern w:val="0"/>
          <w:sz w:val="22"/>
          <w:szCs w:val="22"/>
          <w14:ligatures w14:val="none"/>
        </w:rPr>
        <w:t>Euclidian distance and hydrological connectivity between sampling sites</w:t>
      </w:r>
      <w:r w:rsidR="009C079F">
        <w:rPr>
          <w:rFonts w:ascii="Garamond" w:eastAsia="Times New Roman" w:hAnsi="Garamond" w:cs="Times New Roman"/>
          <w:kern w:val="0"/>
          <w:sz w:val="22"/>
          <w:szCs w:val="22"/>
          <w14:ligatures w14:val="none"/>
        </w:rPr>
        <w:t xml:space="preserve">, providing a </w:t>
      </w:r>
      <w:r w:rsidR="009C079F" w:rsidRPr="00293B26">
        <w:rPr>
          <w:rFonts w:ascii="Garamond" w:hAnsi="Garamond" w:cs="Times New Roman"/>
          <w:sz w:val="22"/>
          <w:szCs w:val="22"/>
        </w:rPr>
        <w:t xml:space="preserve">spatially continuous estimate of </w:t>
      </w:r>
      <w:r w:rsidR="009C079F" w:rsidRPr="006D1917">
        <w:rPr>
          <w:rFonts w:ascii="Garamond" w:eastAsia="Times New Roman" w:hAnsi="Garamond" w:cs="Times New Roman"/>
          <w:kern w:val="0"/>
          <w:sz w:val="22"/>
          <w:szCs w:val="22"/>
          <w14:ligatures w14:val="none"/>
        </w:rPr>
        <w:t>Sr</w:t>
      </w:r>
      <w:r w:rsidR="009C079F">
        <w:rPr>
          <w:rFonts w:ascii="Garamond" w:eastAsia="Times New Roman" w:hAnsi="Garamond" w:cs="Times New Roman"/>
          <w:kern w:val="0"/>
          <w:sz w:val="22"/>
          <w:szCs w:val="22"/>
          <w:vertAlign w:val="superscript"/>
          <w14:ligatures w14:val="none"/>
        </w:rPr>
        <w:t>87</w:t>
      </w:r>
      <w:r w:rsidR="009C079F">
        <w:rPr>
          <w:rFonts w:ascii="Garamond" w:eastAsia="Times New Roman" w:hAnsi="Garamond" w:cs="Times New Roman"/>
          <w:kern w:val="0"/>
          <w:sz w:val="22"/>
          <w:szCs w:val="22"/>
          <w14:ligatures w14:val="none"/>
        </w:rPr>
        <w:t>/Sr</w:t>
      </w:r>
      <w:r w:rsidR="009C079F">
        <w:rPr>
          <w:rFonts w:ascii="Garamond" w:eastAsia="Times New Roman" w:hAnsi="Garamond" w:cs="Times New Roman"/>
          <w:kern w:val="0"/>
          <w:sz w:val="22"/>
          <w:szCs w:val="22"/>
          <w:vertAlign w:val="superscript"/>
          <w14:ligatures w14:val="none"/>
        </w:rPr>
        <w:t>86</w:t>
      </w:r>
      <w:r w:rsidR="009C079F" w:rsidRPr="00293B26">
        <w:rPr>
          <w:rFonts w:ascii="Garamond" w:hAnsi="Garamond" w:cs="Times New Roman"/>
          <w:sz w:val="22"/>
          <w:szCs w:val="22"/>
        </w:rPr>
        <w:t xml:space="preserve"> values and their associated uncertainties for roughly every ~1km stretch of tributaries across the basin </w:t>
      </w:r>
      <w:commentRangeStart w:id="14"/>
      <w:r w:rsidR="009C079F" w:rsidRPr="00293B26">
        <w:rPr>
          <w:rFonts w:ascii="Garamond" w:hAnsi="Garamond" w:cs="Times New Roman"/>
          <w:sz w:val="22"/>
          <w:szCs w:val="22"/>
        </w:rPr>
        <w:t xml:space="preserve">(Figure </w:t>
      </w:r>
      <w:r w:rsidR="009C079F">
        <w:rPr>
          <w:rFonts w:ascii="Garamond" w:hAnsi="Garamond" w:cs="Times New Roman"/>
          <w:sz w:val="22"/>
          <w:szCs w:val="22"/>
        </w:rPr>
        <w:t>1</w:t>
      </w:r>
      <w:r w:rsidR="009C079F" w:rsidRPr="00293B26">
        <w:rPr>
          <w:rFonts w:ascii="Garamond" w:hAnsi="Garamond" w:cs="Times New Roman"/>
          <w:sz w:val="22"/>
          <w:szCs w:val="22"/>
        </w:rPr>
        <w:t>)</w:t>
      </w:r>
      <w:r w:rsidR="009C079F">
        <w:rPr>
          <w:rFonts w:ascii="Garamond" w:eastAsia="Times New Roman" w:hAnsi="Garamond" w:cs="Times New Roman"/>
          <w:kern w:val="0"/>
          <w:sz w:val="22"/>
          <w:szCs w:val="22"/>
          <w14:ligatures w14:val="none"/>
        </w:rPr>
        <w:t xml:space="preserve"> </w:t>
      </w:r>
      <w:commentRangeEnd w:id="14"/>
      <w:r w:rsidR="009C079F">
        <w:rPr>
          <w:rStyle w:val="CommentReference"/>
        </w:rPr>
        <w:commentReference w:id="14"/>
      </w:r>
      <w:r w:rsidR="009833DB" w:rsidRPr="00293B26">
        <w:rPr>
          <w:rFonts w:ascii="Garamond" w:eastAsia="Times New Roman" w:hAnsi="Garamond" w:cs="Times New Roman"/>
          <w:kern w:val="0"/>
          <w:sz w:val="22"/>
          <w:szCs w:val="22"/>
          <w14:ligatures w14:val="none"/>
        </w:rPr>
        <w:fldChar w:fldCharType="begin"/>
      </w:r>
      <w:r w:rsidR="009833DB" w:rsidRPr="00293B26">
        <w:rPr>
          <w:rFonts w:ascii="Garamond" w:eastAsia="Times New Roman" w:hAnsi="Garamond" w:cs="Times New Roman"/>
          <w:kern w:val="0"/>
          <w:sz w:val="22"/>
          <w:szCs w:val="22"/>
          <w14:ligatures w14:val="none"/>
        </w:rPr>
        <w:instrText xml:space="preserve"> ADDIN ZOTERO_ITEM CSL_CITATION {"citationID":"a4pXqHFf","properties":{"formattedCitation":"(Ver Hoef &amp; Peterson, 2010)","plainCitation":"(Ver Hoef &amp; Peterson, 2010)","noteIndex":0},"citationItems":[{"id":4769,"uris":["http://zotero.org/users/8421274/items/XBJELDI4"],"itemData":{"id":4769,"type":"article-journal","container-title":"Journal of the American Statistical Association","DOI":"10.1198/jasa.2009.ap08248","ISSN":"0162-1459, 1537-274X","issue":"489","journalAbbreviation":"Journal of the American Statistical Association","language":"en","page":"6-18","source":"DOI.org (Crossref)","title":"A Moving Average Approach for Spatial Statistical Models of Stream Networks","volume":"105","author":[{"family":"Ver Hoef","given":"Jay M."},{"family":"Peterson","given":"Erin E."}],"issued":{"date-parts":[["2010",3,1]]}}}],"schema":"https://github.com/citation-style-language/schema/raw/master/csl-citation.json"} </w:instrText>
      </w:r>
      <w:r w:rsidR="009833DB" w:rsidRPr="00293B26">
        <w:rPr>
          <w:rFonts w:ascii="Garamond" w:eastAsia="Times New Roman" w:hAnsi="Garamond" w:cs="Times New Roman"/>
          <w:kern w:val="0"/>
          <w:sz w:val="22"/>
          <w:szCs w:val="22"/>
          <w14:ligatures w14:val="none"/>
        </w:rPr>
        <w:fldChar w:fldCharType="separate"/>
      </w:r>
      <w:r w:rsidR="009833DB" w:rsidRPr="00293B26">
        <w:rPr>
          <w:rFonts w:ascii="Garamond" w:eastAsia="Times New Roman" w:hAnsi="Garamond" w:cs="Times New Roman"/>
          <w:noProof/>
          <w:kern w:val="0"/>
          <w:sz w:val="22"/>
          <w:szCs w:val="22"/>
          <w14:ligatures w14:val="none"/>
        </w:rPr>
        <w:t>(Ver Hoef &amp; Peterson, 2010)</w:t>
      </w:r>
      <w:r w:rsidR="009833DB" w:rsidRPr="00293B26">
        <w:rPr>
          <w:rFonts w:ascii="Garamond" w:eastAsia="Times New Roman" w:hAnsi="Garamond" w:cs="Times New Roman"/>
          <w:kern w:val="0"/>
          <w:sz w:val="22"/>
          <w:szCs w:val="22"/>
          <w14:ligatures w14:val="none"/>
        </w:rPr>
        <w:fldChar w:fldCharType="end"/>
      </w:r>
      <w:r w:rsidR="009833DB" w:rsidRPr="00293B26">
        <w:rPr>
          <w:rFonts w:ascii="Garamond" w:eastAsia="Times New Roman" w:hAnsi="Garamond" w:cs="Times New Roman"/>
          <w:kern w:val="0"/>
          <w:sz w:val="22"/>
          <w:szCs w:val="22"/>
          <w14:ligatures w14:val="none"/>
        </w:rPr>
        <w:t xml:space="preserve">. </w:t>
      </w:r>
      <w:commentRangeStart w:id="15"/>
      <w:r w:rsidR="009F3E36" w:rsidRPr="009F3E36">
        <w:rPr>
          <w:rFonts w:ascii="Garamond" w:hAnsi="Garamond" w:cs="Times New Roman"/>
          <w:sz w:val="22"/>
          <w:szCs w:val="22"/>
        </w:rPr>
        <w:t>To prevent over-assignment to tributaries with exceptionally low prediction error</w:t>
      </w:r>
      <w:r w:rsidR="009C079F">
        <w:rPr>
          <w:rFonts w:ascii="Garamond" w:hAnsi="Garamond" w:cs="Times New Roman"/>
          <w:sz w:val="22"/>
          <w:szCs w:val="22"/>
        </w:rPr>
        <w:t xml:space="preserve"> </w:t>
      </w:r>
      <w:r w:rsidR="009F3E36" w:rsidRPr="009F3E36">
        <w:rPr>
          <w:rFonts w:ascii="Garamond" w:hAnsi="Garamond" w:cs="Times New Roman"/>
          <w:sz w:val="22"/>
          <w:szCs w:val="22"/>
        </w:rPr>
        <w:t>minimum error values were constrained to 0.0006</w:t>
      </w:r>
      <w:r w:rsidR="009C079F">
        <w:rPr>
          <w:rFonts w:ascii="Garamond" w:hAnsi="Garamond" w:cs="Times New Roman"/>
          <w:sz w:val="22"/>
          <w:szCs w:val="22"/>
        </w:rPr>
        <w:t xml:space="preserve"> and above.</w:t>
      </w:r>
      <w:r w:rsidR="009F3E36" w:rsidRPr="009F3E36">
        <w:rPr>
          <w:rFonts w:ascii="Garamond" w:hAnsi="Garamond" w:cs="Times New Roman"/>
          <w:sz w:val="22"/>
          <w:szCs w:val="22"/>
        </w:rPr>
        <w:t xml:space="preserve"> </w:t>
      </w:r>
      <w:commentRangeEnd w:id="15"/>
      <w:r w:rsidR="009C079F">
        <w:rPr>
          <w:rStyle w:val="CommentReference"/>
        </w:rPr>
        <w:commentReference w:id="15"/>
      </w:r>
      <w:r w:rsidR="009F3E36" w:rsidRPr="009F3E36">
        <w:rPr>
          <w:rFonts w:ascii="Garamond" w:hAnsi="Garamond" w:cs="Times New Roman"/>
          <w:sz w:val="22"/>
          <w:szCs w:val="22"/>
        </w:rPr>
        <w:t>This threshold was selected through</w:t>
      </w:r>
      <w:r w:rsidR="009C079F">
        <w:rPr>
          <w:rFonts w:ascii="Garamond" w:hAnsi="Garamond" w:cs="Times New Roman"/>
          <w:sz w:val="22"/>
          <w:szCs w:val="22"/>
        </w:rPr>
        <w:t xml:space="preserve"> a</w:t>
      </w:r>
      <w:r w:rsidR="009F3E36" w:rsidRPr="009F3E36">
        <w:rPr>
          <w:rFonts w:ascii="Garamond" w:hAnsi="Garamond" w:cs="Times New Roman"/>
          <w:sz w:val="22"/>
          <w:szCs w:val="22"/>
        </w:rPr>
        <w:t xml:space="preserve"> systematic evaluation to minimize assignments driven primarily by uncertainty differences rather than isotopic similarity</w:t>
      </w:r>
      <w:r w:rsidR="009C079F">
        <w:rPr>
          <w:rFonts w:ascii="Garamond" w:hAnsi="Garamond" w:cs="Times New Roman"/>
          <w:sz w:val="22"/>
          <w:szCs w:val="22"/>
        </w:rPr>
        <w:t xml:space="preserve"> </w:t>
      </w:r>
      <w:r w:rsidR="009F3E36" w:rsidRPr="009F3E36">
        <w:rPr>
          <w:rFonts w:ascii="Garamond" w:hAnsi="Garamond" w:cs="Times New Roman"/>
          <w:sz w:val="22"/>
          <w:szCs w:val="22"/>
        </w:rPr>
        <w:t>while preserving broad-scale production patterns across the basin</w:t>
      </w:r>
    </w:p>
    <w:p w14:paraId="015401CA" w14:textId="77777777" w:rsidR="002A3FE3" w:rsidRDefault="009833DB" w:rsidP="002A3FE3">
      <w:pPr>
        <w:spacing w:before="100" w:beforeAutospacing="1" w:after="100" w:afterAutospacing="1" w:line="480" w:lineRule="auto"/>
        <w:rPr>
          <w:rFonts w:ascii="Garamond" w:eastAsia="Times New Roman" w:hAnsi="Garamond" w:cs="Times New Roman"/>
          <w:b/>
          <w:bCs/>
          <w:kern w:val="0"/>
          <w:sz w:val="22"/>
          <w:szCs w:val="22"/>
          <w14:ligatures w14:val="none"/>
        </w:rPr>
      </w:pPr>
      <w:r w:rsidRPr="006D1917">
        <w:rPr>
          <w:rFonts w:ascii="Garamond" w:eastAsia="Times New Roman" w:hAnsi="Garamond" w:cs="Times New Roman"/>
          <w:b/>
          <w:bCs/>
          <w:kern w:val="0"/>
          <w:sz w:val="22"/>
          <w:szCs w:val="22"/>
          <w14:ligatures w14:val="none"/>
        </w:rPr>
        <w:t>Assignment framework and prior</w:t>
      </w:r>
      <w:r w:rsidR="002A3FE3">
        <w:rPr>
          <w:rFonts w:ascii="Garamond" w:eastAsia="Times New Roman" w:hAnsi="Garamond" w:cs="Times New Roman"/>
          <w:b/>
          <w:bCs/>
          <w:kern w:val="0"/>
          <w:sz w:val="22"/>
          <w:szCs w:val="22"/>
          <w14:ligatures w14:val="none"/>
        </w:rPr>
        <w:t>s</w:t>
      </w:r>
    </w:p>
    <w:p w14:paraId="417575B8" w14:textId="5D8DD48E" w:rsidR="009833DB" w:rsidRPr="002A3FE3" w:rsidRDefault="002A3FE3" w:rsidP="002A3FE3">
      <w:pPr>
        <w:spacing w:before="100" w:beforeAutospacing="1" w:after="100" w:afterAutospacing="1" w:line="480" w:lineRule="auto"/>
        <w:ind w:firstLine="720"/>
        <w:rPr>
          <w:rFonts w:ascii="Garamond" w:eastAsia="Times New Roman" w:hAnsi="Garamond" w:cs="Times New Roman"/>
          <w:kern w:val="0"/>
          <w:sz w:val="22"/>
          <w:szCs w:val="22"/>
          <w14:ligatures w14:val="none"/>
        </w:rPr>
      </w:pPr>
      <w:r>
        <w:rPr>
          <w:rFonts w:ascii="Garamond" w:eastAsia="Times New Roman" w:hAnsi="Garamond" w:cs="Times New Roman"/>
          <w:kern w:val="0"/>
          <w:sz w:val="22"/>
          <w:szCs w:val="22"/>
          <w14:ligatures w14:val="none"/>
        </w:rPr>
        <w:t>P</w:t>
      </w:r>
      <w:r w:rsidR="009833DB" w:rsidRPr="005E64F6">
        <w:rPr>
          <w:rFonts w:ascii="Garamond" w:eastAsia="Times New Roman" w:hAnsi="Garamond" w:cs="Times New Roman"/>
          <w:kern w:val="0"/>
          <w:sz w:val="22"/>
          <w:szCs w:val="22"/>
          <w14:ligatures w14:val="none"/>
        </w:rPr>
        <w:t>osterior probability</w:t>
      </w:r>
      <w:r>
        <w:rPr>
          <w:rFonts w:ascii="Garamond" w:eastAsia="Times New Roman" w:hAnsi="Garamond" w:cs="Times New Roman"/>
          <w:kern w:val="0"/>
          <w:sz w:val="22"/>
          <w:szCs w:val="22"/>
          <w14:ligatures w14:val="none"/>
        </w:rPr>
        <w:t xml:space="preserve"> values were calculated for all fish and for all tributary segments across the river-basin using a </w:t>
      </w:r>
      <w:r w:rsidR="009833DB" w:rsidRPr="005E64F6">
        <w:rPr>
          <w:rFonts w:ascii="Garamond" w:eastAsia="Times New Roman" w:hAnsi="Garamond" w:cs="Times New Roman"/>
          <w:kern w:val="0"/>
          <w:sz w:val="22"/>
          <w:szCs w:val="22"/>
          <w14:ligatures w14:val="none"/>
        </w:rPr>
        <w:t xml:space="preserve">geographically continuous Bayesian framework </w:t>
      </w:r>
      <w:r w:rsidR="009833DB" w:rsidRPr="005E64F6">
        <w:rPr>
          <w:rFonts w:ascii="Garamond" w:eastAsia="Times New Roman" w:hAnsi="Garamond" w:cs="Times New Roman"/>
          <w:kern w:val="0"/>
          <w:sz w:val="22"/>
          <w:szCs w:val="22"/>
          <w14:ligatures w14:val="none"/>
        </w:rPr>
        <w:fldChar w:fldCharType="begin"/>
      </w:r>
      <w:r w:rsidR="009833DB" w:rsidRPr="005E64F6">
        <w:rPr>
          <w:rFonts w:ascii="Garamond" w:eastAsia="Times New Roman" w:hAnsi="Garamond" w:cs="Times New Roman"/>
          <w:kern w:val="0"/>
          <w:sz w:val="22"/>
          <w:szCs w:val="22"/>
          <w14:ligatures w14:val="none"/>
        </w:rPr>
        <w:instrText xml:space="preserve"> ADDIN ZOTERO_ITEM CSL_CITATION {"citationID":"x50ado7V","properties":{"formattedCitation":"(Brennan, Cline, et al., 2019)","plainCitation":"(Brennan, Cline, et al., 2019)","noteIndex":0},"citationItems":[{"id":1691,"uris":["http://zotero.org/users/8421274/items/IDMUTED4"],"itemData":{"id":1691,"type":"article-journal","abstract":"Migratory animals pose difficult challenges to conservation and management because identifying critical habitats used throughout their lives is rarely possible. Endogenous tracers (e.g. isotope ratios) recorded in sequentially growing biogenic tissues, however, represent a potential source of unique insights at the more elusive temporal and spatial scales central to understanding the ecology of mobile species. To this end, a general probabilistic framework has emerged that quantitatively compares predictive models of isotopic variation across landscapes (called isoscapes) to the isotopic composition recorded in a biological tissue to determine the provenance and movements of animals throughout their lives. Although this spatially continuous approach to isotope-based geographic assignment is becoming more common across taxa and ecosystems, adopting this framework to take advantage of serial isotope records stored within sequentially growing biogenic tissues (e.g. teeth or otoliths) is less common. Here, we construct a novel space-time isotope model of provenance (STIMP) that determines the habitat use through time of migratory fish across river basins. To do so, this model integrates: strontium isotope (87Sr/86Sr) ratios across a riverscape, the serial records of 87Sr/86Sr within otoliths, habitat geomorphology and the directional movement patterns of fish through river networks. To illustrate an application of the model, we applied it to a published dataset from Chinook salmon (Oncorhynchus tshawytscha) harvested in 2011 during a coastal fishery in Bristol Bay, Alaska, U.S.A. Using this model, we show how individuals exploit an array of habitat types to achieve their juvenile growth prior to ocean migration, and that the intensity of habitat use among habitat types across the basin shifts spatially over the course of freshwater residence (e.g. from headwaters to migration corridors). The STIMP presented here integrates diverse information sources to reveal the cryptic juvenile movement patterns of a highly migratory species, providing new insights critical to their conservation. This general framework is applicable to any migratory taxa that use isotopically heterogeneous landscapes during their lives and record such variation in sequentially growing biogenic tissues.","container-title":"Methods in Ecology and Evolution","DOI":"10.1111/2041-210X.13191","ISSN":"2041-210X","issue":"7","language":"en","note":"_eprint: https://besjournals.onlinelibrary.wiley.com/doi/pdf/10.1111/2041-210X.13191","page":"1036-1047","source":"Wiley Online Library","title":"Quantifying habitat use of migratory fish across riverscapes using space-time isotope models","volume":"10","author":[{"family":"Brennan","given":"Sean R."},{"family":"Cline","given":"Timothy J."},{"family":"Schindler","given":"Daniel E."}],"issued":{"date-parts":[["2019"]]}}}],"schema":"https://github.com/citation-style-language/schema/raw/master/csl-citation.json"} </w:instrText>
      </w:r>
      <w:r w:rsidR="009833DB" w:rsidRPr="005E64F6">
        <w:rPr>
          <w:rFonts w:ascii="Garamond" w:eastAsia="Times New Roman" w:hAnsi="Garamond" w:cs="Times New Roman"/>
          <w:kern w:val="0"/>
          <w:sz w:val="22"/>
          <w:szCs w:val="22"/>
          <w14:ligatures w14:val="none"/>
        </w:rPr>
        <w:fldChar w:fldCharType="separate"/>
      </w:r>
      <w:r w:rsidR="009833DB" w:rsidRPr="005E64F6">
        <w:rPr>
          <w:rFonts w:ascii="Garamond" w:eastAsia="Times New Roman" w:hAnsi="Garamond" w:cs="Times New Roman"/>
          <w:noProof/>
          <w:kern w:val="0"/>
          <w:sz w:val="22"/>
          <w:szCs w:val="22"/>
          <w14:ligatures w14:val="none"/>
        </w:rPr>
        <w:t>(Brennan, Cline, et al., 2019)</w:t>
      </w:r>
      <w:r w:rsidR="009833DB" w:rsidRPr="005E64F6">
        <w:rPr>
          <w:rFonts w:ascii="Garamond" w:eastAsia="Times New Roman" w:hAnsi="Garamond" w:cs="Times New Roman"/>
          <w:kern w:val="0"/>
          <w:sz w:val="22"/>
          <w:szCs w:val="22"/>
          <w14:ligatures w14:val="none"/>
        </w:rPr>
        <w:fldChar w:fldCharType="end"/>
      </w:r>
      <w:r w:rsidR="009833DB" w:rsidRPr="005E64F6">
        <w:rPr>
          <w:rFonts w:ascii="Garamond" w:eastAsia="Times New Roman" w:hAnsi="Garamond" w:cs="Times New Roman"/>
          <w:kern w:val="0"/>
          <w:sz w:val="22"/>
          <w:szCs w:val="22"/>
          <w14:ligatures w14:val="none"/>
        </w:rPr>
        <w:t xml:space="preserve">. This approach considers the relationship between extracted natal origin otolith </w:t>
      </w:r>
      <w:r w:rsidR="009833DB" w:rsidRPr="006D1917">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87</w:t>
      </w:r>
      <w:r w:rsidR="009833DB">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86</w:t>
      </w:r>
      <w:r w:rsidR="009833DB" w:rsidRPr="005E64F6">
        <w:rPr>
          <w:rFonts w:ascii="Garamond" w:eastAsia="Times New Roman" w:hAnsi="Garamond" w:cs="Times New Roman"/>
          <w:kern w:val="0"/>
          <w:sz w:val="22"/>
          <w:szCs w:val="22"/>
          <w14:ligatures w14:val="none"/>
        </w:rPr>
        <w:t xml:space="preserve"> values as well as several variance generating processes including </w:t>
      </w:r>
      <w:r w:rsidR="009833DB" w:rsidRPr="005E64F6">
        <w:rPr>
          <w:rFonts w:ascii="Garamond" w:hAnsi="Garamond" w:cstheme="majorHAnsi"/>
          <w:sz w:val="22"/>
          <w:szCs w:val="22"/>
        </w:rPr>
        <w:t xml:space="preserve">analytical, within-population, and </w:t>
      </w:r>
      <w:proofErr w:type="spellStart"/>
      <w:r w:rsidR="009833DB" w:rsidRPr="005E64F6">
        <w:rPr>
          <w:rFonts w:ascii="Garamond" w:hAnsi="Garamond" w:cstheme="majorHAnsi"/>
          <w:sz w:val="22"/>
          <w:szCs w:val="22"/>
        </w:rPr>
        <w:t>isoscape</w:t>
      </w:r>
      <w:proofErr w:type="spellEnd"/>
      <w:r w:rsidR="009833DB" w:rsidRPr="005E64F6">
        <w:rPr>
          <w:rFonts w:ascii="Garamond" w:hAnsi="Garamond" w:cstheme="majorHAnsi"/>
          <w:sz w:val="22"/>
          <w:szCs w:val="22"/>
        </w:rPr>
        <w:t xml:space="preserve"> prediction error</w:t>
      </w:r>
      <w:r w:rsidR="00B07AE4">
        <w:rPr>
          <w:rFonts w:ascii="Garamond" w:hAnsi="Garamond" w:cstheme="majorHAnsi"/>
          <w:sz w:val="22"/>
          <w:szCs w:val="22"/>
        </w:rPr>
        <w:t>s</w:t>
      </w:r>
      <w:r w:rsidR="009833DB" w:rsidRPr="005E64F6">
        <w:rPr>
          <w:rFonts w:ascii="Garamond" w:hAnsi="Garamond" w:cstheme="majorHAnsi"/>
          <w:sz w:val="22"/>
          <w:szCs w:val="22"/>
        </w:rPr>
        <w:t xml:space="preserve">. </w:t>
      </w:r>
      <w:r w:rsidR="009833DB" w:rsidRPr="005E64F6">
        <w:rPr>
          <w:rFonts w:ascii="Garamond" w:eastAsia="Times New Roman" w:hAnsi="Garamond" w:cstheme="majorHAnsi"/>
          <w:color w:val="000000"/>
          <w:sz w:val="22"/>
          <w:szCs w:val="22"/>
        </w:rPr>
        <w:t xml:space="preserve">We assumed all errors were normally distributed, and combined them through the equation: </w:t>
      </w:r>
    </w:p>
    <w:p w14:paraId="5231EB5C" w14:textId="77777777" w:rsidR="009833DB" w:rsidRPr="005E64F6" w:rsidRDefault="00000000" w:rsidP="009833DB">
      <w:pPr>
        <w:spacing w:before="100" w:beforeAutospacing="1" w:after="100" w:afterAutospacing="1" w:line="480" w:lineRule="auto"/>
        <w:ind w:firstLine="720"/>
        <w:rPr>
          <w:rFonts w:ascii="Garamond" w:eastAsia="Times New Roman" w:hAnsi="Garamond" w:cs="Times New Roman"/>
          <w:kern w:val="0"/>
          <w:sz w:val="22"/>
          <w:szCs w:val="22"/>
          <w14:ligatures w14:val="none"/>
        </w:rPr>
      </w:pPr>
      <m:oMathPara>
        <m:oMath>
          <m:sSub>
            <m:sSubPr>
              <m:ctrlPr>
                <w:rPr>
                  <w:rFonts w:ascii="Cambria Math" w:eastAsia="Times New Roman" w:hAnsi="Cambria Math" w:cstheme="majorHAnsi"/>
                  <w:i/>
                  <w:color w:val="000000"/>
                </w:rPr>
              </m:ctrlPr>
            </m:sSubPr>
            <m:e>
              <m:r>
                <w:rPr>
                  <w:rFonts w:ascii="Cambria Math" w:eastAsia="Times New Roman" w:hAnsi="Cambria Math" w:cstheme="majorHAnsi"/>
                  <w:color w:val="000000"/>
                </w:rPr>
                <m:t>σ</m:t>
              </m:r>
            </m:e>
            <m:sub>
              <m:r>
                <w:rPr>
                  <w:rFonts w:ascii="Cambria Math" w:eastAsia="Times New Roman" w:hAnsi="Cambria Math" w:cstheme="majorHAnsi"/>
                  <w:color w:val="000000"/>
                </w:rPr>
                <m:t xml:space="preserve">combined= </m:t>
              </m:r>
              <m:rad>
                <m:radPr>
                  <m:degHide m:val="1"/>
                  <m:ctrlPr>
                    <w:rPr>
                      <w:rFonts w:ascii="Cambria Math" w:eastAsia="Times New Roman" w:hAnsi="Cambria Math" w:cstheme="majorHAnsi"/>
                      <w:i/>
                      <w:color w:val="000000"/>
                    </w:rPr>
                  </m:ctrlPr>
                </m:radPr>
                <m:deg/>
                <m:e>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Analytical</m:t>
                      </m:r>
                    </m:sub>
                    <m:sup>
                      <m:r>
                        <w:rPr>
                          <w:rFonts w:ascii="Cambria Math" w:eastAsia="Times New Roman" w:hAnsi="Cambria Math" w:cstheme="majorHAnsi"/>
                          <w:color w:val="000000"/>
                        </w:rPr>
                        <m:t>2</m:t>
                      </m:r>
                    </m:sup>
                  </m:sSubSup>
                  <m:r>
                    <w:rPr>
                      <w:rFonts w:ascii="Cambria Math" w:eastAsia="Times New Roman" w:hAnsi="Cambria Math" w:cstheme="majorHAnsi"/>
                      <w:color w:val="000000"/>
                    </w:rPr>
                    <m:t xml:space="preserve">+ </m:t>
                  </m:r>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Within-population</m:t>
                      </m:r>
                    </m:sub>
                    <m:sup>
                      <m:r>
                        <w:rPr>
                          <w:rFonts w:ascii="Cambria Math" w:eastAsia="Times New Roman" w:hAnsi="Cambria Math" w:cstheme="majorHAnsi"/>
                          <w:color w:val="000000"/>
                        </w:rPr>
                        <m:t>2</m:t>
                      </m:r>
                    </m:sup>
                  </m:sSubSup>
                  <m:r>
                    <w:rPr>
                      <w:rFonts w:ascii="Cambria Math" w:eastAsia="Times New Roman" w:hAnsi="Cambria Math" w:cstheme="majorHAnsi"/>
                      <w:color w:val="000000"/>
                    </w:rPr>
                    <m:t xml:space="preserve">+ </m:t>
                  </m:r>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isoscape</m:t>
                      </m:r>
                    </m:sub>
                    <m:sup>
                      <m:r>
                        <w:rPr>
                          <w:rFonts w:ascii="Cambria Math" w:eastAsia="Times New Roman" w:hAnsi="Cambria Math" w:cstheme="majorHAnsi"/>
                          <w:color w:val="000000"/>
                        </w:rPr>
                        <m:t>2</m:t>
                      </m:r>
                    </m:sup>
                  </m:sSubSup>
                </m:e>
              </m:rad>
            </m:sub>
          </m:sSub>
        </m:oMath>
      </m:oMathPara>
    </w:p>
    <w:p w14:paraId="601F0841" w14:textId="31DB0A95" w:rsidR="009833DB" w:rsidRPr="00617050" w:rsidRDefault="009833DB" w:rsidP="009833DB">
      <w:pPr>
        <w:spacing w:line="480" w:lineRule="auto"/>
        <w:ind w:firstLine="720"/>
        <w:rPr>
          <w:rFonts w:ascii="Garamond" w:hAnsi="Garamond" w:cstheme="majorHAnsi"/>
          <w:sz w:val="22"/>
          <w:szCs w:val="22"/>
        </w:rPr>
      </w:pPr>
      <w:r w:rsidRPr="00617050">
        <w:rPr>
          <w:rFonts w:ascii="Garamond" w:hAnsi="Garamond" w:cstheme="majorHAnsi"/>
          <w:sz w:val="22"/>
          <w:szCs w:val="22"/>
        </w:rPr>
        <w:t xml:space="preserve">Posterior probability values for each tributary (j) were then calculated using Bayes theorem </w:t>
      </w:r>
      <w:r w:rsidRPr="00617050">
        <w:rPr>
          <w:rFonts w:ascii="Garamond" w:hAnsi="Garamond" w:cstheme="majorHAnsi"/>
          <w:sz w:val="22"/>
          <w:szCs w:val="22"/>
        </w:rPr>
        <w:fldChar w:fldCharType="begin"/>
      </w:r>
      <w:r w:rsidRPr="00617050">
        <w:rPr>
          <w:rFonts w:ascii="Garamond" w:hAnsi="Garamond" w:cstheme="majorHAnsi"/>
          <w:sz w:val="22"/>
          <w:szCs w:val="22"/>
        </w:rPr>
        <w:instrText xml:space="preserve"> ADDIN ZOTERO_ITEM CSL_CITATION {"citationID":"s99EKqrE","properties":{"formattedCitation":"(Brennan &amp; Schindler, 2017; Wunder, 2010)","plainCitation":"(Brennan &amp; Schindler, 2017; Wunder, 2010)","noteIndex":0},"citationItems":[{"id":1694,"uris":["http://zotero.org/users/8421274/items/NSWL6YPN"],"itemData":{"id":1694,"type":"article-journal","abstract":"Production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E."}],"issued":{"date-parts":[["2017"]]}}},{"id":1071,"uris":["http://zotero.org/users/8421274/items/7AQTJQK8"],"itemData":{"id":1071,"type":"chapter","container-title":"Isoscapes","event-place":"Dordrecht","ISBN":"978-90-481-3353-6","language":"en","note":"DOI: 10.1007/978-90-481-3354-3_12","page":"251-270","publisher":"Springer Netherlands","publisher-place":"Dordrecht","source":"DOI.org (Crossref)","title":"Using Isoscapes to Model Probability Surfaces for Determining Geographic Origins","URL":"http://link.springer.com/10.1007/978-90-481-3354-3_12","editor":[{"family":"West","given":"Jason B."},{"family":"Bowen","given":"Gabriel J."},{"family":"Dawson","given":"Todd E."},{"family":"Tu","given":"Kevin P."}],"author":[{"family":"Wunder","given":"Michael B."}],"accessed":{"date-parts":[["2022",9,22]]},"issued":{"date-parts":[["2010"]]}}}],"schema":"https://github.com/citation-style-language/schema/raw/master/csl-citation.json"} </w:instrText>
      </w:r>
      <w:r w:rsidRPr="00617050">
        <w:rPr>
          <w:rFonts w:ascii="Garamond" w:hAnsi="Garamond" w:cstheme="majorHAnsi"/>
          <w:sz w:val="22"/>
          <w:szCs w:val="22"/>
        </w:rPr>
        <w:fldChar w:fldCharType="separate"/>
      </w:r>
      <w:r w:rsidRPr="00617050">
        <w:rPr>
          <w:rFonts w:ascii="Garamond" w:hAnsi="Garamond" w:cstheme="majorHAnsi"/>
          <w:noProof/>
          <w:sz w:val="22"/>
          <w:szCs w:val="22"/>
        </w:rPr>
        <w:t>(Brennan &amp; Schindler, 2017; Wunder, 2010)</w:t>
      </w:r>
      <w:r w:rsidRPr="00617050">
        <w:rPr>
          <w:rFonts w:ascii="Garamond" w:hAnsi="Garamond" w:cstheme="majorHAnsi"/>
          <w:sz w:val="22"/>
          <w:szCs w:val="22"/>
        </w:rPr>
        <w:fldChar w:fldCharType="end"/>
      </w:r>
      <w:r w:rsidRPr="00617050">
        <w:rPr>
          <w:rFonts w:ascii="Garamond" w:hAnsi="Garamond" w:cstheme="majorHAnsi"/>
          <w:sz w:val="22"/>
          <w:szCs w:val="22"/>
        </w:rPr>
        <w:t xml:space="preserve"> ; </w:t>
      </w:r>
    </w:p>
    <w:p w14:paraId="218C8BAB" w14:textId="77777777" w:rsidR="009833DB" w:rsidRPr="005E64F6" w:rsidRDefault="009833DB" w:rsidP="009833DB">
      <w:pPr>
        <w:spacing w:before="100" w:beforeAutospacing="1" w:after="100" w:afterAutospacing="1" w:line="480" w:lineRule="auto"/>
        <w:rPr>
          <w:rFonts w:ascii="Garamond" w:eastAsia="Times New Roman" w:hAnsi="Garamond" w:cs="Times New Roman"/>
          <w:b/>
          <w:bCs/>
          <w:kern w:val="0"/>
          <w:sz w:val="22"/>
          <w:szCs w:val="22"/>
          <w14:ligatures w14:val="none"/>
        </w:rPr>
      </w:pPr>
      <m:oMathPara>
        <m:oMath>
          <m:r>
            <w:rPr>
              <w:rFonts w:ascii="Cambria Math" w:hAnsi="Cambria Math" w:cstheme="majorHAnsi"/>
              <w:sz w:val="18"/>
              <w:szCs w:val="18"/>
            </w:rPr>
            <m:t>P</m:t>
          </m:r>
          <m:d>
            <m:dPr>
              <m:endChr m:val="|"/>
              <m:ctrlPr>
                <w:rPr>
                  <w:rFonts w:ascii="Cambria Math" w:hAnsi="Cambria Math" w:cstheme="majorHAnsi"/>
                  <w:i/>
                  <w:sz w:val="18"/>
                  <w:szCs w:val="18"/>
                </w:rPr>
              </m:ctrlPr>
            </m:dPr>
            <m:e>
              <m:r>
                <w:rPr>
                  <w:rFonts w:ascii="Cambria Math" w:hAnsi="Cambria Math" w:cstheme="majorHAnsi"/>
                  <w:sz w:val="18"/>
                  <w:szCs w:val="18"/>
                </w:rPr>
                <m:t xml:space="preserve">J=j </m:t>
              </m:r>
            </m:e>
          </m:d>
          <m:r>
            <w:rPr>
              <w:rFonts w:ascii="Cambria Math" w:hAnsi="Cambria Math" w:cstheme="majorHAnsi"/>
              <w:sz w:val="18"/>
              <w:szCs w:val="18"/>
            </w:rPr>
            <m:t xml:space="preserve"> O=o, R=rj) ∝  </m:t>
          </m:r>
          <m:d>
            <m:dPr>
              <m:ctrlPr>
                <w:rPr>
                  <w:rFonts w:ascii="Cambria Math" w:hAnsi="Cambria Math" w:cstheme="majorHAnsi"/>
                  <w:i/>
                  <w:sz w:val="18"/>
                  <w:szCs w:val="18"/>
                </w:rPr>
              </m:ctrlPr>
            </m:dPr>
            <m:e>
              <m:sSup>
                <m:sSupPr>
                  <m:ctrlPr>
                    <w:rPr>
                      <w:rFonts w:ascii="Cambria Math" w:hAnsi="Cambria Math" w:cstheme="majorHAnsi"/>
                      <w:i/>
                      <w:sz w:val="18"/>
                      <w:szCs w:val="18"/>
                    </w:rPr>
                  </m:ctrlPr>
                </m:sSupPr>
                <m:e>
                  <m:r>
                    <w:rPr>
                      <w:rFonts w:ascii="Cambria Math" w:hAnsi="Cambria Math" w:cstheme="majorHAnsi"/>
                      <w:sz w:val="18"/>
                      <w:szCs w:val="18"/>
                    </w:rPr>
                    <m:t>1-</m:t>
                  </m:r>
                  <m:f>
                    <m:fPr>
                      <m:ctrlPr>
                        <w:rPr>
                          <w:rFonts w:ascii="Cambria Math" w:hAnsi="Cambria Math" w:cstheme="majorHAnsi"/>
                          <w:i/>
                          <w:sz w:val="18"/>
                          <w:szCs w:val="18"/>
                        </w:rPr>
                      </m:ctrlPr>
                    </m:fPr>
                    <m:num>
                      <m:r>
                        <w:rPr>
                          <w:rFonts w:ascii="Cambria Math" w:hAnsi="Cambria Math" w:cstheme="majorHAnsi"/>
                          <w:sz w:val="18"/>
                          <w:szCs w:val="18"/>
                        </w:rPr>
                        <m:t>1</m:t>
                      </m:r>
                    </m:num>
                    <m:den>
                      <m:r>
                        <w:rPr>
                          <w:rFonts w:ascii="Cambria Math" w:hAnsi="Cambria Math" w:cstheme="majorHAnsi"/>
                          <w:sz w:val="18"/>
                          <w:szCs w:val="18"/>
                        </w:rPr>
                        <m:t>2π</m:t>
                      </m:r>
                      <m:sSub>
                        <m:sSubPr>
                          <m:ctrlPr>
                            <w:rPr>
                              <w:rFonts w:ascii="Cambria Math" w:hAnsi="Cambria Math" w:cstheme="majorHAnsi"/>
                              <w:i/>
                              <w:sz w:val="18"/>
                              <w:szCs w:val="18"/>
                            </w:rPr>
                          </m:ctrlPr>
                        </m:sSubPr>
                        <m:e>
                          <m:r>
                            <w:rPr>
                              <w:rFonts w:ascii="Cambria Math" w:hAnsi="Cambria Math" w:cstheme="majorHAnsi"/>
                              <w:sz w:val="18"/>
                              <w:szCs w:val="18"/>
                            </w:rPr>
                            <m:t>σ</m:t>
                          </m:r>
                        </m:e>
                        <m:sub>
                          <m:r>
                            <w:rPr>
                              <w:rFonts w:ascii="Cambria Math" w:hAnsi="Cambria Math" w:cstheme="majorHAnsi"/>
                              <w:sz w:val="18"/>
                              <w:szCs w:val="18"/>
                            </w:rPr>
                            <m:t>combined</m:t>
                          </m:r>
                        </m:sub>
                      </m:sSub>
                    </m:den>
                  </m:f>
                </m:e>
                <m:sup>
                  <m:sSup>
                    <m:sSupPr>
                      <m:ctrlPr>
                        <w:rPr>
                          <w:rFonts w:ascii="Cambria Math" w:hAnsi="Cambria Math" w:cstheme="majorHAnsi"/>
                          <w:i/>
                          <w:sz w:val="18"/>
                          <w:szCs w:val="18"/>
                        </w:rPr>
                      </m:ctrlPr>
                    </m:sSupPr>
                    <m:e>
                      <m:r>
                        <w:rPr>
                          <w:rFonts w:ascii="Cambria Math" w:hAnsi="Cambria Math" w:cstheme="majorHAnsi"/>
                          <w:sz w:val="18"/>
                          <w:szCs w:val="18"/>
                        </w:rPr>
                        <m:t>(-(o-</m:t>
                      </m:r>
                      <m:sSub>
                        <m:sSubPr>
                          <m:ctrlPr>
                            <w:rPr>
                              <w:rFonts w:ascii="Cambria Math" w:hAnsi="Cambria Math" w:cstheme="majorHAnsi"/>
                              <w:i/>
                              <w:sz w:val="18"/>
                              <w:szCs w:val="18"/>
                            </w:rPr>
                          </m:ctrlPr>
                        </m:sSubPr>
                        <m:e>
                          <m:r>
                            <w:rPr>
                              <w:rFonts w:ascii="Cambria Math" w:hAnsi="Cambria Math" w:cstheme="majorHAnsi"/>
                              <w:sz w:val="18"/>
                              <w:szCs w:val="18"/>
                            </w:rPr>
                            <m:t>r</m:t>
                          </m:r>
                        </m:e>
                        <m:sub>
                          <m:r>
                            <w:rPr>
                              <w:rFonts w:ascii="Cambria Math" w:hAnsi="Cambria Math" w:cstheme="majorHAnsi"/>
                              <w:sz w:val="18"/>
                              <w:szCs w:val="18"/>
                            </w:rPr>
                            <m:t>j</m:t>
                          </m:r>
                        </m:sub>
                      </m:sSub>
                      <m:r>
                        <w:rPr>
                          <w:rFonts w:ascii="Cambria Math" w:hAnsi="Cambria Math" w:cstheme="majorHAnsi"/>
                          <w:sz w:val="18"/>
                          <w:szCs w:val="18"/>
                        </w:rPr>
                        <m:t>)</m:t>
                      </m:r>
                    </m:e>
                    <m:sup>
                      <m:r>
                        <w:rPr>
                          <w:rFonts w:ascii="Cambria Math" w:hAnsi="Cambria Math" w:cstheme="majorHAnsi"/>
                          <w:sz w:val="18"/>
                          <w:szCs w:val="18"/>
                        </w:rPr>
                        <m:t>2</m:t>
                      </m:r>
                    </m:sup>
                  </m:sSup>
                  <m:r>
                    <w:rPr>
                      <w:rFonts w:ascii="Cambria Math" w:hAnsi="Cambria Math" w:cstheme="majorHAnsi"/>
                      <w:sz w:val="18"/>
                      <w:szCs w:val="18"/>
                    </w:rPr>
                    <m:t>/2</m:t>
                  </m:r>
                  <m:sSub>
                    <m:sSubPr>
                      <m:ctrlPr>
                        <w:rPr>
                          <w:rFonts w:ascii="Cambria Math" w:hAnsi="Cambria Math" w:cstheme="majorHAnsi"/>
                          <w:i/>
                          <w:sz w:val="18"/>
                          <w:szCs w:val="18"/>
                        </w:rPr>
                      </m:ctrlPr>
                    </m:sSubPr>
                    <m:e>
                      <m:r>
                        <w:rPr>
                          <w:rFonts w:ascii="Cambria Math" w:hAnsi="Cambria Math" w:cstheme="majorHAnsi"/>
                          <w:sz w:val="18"/>
                          <w:szCs w:val="18"/>
                        </w:rPr>
                        <m:t>σ</m:t>
                      </m:r>
                    </m:e>
                    <m:sub>
                      <m:r>
                        <w:rPr>
                          <w:rFonts w:ascii="Cambria Math" w:hAnsi="Cambria Math" w:cstheme="majorHAnsi"/>
                          <w:sz w:val="18"/>
                          <w:szCs w:val="18"/>
                        </w:rPr>
                        <m:t>combined</m:t>
                      </m:r>
                    </m:sub>
                  </m:sSub>
                  <m:r>
                    <w:rPr>
                      <w:rFonts w:ascii="Cambria Math" w:hAnsi="Cambria Math" w:cstheme="majorHAnsi"/>
                      <w:sz w:val="18"/>
                      <w:szCs w:val="18"/>
                    </w:rPr>
                    <m:t>)</m:t>
                  </m:r>
                </m:sup>
              </m:sSup>
              <m:r>
                <w:rPr>
                  <w:rFonts w:ascii="Cambria Math" w:hAnsi="Cambria Math" w:cstheme="majorHAnsi"/>
                  <w:sz w:val="18"/>
                  <w:szCs w:val="18"/>
                </w:rPr>
                <m:t xml:space="preserve"> </m:t>
              </m:r>
            </m:e>
          </m:d>
          <m:r>
            <w:rPr>
              <w:rFonts w:ascii="Cambria Math" w:hAnsi="Cambria Math" w:cstheme="majorHAnsi"/>
              <w:sz w:val="18"/>
              <w:szCs w:val="18"/>
            </w:rPr>
            <m:t>* Phabitat</m:t>
          </m:r>
          <m:d>
            <m:dPr>
              <m:ctrlPr>
                <w:rPr>
                  <w:rFonts w:ascii="Cambria Math" w:hAnsi="Cambria Math" w:cstheme="majorHAnsi"/>
                  <w:i/>
                  <w:sz w:val="18"/>
                  <w:szCs w:val="18"/>
                </w:rPr>
              </m:ctrlPr>
            </m:dPr>
            <m:e>
              <m:r>
                <w:rPr>
                  <w:rFonts w:ascii="Cambria Math" w:hAnsi="Cambria Math" w:cstheme="majorHAnsi"/>
                  <w:sz w:val="18"/>
                  <w:szCs w:val="18"/>
                </w:rPr>
                <m:t>j</m:t>
              </m:r>
            </m:e>
          </m:d>
          <m:r>
            <w:rPr>
              <w:rFonts w:ascii="Cambria Math" w:hAnsi="Cambria Math" w:cstheme="majorHAnsi"/>
              <w:sz w:val="18"/>
              <w:szCs w:val="18"/>
            </w:rPr>
            <m:t>* PStreamOrder</m:t>
          </m:r>
          <m:d>
            <m:dPr>
              <m:ctrlPr>
                <w:rPr>
                  <w:rFonts w:ascii="Cambria Math" w:hAnsi="Cambria Math" w:cstheme="majorHAnsi"/>
                  <w:i/>
                  <w:sz w:val="18"/>
                  <w:szCs w:val="18"/>
                </w:rPr>
              </m:ctrlPr>
            </m:dPr>
            <m:e>
              <m:r>
                <w:rPr>
                  <w:rFonts w:ascii="Cambria Math" w:hAnsi="Cambria Math" w:cstheme="majorHAnsi"/>
                  <w:sz w:val="18"/>
                  <w:szCs w:val="18"/>
                </w:rPr>
                <m:t>j</m:t>
              </m:r>
            </m:e>
          </m:d>
          <m:r>
            <w:rPr>
              <w:rFonts w:ascii="Cambria Math" w:hAnsi="Cambria Math" w:cstheme="majorHAnsi"/>
              <w:sz w:val="18"/>
              <w:szCs w:val="18"/>
            </w:rPr>
            <m:t>* PPresence(j)</m:t>
          </m:r>
        </m:oMath>
      </m:oMathPara>
    </w:p>
    <w:p w14:paraId="27D6E1BC" w14:textId="11CC75BE" w:rsidR="009833DB" w:rsidRPr="002A3FE3" w:rsidRDefault="009833DB" w:rsidP="002A3FE3">
      <w:pPr>
        <w:spacing w:line="480" w:lineRule="auto"/>
        <w:ind w:firstLine="720"/>
        <w:rPr>
          <w:rFonts w:ascii="Garamond" w:eastAsia="Times New Roman" w:hAnsi="Garamond" w:cs="Times New Roman"/>
          <w:kern w:val="0"/>
          <w:sz w:val="22"/>
          <w:szCs w:val="22"/>
          <w14:ligatures w14:val="none"/>
        </w:rPr>
      </w:pPr>
      <w:r w:rsidRPr="00F75AB6">
        <w:rPr>
          <w:rFonts w:ascii="Garamond" w:hAnsi="Garamond" w:cstheme="majorHAnsi"/>
          <w:sz w:val="22"/>
          <w:szCs w:val="22"/>
        </w:rPr>
        <w:t>The probability of an individual assigning to tributary j is defined as the product of the probability of the isotope ratio in the otolith of an individual (o) given the isotope ratio in tributary j (</w:t>
      </w:r>
      <w:proofErr w:type="spellStart"/>
      <w:r w:rsidRPr="00F75AB6">
        <w:rPr>
          <w:rFonts w:ascii="Garamond" w:hAnsi="Garamond" w:cstheme="majorHAnsi"/>
          <w:sz w:val="22"/>
          <w:szCs w:val="22"/>
        </w:rPr>
        <w:t>r_j</w:t>
      </w:r>
      <w:proofErr w:type="spellEnd"/>
      <w:r w:rsidRPr="00F75AB6">
        <w:rPr>
          <w:rFonts w:ascii="Garamond" w:hAnsi="Garamond" w:cstheme="majorHAnsi"/>
          <w:sz w:val="22"/>
          <w:szCs w:val="22"/>
        </w:rPr>
        <w:t xml:space="preserve">). The probability </w:t>
      </w:r>
      <w:r w:rsidRPr="00F75AB6">
        <w:rPr>
          <w:rFonts w:ascii="Garamond" w:hAnsi="Garamond" w:cstheme="majorHAnsi"/>
          <w:sz w:val="22"/>
          <w:szCs w:val="22"/>
        </w:rPr>
        <w:lastRenderedPageBreak/>
        <w:t>of the isotope ratio (</w:t>
      </w:r>
      <w:proofErr w:type="spellStart"/>
      <w:r w:rsidRPr="00F75AB6">
        <w:rPr>
          <w:rFonts w:ascii="Garamond" w:hAnsi="Garamond" w:cstheme="majorHAnsi"/>
          <w:sz w:val="22"/>
          <w:szCs w:val="22"/>
        </w:rPr>
        <w:t>rj</w:t>
      </w:r>
      <w:proofErr w:type="spellEnd"/>
      <w:r w:rsidRPr="00F75AB6">
        <w:rPr>
          <w:rFonts w:ascii="Garamond" w:hAnsi="Garamond" w:cstheme="majorHAnsi"/>
          <w:sz w:val="22"/>
          <w:szCs w:val="22"/>
        </w:rPr>
        <w:t xml:space="preserve">) was assumed to be normally distributed with a mean represented by the otolith isotope ratio (o) and an error of </w:t>
      </w:r>
      <m:oMath>
        <m:sSub>
          <m:sSubPr>
            <m:ctrlPr>
              <w:rPr>
                <w:rFonts w:ascii="Cambria Math" w:hAnsi="Cambria Math" w:cstheme="majorHAnsi"/>
                <w:i/>
                <w:sz w:val="22"/>
                <w:szCs w:val="22"/>
              </w:rPr>
            </m:ctrlPr>
          </m:sSubPr>
          <m:e>
            <m:r>
              <w:rPr>
                <w:rFonts w:ascii="Cambria Math" w:hAnsi="Cambria Math" w:cstheme="majorHAnsi"/>
                <w:sz w:val="22"/>
                <w:szCs w:val="22"/>
              </w:rPr>
              <m:t>σ</m:t>
            </m:r>
          </m:e>
          <m:sub>
            <m:r>
              <w:rPr>
                <w:rFonts w:ascii="Cambria Math" w:hAnsi="Cambria Math" w:cstheme="majorHAnsi"/>
                <w:sz w:val="22"/>
                <w:szCs w:val="22"/>
              </w:rPr>
              <m:t>combined</m:t>
            </m:r>
          </m:sub>
        </m:sSub>
      </m:oMath>
      <w:r w:rsidRPr="00F75AB6">
        <w:rPr>
          <w:rFonts w:ascii="Garamond" w:hAnsi="Garamond" w:cstheme="majorHAnsi"/>
          <w:sz w:val="22"/>
          <w:szCs w:val="22"/>
        </w:rPr>
        <w:t xml:space="preserve">. </w:t>
      </w:r>
      <w:r w:rsidRPr="00F75AB6">
        <w:rPr>
          <w:rFonts w:ascii="Garamond" w:eastAsia="Times New Roman" w:hAnsi="Garamond" w:cs="Times New Roman"/>
          <w:kern w:val="0"/>
          <w:sz w:val="22"/>
          <w:szCs w:val="22"/>
          <w14:ligatures w14:val="none"/>
        </w:rPr>
        <w:t xml:space="preserve">Several priors were included to limit assignments to areas within the river basin suitable for spawning Chinook salmon. </w:t>
      </w:r>
      <w:r w:rsidRPr="00F75AB6">
        <w:rPr>
          <w:rFonts w:ascii="Garamond" w:hAnsi="Garamond"/>
          <w:sz w:val="22"/>
          <w:szCs w:val="22"/>
        </w:rPr>
        <w:t xml:space="preserve">First, a </w:t>
      </w:r>
      <w:r w:rsidRPr="00F75AB6">
        <w:rPr>
          <w:rFonts w:ascii="Garamond" w:eastAsia="Times New Roman" w:hAnsi="Garamond"/>
          <w:sz w:val="22"/>
          <w:szCs w:val="22"/>
        </w:rPr>
        <w:t>stream order prior (</w:t>
      </w:r>
      <w:proofErr w:type="spellStart"/>
      <w:r w:rsidRPr="00F75AB6">
        <w:rPr>
          <w:rFonts w:ascii="Garamond" w:eastAsia="Times New Roman" w:hAnsi="Garamond"/>
          <w:sz w:val="22"/>
          <w:szCs w:val="22"/>
        </w:rPr>
        <w:t>PStreamOrder</w:t>
      </w:r>
      <w:proofErr w:type="spellEnd"/>
      <w:r w:rsidRPr="00F75AB6">
        <w:rPr>
          <w:rFonts w:ascii="Garamond" w:eastAsia="Times New Roman" w:hAnsi="Garamond"/>
          <w:sz w:val="22"/>
          <w:szCs w:val="22"/>
        </w:rPr>
        <w:t>)</w:t>
      </w:r>
      <w:r w:rsidRPr="00F75AB6">
        <w:rPr>
          <w:rFonts w:ascii="Garamond" w:hAnsi="Garamond"/>
          <w:sz w:val="22"/>
          <w:szCs w:val="22"/>
        </w:rPr>
        <w:t xml:space="preserve"> was applied to limit assignments to </w:t>
      </w:r>
      <w:r w:rsidR="002A3FE3">
        <w:rPr>
          <w:rFonts w:ascii="Garamond" w:hAnsi="Garamond"/>
          <w:sz w:val="22"/>
          <w:szCs w:val="22"/>
        </w:rPr>
        <w:t xml:space="preserve">tributaries with a stream order of 3 or greater, </w:t>
      </w:r>
      <w:r w:rsidRPr="00F75AB6">
        <w:rPr>
          <w:rFonts w:ascii="Garamond" w:hAnsi="Garamond"/>
          <w:sz w:val="22"/>
          <w:szCs w:val="22"/>
        </w:rPr>
        <w:t xml:space="preserve">reflecting Chinook </w:t>
      </w:r>
      <w:r w:rsidR="0039711B">
        <w:rPr>
          <w:rFonts w:ascii="Garamond" w:hAnsi="Garamond"/>
          <w:sz w:val="22"/>
          <w:szCs w:val="22"/>
        </w:rPr>
        <w:t>s</w:t>
      </w:r>
      <w:r w:rsidRPr="00F75AB6">
        <w:rPr>
          <w:rFonts w:ascii="Garamond" w:hAnsi="Garamond"/>
          <w:sz w:val="22"/>
          <w:szCs w:val="22"/>
        </w:rPr>
        <w:t>almon’s known preference for spawning in larger streams</w:t>
      </w:r>
      <w:r w:rsidR="002A3FE3">
        <w:rPr>
          <w:rFonts w:ascii="Garamond" w:hAnsi="Garamond"/>
          <w:sz w:val="22"/>
          <w:szCs w:val="22"/>
        </w:rPr>
        <w:t xml:space="preserve"> </w:t>
      </w:r>
      <w:r w:rsidR="002A3FE3" w:rsidRPr="00983880">
        <w:rPr>
          <w:rFonts w:ascii="Garamond" w:hAnsi="Garamond"/>
          <w:sz w:val="22"/>
          <w:szCs w:val="22"/>
          <w:highlight w:val="yellow"/>
        </w:rPr>
        <w:t>(</w:t>
      </w:r>
      <w:r w:rsidR="0039711B" w:rsidRPr="00983880">
        <w:rPr>
          <w:rFonts w:ascii="Garamond" w:hAnsi="Garamond"/>
          <w:sz w:val="22"/>
          <w:szCs w:val="22"/>
          <w:highlight w:val="yellow"/>
        </w:rPr>
        <w:t>Quinn</w:t>
      </w:r>
      <w:del w:id="16" w:author="Benjamin J. Makhlouf" w:date="2025-07-26T11:29:00Z" w16du:dateUtc="2025-07-26T18:29:00Z">
        <w:r w:rsidR="0039711B" w:rsidRPr="00983880" w:rsidDel="00AD7B82">
          <w:rPr>
            <w:rFonts w:ascii="Garamond" w:hAnsi="Garamond"/>
            <w:sz w:val="22"/>
            <w:szCs w:val="22"/>
            <w:highlight w:val="yellow"/>
          </w:rPr>
          <w:delText xml:space="preserve"> </w:delText>
        </w:r>
      </w:del>
      <w:r w:rsidR="00AD7B82" w:rsidRPr="00983880">
        <w:rPr>
          <w:rFonts w:ascii="Garamond" w:hAnsi="Garamond"/>
          <w:sz w:val="22"/>
          <w:szCs w:val="22"/>
          <w:highlight w:val="yellow"/>
        </w:rPr>
        <w:t>, 2018</w:t>
      </w:r>
      <w:r w:rsidR="002A3FE3" w:rsidRPr="00983880">
        <w:rPr>
          <w:rFonts w:ascii="Garamond" w:hAnsi="Garamond"/>
          <w:sz w:val="22"/>
          <w:szCs w:val="22"/>
          <w:highlight w:val="yellow"/>
        </w:rPr>
        <w:t>)</w:t>
      </w:r>
      <w:r w:rsidRPr="00983880">
        <w:rPr>
          <w:rFonts w:ascii="Garamond" w:hAnsi="Garamond"/>
          <w:sz w:val="22"/>
          <w:szCs w:val="22"/>
          <w:highlight w:val="yellow"/>
        </w:rPr>
        <w:t>.</w:t>
      </w:r>
      <w:r w:rsidRPr="00F75AB6">
        <w:rPr>
          <w:rFonts w:ascii="Garamond" w:hAnsi="Garamond"/>
          <w:sz w:val="22"/>
          <w:szCs w:val="22"/>
        </w:rPr>
        <w:t xml:space="preserve">  </w:t>
      </w:r>
      <w:r w:rsidR="002A3FE3">
        <w:rPr>
          <w:rFonts w:ascii="Garamond" w:hAnsi="Garamond"/>
          <w:sz w:val="22"/>
          <w:szCs w:val="22"/>
        </w:rPr>
        <w:t>R</w:t>
      </w:r>
      <w:r w:rsidRPr="00F75AB6">
        <w:rPr>
          <w:rFonts w:ascii="Garamond" w:hAnsi="Garamond"/>
          <w:sz w:val="22"/>
          <w:szCs w:val="22"/>
        </w:rPr>
        <w:t xml:space="preserve">eaches with a stream order of </w:t>
      </w:r>
      <w:r w:rsidR="002A3FE3">
        <w:rPr>
          <w:rFonts w:ascii="Garamond" w:hAnsi="Garamond"/>
          <w:sz w:val="22"/>
          <w:szCs w:val="22"/>
        </w:rPr>
        <w:t>3</w:t>
      </w:r>
      <w:r w:rsidRPr="00F75AB6">
        <w:rPr>
          <w:rFonts w:ascii="Garamond" w:hAnsi="Garamond"/>
          <w:sz w:val="22"/>
          <w:szCs w:val="22"/>
        </w:rPr>
        <w:t xml:space="preserve"> or greater were included in assignments (assigned a prior value of 1), while smaller tributaries were excluded (assigned a value of 0). </w:t>
      </w:r>
      <w:r w:rsidRPr="00F75AB6">
        <w:rPr>
          <w:rFonts w:ascii="Garamond" w:eastAsia="Times New Roman" w:hAnsi="Garamond" w:cs="Times New Roman"/>
          <w:kern w:val="0"/>
          <w:sz w:val="22"/>
          <w:szCs w:val="22"/>
          <w14:ligatures w14:val="none"/>
        </w:rPr>
        <w:t>Second, a habitat suitability prior (</w:t>
      </w:r>
      <w:proofErr w:type="spellStart"/>
      <w:r w:rsidRPr="00F75AB6">
        <w:rPr>
          <w:rFonts w:ascii="Garamond" w:eastAsia="Times New Roman" w:hAnsi="Garamond" w:cs="Times New Roman"/>
          <w:kern w:val="0"/>
          <w:sz w:val="22"/>
          <w:szCs w:val="22"/>
          <w14:ligatures w14:val="none"/>
        </w:rPr>
        <w:t>PHabitat</w:t>
      </w:r>
      <w:proofErr w:type="spellEnd"/>
      <w:r w:rsidRPr="00F75AB6">
        <w:rPr>
          <w:rFonts w:ascii="Garamond" w:eastAsia="Times New Roman" w:hAnsi="Garamond" w:cs="Times New Roman"/>
          <w:kern w:val="0"/>
          <w:sz w:val="22"/>
          <w:szCs w:val="22"/>
          <w14:ligatures w14:val="none"/>
        </w:rPr>
        <w:t xml:space="preserve">) was used to exclude regions below </w:t>
      </w:r>
      <w:r w:rsidRPr="004E3592">
        <w:rPr>
          <w:rFonts w:ascii="Garamond" w:eastAsia="Times New Roman" w:hAnsi="Garamond" w:cs="Times New Roman"/>
          <w:kern w:val="0"/>
          <w:sz w:val="22"/>
          <w:szCs w:val="22"/>
          <w14:ligatures w14:val="none"/>
          <w:rPrChange w:id="17" w:author="Benjamin J. Makhlouf" w:date="2025-07-26T13:48:00Z" w16du:dateUtc="2025-07-26T20:48:00Z">
            <w:rPr>
              <w:rFonts w:ascii="Garamond" w:eastAsia="Times New Roman" w:hAnsi="Garamond" w:cs="Times New Roman"/>
              <w:kern w:val="0"/>
              <w:sz w:val="22"/>
              <w:szCs w:val="22"/>
              <w:highlight w:val="yellow"/>
              <w14:ligatures w14:val="none"/>
            </w:rPr>
          </w:rPrChange>
        </w:rPr>
        <w:t>a threshold contributing slope value</w:t>
      </w:r>
      <w:r w:rsidR="00983880">
        <w:rPr>
          <w:rFonts w:ascii="Garamond" w:eastAsia="Times New Roman" w:hAnsi="Garamond" w:cs="Times New Roman"/>
          <w:kern w:val="0"/>
          <w:sz w:val="22"/>
          <w:szCs w:val="22"/>
          <w14:ligatures w14:val="none"/>
        </w:rPr>
        <w:t xml:space="preserve"> of </w:t>
      </w:r>
      <w:r w:rsidR="00983880" w:rsidRPr="00983880">
        <w:rPr>
          <w:rFonts w:ascii="Garamond" w:eastAsia="Times New Roman" w:hAnsi="Garamond" w:cs="Times New Roman"/>
          <w:kern w:val="0"/>
          <w:sz w:val="22"/>
          <w:szCs w:val="22"/>
          <w:highlight w:val="yellow"/>
          <w14:ligatures w14:val="none"/>
        </w:rPr>
        <w:t>_____</w:t>
      </w:r>
      <w:r w:rsidRPr="004E3592">
        <w:rPr>
          <w:rFonts w:ascii="Garamond" w:eastAsia="Times New Roman" w:hAnsi="Garamond" w:cs="Times New Roman"/>
          <w:kern w:val="0"/>
          <w:sz w:val="22"/>
          <w:szCs w:val="22"/>
          <w14:ligatures w14:val="none"/>
        </w:rPr>
        <w:t>,</w:t>
      </w:r>
      <w:r w:rsidRPr="00F75AB6">
        <w:rPr>
          <w:rFonts w:ascii="Garamond" w:eastAsia="Times New Roman" w:hAnsi="Garamond" w:cs="Times New Roman"/>
          <w:kern w:val="0"/>
          <w:sz w:val="22"/>
          <w:szCs w:val="22"/>
          <w14:ligatures w14:val="none"/>
        </w:rPr>
        <w:t xml:space="preserve"> thereby preventing assignment to exceedingly slow or flat reaches determined to be unsuitable </w:t>
      </w:r>
      <w:r w:rsidR="0088327B">
        <w:rPr>
          <w:rFonts w:ascii="Garamond" w:eastAsia="Times New Roman" w:hAnsi="Garamond" w:cs="Times New Roman"/>
          <w:kern w:val="0"/>
          <w:sz w:val="22"/>
          <w:szCs w:val="22"/>
          <w14:ligatures w14:val="none"/>
        </w:rPr>
        <w:t xml:space="preserve">for </w:t>
      </w:r>
      <w:r w:rsidRPr="00F75AB6">
        <w:rPr>
          <w:rFonts w:ascii="Garamond" w:eastAsia="Times New Roman" w:hAnsi="Garamond" w:cs="Times New Roman"/>
          <w:kern w:val="0"/>
          <w:sz w:val="22"/>
          <w:szCs w:val="22"/>
          <w14:ligatures w14:val="none"/>
        </w:rPr>
        <w:t>spawning Chinook</w:t>
      </w:r>
      <w:r w:rsidR="0088327B">
        <w:rPr>
          <w:rFonts w:ascii="Garamond" w:eastAsia="Times New Roman" w:hAnsi="Garamond" w:cs="Times New Roman"/>
          <w:kern w:val="0"/>
          <w:sz w:val="22"/>
          <w:szCs w:val="22"/>
          <w14:ligatures w14:val="none"/>
        </w:rPr>
        <w:t xml:space="preserve"> salmon</w:t>
      </w:r>
      <w:r w:rsidRPr="00F75AB6">
        <w:rPr>
          <w:rFonts w:ascii="Garamond" w:eastAsia="Times New Roman" w:hAnsi="Garamond" w:cs="Times New Roman"/>
          <w:kern w:val="0"/>
          <w:sz w:val="22"/>
          <w:szCs w:val="22"/>
          <w14:ligatures w14:val="none"/>
        </w:rPr>
        <w:t xml:space="preserve">. </w:t>
      </w:r>
      <w:r w:rsidRPr="00983880">
        <w:rPr>
          <w:rFonts w:ascii="Garamond" w:eastAsia="Times New Roman" w:hAnsi="Garamond" w:cs="Times New Roman"/>
          <w:kern w:val="0"/>
          <w:sz w:val="22"/>
          <w:szCs w:val="22"/>
          <w:highlight w:val="yellow"/>
          <w14:ligatures w14:val="none"/>
        </w:rPr>
        <w:t xml:space="preserve">Finally, data was included on observed locations of spawning </w:t>
      </w:r>
      <w:r w:rsidR="0039711B" w:rsidRPr="00983880">
        <w:rPr>
          <w:rFonts w:ascii="Garamond" w:eastAsia="Times New Roman" w:hAnsi="Garamond" w:cs="Times New Roman"/>
          <w:kern w:val="0"/>
          <w:sz w:val="22"/>
          <w:szCs w:val="22"/>
          <w:highlight w:val="yellow"/>
          <w14:ligatures w14:val="none"/>
        </w:rPr>
        <w:t>C</w:t>
      </w:r>
      <w:r w:rsidRPr="00983880">
        <w:rPr>
          <w:rFonts w:ascii="Garamond" w:eastAsia="Times New Roman" w:hAnsi="Garamond" w:cs="Times New Roman"/>
          <w:kern w:val="0"/>
          <w:sz w:val="22"/>
          <w:szCs w:val="22"/>
          <w:highlight w:val="yellow"/>
          <w14:ligatures w14:val="none"/>
        </w:rPr>
        <w:t>hinook presence derived from USGS Arctic-Yukon-Kuskokwim (AYK) Chinook Salmon Intrinsic potential mapping</w:t>
      </w:r>
      <w:r w:rsidR="00983880" w:rsidRPr="00983880">
        <w:rPr>
          <w:rFonts w:ascii="Garamond" w:eastAsia="Times New Roman" w:hAnsi="Garamond" w:cs="Times New Roman"/>
          <w:kern w:val="0"/>
          <w:sz w:val="22"/>
          <w:szCs w:val="22"/>
          <w:highlight w:val="yellow"/>
          <w14:ligatures w14:val="none"/>
        </w:rPr>
        <w:t xml:space="preserve">, which </w:t>
      </w:r>
      <w:r w:rsidRPr="00983880">
        <w:rPr>
          <w:rFonts w:ascii="Garamond" w:eastAsia="Times New Roman" w:hAnsi="Garamond" w:cs="Times New Roman"/>
          <w:kern w:val="0"/>
          <w:sz w:val="22"/>
          <w:szCs w:val="22"/>
          <w:highlight w:val="yellow"/>
          <w14:ligatures w14:val="none"/>
        </w:rPr>
        <w:t>synthesize</w:t>
      </w:r>
      <w:r w:rsidR="00983880" w:rsidRPr="00983880">
        <w:rPr>
          <w:rFonts w:ascii="Garamond" w:eastAsia="Times New Roman" w:hAnsi="Garamond" w:cs="Times New Roman"/>
          <w:kern w:val="0"/>
          <w:sz w:val="22"/>
          <w:szCs w:val="22"/>
          <w:highlight w:val="yellow"/>
          <w14:ligatures w14:val="none"/>
        </w:rPr>
        <w:t>d</w:t>
      </w:r>
      <w:r w:rsidRPr="00983880">
        <w:rPr>
          <w:rFonts w:ascii="Garamond" w:eastAsia="Times New Roman" w:hAnsi="Garamond" w:cs="Times New Roman"/>
          <w:kern w:val="0"/>
          <w:sz w:val="22"/>
          <w:szCs w:val="22"/>
          <w:highlight w:val="yellow"/>
          <w14:ligatures w14:val="none"/>
        </w:rPr>
        <w:t xml:space="preserve"> several sources of data on observed Chinook salmon spawners  to provide a binary 0 or 1 value for locations with or without observations across the dataset</w:t>
      </w:r>
      <w:r w:rsidR="0088327B" w:rsidRPr="00983880">
        <w:rPr>
          <w:rFonts w:ascii="Garamond" w:eastAsia="Times New Roman" w:hAnsi="Garamond" w:cs="Times New Roman"/>
          <w:kern w:val="0"/>
          <w:sz w:val="22"/>
          <w:szCs w:val="22"/>
          <w:highlight w:val="yellow"/>
          <w14:ligatures w14:val="none"/>
        </w:rPr>
        <w:t xml:space="preserve"> </w:t>
      </w:r>
      <w:r w:rsidR="0088327B" w:rsidRPr="00983880">
        <w:rPr>
          <w:rFonts w:ascii="Garamond" w:eastAsia="Times New Roman" w:hAnsi="Garamond" w:cs="Times New Roman"/>
          <w:kern w:val="0"/>
          <w:sz w:val="22"/>
          <w:szCs w:val="22"/>
          <w:highlight w:val="yellow"/>
          <w14:ligatures w14:val="none"/>
        </w:rPr>
        <w:fldChar w:fldCharType="begin"/>
      </w:r>
      <w:r w:rsidR="0088327B" w:rsidRPr="00983880">
        <w:rPr>
          <w:rFonts w:ascii="Garamond" w:eastAsia="Times New Roman" w:hAnsi="Garamond" w:cs="Times New Roman"/>
          <w:kern w:val="0"/>
          <w:sz w:val="22"/>
          <w:szCs w:val="22"/>
          <w:highlight w:val="yellow"/>
          <w14:ligatures w14:val="none"/>
        </w:rPr>
        <w:instrText xml:space="preserve"> ADDIN ZOTERO_ITEM CSL_CITATION {"citationID":"GgqWHCm6","properties":{"formattedCitation":"(Falke &amp; Paul, 2025)","plainCitation":"(Falke &amp; Paul, 2025)","noteIndex":0},"citationItems":[{"id":5400,"uris":["http://zotero.org/users/8421274/items/GG56Y5HB"],"itemData":{"id":5400,"type":"dataset","abstract":"Chinook Salmon (Oncorhynchus tshawytscha) are an important commercial, subsistence, and recreational fishery resource in Alaska, and recent population declines have resulted in closures of some Chinook Salmon fisheries. Research into environmental factors involved in the decline of salmon stocks has exposed information gaps regarding fine-scale freshwater habitat quality known to influence Chinook Salmon productivity. We developed spatially-explicit intrinsic habitat potential models for Chinook Salmon freshwater spawning and rearing life-stages based on geomorphic stream network attributes (e.g., gradient, mean annual flow, valley bottom width). Model predictions were applied to individual stream reaches and summarized across synthetic stream networks derived from high-resolution (5-meter) digital elevation models covering the Yukon River drainage west of the US-Canada border and the entire Kuskokwim River drainage (total stream length ~667,000 km across 1.3 million km2 area). Vector spatial datasets include unique reach contributing area (uRCA) and unique reach contributing area valley bottom (uRCA VB) polygons, and confluence to confluence streamline edges derived from the NetMap synthetic streamlines product. Tabular data includes a collection of stream attributes summarized by uRCA or uRCA VB polygons, and habitat model results derived from these stream attributes. See metadata records for individual data elements for a description of input sources, software\nenvironments, data quality, processing steps, and attribute information. Approximately 87,500 and 39,500 stream km were predicted to represent moderate to high (index scores 0.6-1.0) Chinook Salmon rearing and spawning habitat suitability, respectively. Our high-resolution, spatially explicit dataset provides many options for summarizing and visualizing habitat suitability across areal units (e.g., river basins, land management boundaries) and assessing the potential for high suitability habitats outside the known distribution of Chinook Salmon at scales useful for managers and the research community.","DOI":"10.5066/P95AV4JO","license":"Creative Commons Zero v1.0 Universal","medium":"csv,xml,shp","publisher":"U.S. Geological Survey","source":"DOI.org (Datacite)","title":"Stream Attributes and Habitat Intrinsic Potential Model Results to examine Freshwater Habitat Potential for Chinook Salmon in the Yukon and Kuskokwim River Basins, Alaska","URL":"https://www.sciencebase.gov/catalog/item/64df8deed34e5f6cd553baec","author":[{"family":"Falke","given":""},{"family":"Paul","given":""}],"accessed":{"date-parts":[["2025",6,4]]},"issued":{"date-parts":[["2025"]]}}}],"schema":"https://github.com/citation-style-language/schema/raw/master/csl-citation.json"} </w:instrText>
      </w:r>
      <w:r w:rsidR="0088327B" w:rsidRPr="00983880">
        <w:rPr>
          <w:rFonts w:ascii="Garamond" w:eastAsia="Times New Roman" w:hAnsi="Garamond" w:cs="Times New Roman"/>
          <w:kern w:val="0"/>
          <w:sz w:val="22"/>
          <w:szCs w:val="22"/>
          <w:highlight w:val="yellow"/>
          <w14:ligatures w14:val="none"/>
        </w:rPr>
        <w:fldChar w:fldCharType="separate"/>
      </w:r>
      <w:r w:rsidR="0088327B" w:rsidRPr="00983880">
        <w:rPr>
          <w:rFonts w:ascii="Garamond" w:eastAsia="Times New Roman" w:hAnsi="Garamond" w:cs="Times New Roman"/>
          <w:noProof/>
          <w:kern w:val="0"/>
          <w:sz w:val="22"/>
          <w:szCs w:val="22"/>
          <w:highlight w:val="yellow"/>
          <w14:ligatures w14:val="none"/>
        </w:rPr>
        <w:t>(Falke &amp; Paul, 2025)</w:t>
      </w:r>
      <w:r w:rsidR="0088327B" w:rsidRPr="00983880">
        <w:rPr>
          <w:rFonts w:ascii="Garamond" w:eastAsia="Times New Roman" w:hAnsi="Garamond" w:cs="Times New Roman"/>
          <w:kern w:val="0"/>
          <w:sz w:val="22"/>
          <w:szCs w:val="22"/>
          <w:highlight w:val="yellow"/>
          <w14:ligatures w14:val="none"/>
        </w:rPr>
        <w:fldChar w:fldCharType="end"/>
      </w:r>
      <w:r w:rsidR="0088327B" w:rsidRPr="00983880">
        <w:rPr>
          <w:rFonts w:ascii="Garamond" w:eastAsia="Times New Roman" w:hAnsi="Garamond" w:cs="Times New Roman"/>
          <w:kern w:val="0"/>
          <w:sz w:val="22"/>
          <w:szCs w:val="22"/>
          <w:highlight w:val="yellow"/>
          <w14:ligatures w14:val="none"/>
        </w:rPr>
        <w:t>.</w:t>
      </w:r>
      <w:r w:rsidR="0088327B">
        <w:rPr>
          <w:rFonts w:ascii="Garamond" w:eastAsia="Times New Roman" w:hAnsi="Garamond" w:cs="Times New Roman"/>
          <w:kern w:val="0"/>
          <w:sz w:val="22"/>
          <w:szCs w:val="22"/>
          <w14:ligatures w14:val="none"/>
        </w:rPr>
        <w:t xml:space="preserve"> </w:t>
      </w:r>
      <w:r w:rsidRPr="00F75AB6">
        <w:rPr>
          <w:rFonts w:ascii="Garamond" w:eastAsia="Times New Roman" w:hAnsi="Garamond" w:cs="Times New Roman"/>
          <w:kern w:val="0"/>
          <w:sz w:val="22"/>
          <w:szCs w:val="22"/>
          <w14:ligatures w14:val="none"/>
        </w:rPr>
        <w:t xml:space="preserve"> To avoid biasing regions without observations but with low sampling effort, this prior was only applied to </w:t>
      </w:r>
      <w:r w:rsidR="002A3FE3">
        <w:rPr>
          <w:rFonts w:ascii="Garamond" w:eastAsia="Times New Roman" w:hAnsi="Garamond" w:cs="Times New Roman"/>
          <w:kern w:val="0"/>
          <w:sz w:val="22"/>
          <w:szCs w:val="22"/>
          <w14:ligatures w14:val="none"/>
        </w:rPr>
        <w:t xml:space="preserve">the two highest stream orders in the dataset (Stream order &gt;= 6). </w:t>
      </w:r>
      <w:r w:rsidRPr="00F75AB6">
        <w:rPr>
          <w:rFonts w:ascii="Garamond" w:eastAsia="Times New Roman" w:hAnsi="Garamond" w:cs="Times New Roman"/>
          <w:kern w:val="0"/>
          <w:sz w:val="22"/>
          <w:szCs w:val="22"/>
          <w14:ligatures w14:val="none"/>
        </w:rPr>
        <w:t xml:space="preserve">From these tributaries, reaches identified as </w:t>
      </w:r>
      <w:r w:rsidR="00983880">
        <w:rPr>
          <w:rFonts w:ascii="Garamond" w:eastAsia="Times New Roman" w:hAnsi="Garamond" w:cs="Times New Roman"/>
          <w:kern w:val="0"/>
          <w:sz w:val="22"/>
          <w:szCs w:val="22"/>
          <w14:ligatures w14:val="none"/>
        </w:rPr>
        <w:t xml:space="preserve">consistently </w:t>
      </w:r>
      <w:r w:rsidRPr="00F75AB6">
        <w:rPr>
          <w:rFonts w:ascii="Garamond" w:eastAsia="Times New Roman" w:hAnsi="Garamond" w:cs="Times New Roman"/>
          <w:kern w:val="0"/>
          <w:sz w:val="22"/>
          <w:szCs w:val="22"/>
          <w14:ligatures w14:val="none"/>
        </w:rPr>
        <w:t xml:space="preserve">lacking observed Chinook spawning were assigned as a value of 0. </w:t>
      </w:r>
    </w:p>
    <w:p w14:paraId="3CB550D3" w14:textId="77777777" w:rsidR="000C429D" w:rsidRDefault="009110AF" w:rsidP="000C429D">
      <w:pPr>
        <w:spacing w:line="480" w:lineRule="auto"/>
        <w:ind w:firstLine="720"/>
        <w:rPr>
          <w:rFonts w:ascii="Garamond" w:hAnsi="Garamond"/>
          <w:sz w:val="22"/>
          <w:szCs w:val="22"/>
        </w:rPr>
      </w:pPr>
      <w:r>
        <w:rPr>
          <w:rFonts w:ascii="Garamond" w:hAnsi="Garamond"/>
          <w:sz w:val="22"/>
          <w:szCs w:val="22"/>
        </w:rPr>
        <w:t xml:space="preserve">To estimate the spatial distribution of natal origins for a subset of the population, </w:t>
      </w:r>
      <w:r w:rsidR="009F3E36" w:rsidRPr="009F3E36">
        <w:rPr>
          <w:rFonts w:ascii="Garamond" w:hAnsi="Garamond"/>
          <w:sz w:val="22"/>
          <w:szCs w:val="22"/>
        </w:rPr>
        <w:t xml:space="preserve">posterior probability values </w:t>
      </w:r>
      <w:r>
        <w:rPr>
          <w:rFonts w:ascii="Garamond" w:hAnsi="Garamond"/>
          <w:sz w:val="22"/>
          <w:szCs w:val="22"/>
        </w:rPr>
        <w:t xml:space="preserve">were summed </w:t>
      </w:r>
      <w:r w:rsidR="009F3E36" w:rsidRPr="009F3E36">
        <w:rPr>
          <w:rFonts w:ascii="Garamond" w:hAnsi="Garamond"/>
          <w:sz w:val="22"/>
          <w:szCs w:val="22"/>
        </w:rPr>
        <w:t xml:space="preserve">across </w:t>
      </w:r>
      <w:r w:rsidR="00983880">
        <w:rPr>
          <w:rFonts w:ascii="Garamond" w:hAnsi="Garamond"/>
          <w:sz w:val="22"/>
          <w:szCs w:val="22"/>
        </w:rPr>
        <w:t xml:space="preserve">all </w:t>
      </w:r>
      <w:r w:rsidR="009F3E36" w:rsidRPr="009F3E36">
        <w:rPr>
          <w:rFonts w:ascii="Garamond" w:hAnsi="Garamond"/>
          <w:sz w:val="22"/>
          <w:szCs w:val="22"/>
        </w:rPr>
        <w:t xml:space="preserve">individuals </w:t>
      </w:r>
      <w:r w:rsidR="00983880">
        <w:rPr>
          <w:rFonts w:ascii="Garamond" w:hAnsi="Garamond"/>
          <w:sz w:val="22"/>
          <w:szCs w:val="22"/>
        </w:rPr>
        <w:t>in the subset and at all reaches in the basin.</w:t>
      </w:r>
      <w:r>
        <w:rPr>
          <w:rFonts w:ascii="Garamond" w:hAnsi="Garamond"/>
          <w:sz w:val="22"/>
          <w:szCs w:val="22"/>
        </w:rPr>
        <w:t xml:space="preserve"> To focus analysis on only highly likely locations, the top 30% of posterior values were retained whereas all other values were assigned a value of 0 for each individual before summing. Natal origin estimates were produced for </w:t>
      </w:r>
      <w:r w:rsidR="009F3E36" w:rsidRPr="009F3E36">
        <w:rPr>
          <w:rFonts w:ascii="Garamond" w:hAnsi="Garamond"/>
          <w:sz w:val="22"/>
          <w:szCs w:val="22"/>
        </w:rPr>
        <w:t xml:space="preserve">predefined temporal quartiles </w:t>
      </w:r>
      <w:r w:rsidR="0039711B">
        <w:rPr>
          <w:rFonts w:ascii="Garamond" w:hAnsi="Garamond"/>
          <w:sz w:val="22"/>
          <w:szCs w:val="22"/>
        </w:rPr>
        <w:t xml:space="preserve">of the salmon migration season </w:t>
      </w:r>
      <w:r w:rsidR="009F3E36" w:rsidRPr="009F3E36">
        <w:rPr>
          <w:rFonts w:ascii="Garamond" w:hAnsi="Garamond"/>
          <w:sz w:val="22"/>
          <w:szCs w:val="22"/>
        </w:rPr>
        <w:t>based on capture date: Q1 (run start through June 11), Q2 (June 12-21), Q3 (June 22-July 1), and Q4 (July 2 onward).</w:t>
      </w:r>
      <w:ins w:id="18" w:author="Daniel Schindler" w:date="2025-07-17T13:30:00Z" w16du:dateUtc="2025-07-17T21:30:00Z">
        <w:r w:rsidR="0015783A">
          <w:rPr>
            <w:rFonts w:ascii="Garamond" w:hAnsi="Garamond"/>
            <w:sz w:val="22"/>
            <w:szCs w:val="22"/>
          </w:rPr>
          <w:t xml:space="preserve"> </w:t>
        </w:r>
      </w:ins>
      <w:r w:rsidR="00863C27">
        <w:rPr>
          <w:rFonts w:ascii="Garamond" w:hAnsi="Garamond"/>
          <w:sz w:val="22"/>
          <w:szCs w:val="22"/>
        </w:rPr>
        <w:t xml:space="preserve">These dates were chosen to roughly split the full run into </w:t>
      </w:r>
      <w:r w:rsidR="0088327B">
        <w:rPr>
          <w:rFonts w:ascii="Garamond" w:hAnsi="Garamond"/>
          <w:sz w:val="22"/>
          <w:szCs w:val="22"/>
        </w:rPr>
        <w:t>four</w:t>
      </w:r>
      <w:r w:rsidR="00863C27">
        <w:rPr>
          <w:rFonts w:ascii="Garamond" w:hAnsi="Garamond"/>
          <w:sz w:val="22"/>
          <w:szCs w:val="22"/>
        </w:rPr>
        <w:t xml:space="preserve"> </w:t>
      </w:r>
      <w:r w:rsidR="0088327B">
        <w:rPr>
          <w:rFonts w:ascii="Garamond" w:hAnsi="Garamond"/>
          <w:sz w:val="22"/>
          <w:szCs w:val="22"/>
        </w:rPr>
        <w:t xml:space="preserve">equal </w:t>
      </w:r>
      <w:r w:rsidR="00863C27">
        <w:rPr>
          <w:rFonts w:ascii="Garamond" w:hAnsi="Garamond"/>
          <w:sz w:val="22"/>
          <w:szCs w:val="22"/>
        </w:rPr>
        <w:t>quartiles</w:t>
      </w:r>
      <w:r w:rsidR="0088327B">
        <w:rPr>
          <w:rFonts w:ascii="Garamond" w:hAnsi="Garamond"/>
          <w:sz w:val="22"/>
          <w:szCs w:val="22"/>
        </w:rPr>
        <w:t xml:space="preserve"> while allowing for direct comparison among years</w:t>
      </w:r>
      <w:r w:rsidR="00863C27">
        <w:rPr>
          <w:rFonts w:ascii="Garamond" w:hAnsi="Garamond"/>
          <w:sz w:val="22"/>
          <w:szCs w:val="22"/>
        </w:rPr>
        <w:t xml:space="preserve">. </w:t>
      </w:r>
      <w:r w:rsidR="0039711B">
        <w:rPr>
          <w:rFonts w:ascii="Garamond" w:hAnsi="Garamond"/>
          <w:sz w:val="22"/>
          <w:szCs w:val="22"/>
        </w:rPr>
        <w:t xml:space="preserve">The June 11 date was chosen specifically to match the end of the ‘front end closure’ of the subsistence fishery </w:t>
      </w:r>
      <w:r w:rsidR="0015783A">
        <w:rPr>
          <w:rFonts w:ascii="Garamond" w:hAnsi="Garamond"/>
          <w:sz w:val="22"/>
          <w:szCs w:val="22"/>
        </w:rPr>
        <w:t xml:space="preserve">corresponding to the first quartile of the run, </w:t>
      </w:r>
      <w:r w:rsidR="0039711B">
        <w:rPr>
          <w:rFonts w:ascii="Garamond" w:hAnsi="Garamond"/>
          <w:sz w:val="22"/>
          <w:szCs w:val="22"/>
        </w:rPr>
        <w:t xml:space="preserve">which has been implemented for over a decade. </w:t>
      </w:r>
      <w:r w:rsidR="00D149EB">
        <w:rPr>
          <w:rFonts w:ascii="Garamond" w:hAnsi="Garamond"/>
          <w:sz w:val="22"/>
          <w:szCs w:val="22"/>
        </w:rPr>
        <w:t xml:space="preserve">Estimates were also produced for the full duration of the run </w:t>
      </w:r>
      <w:r w:rsidR="000C429D">
        <w:rPr>
          <w:rFonts w:ascii="Garamond" w:hAnsi="Garamond"/>
          <w:sz w:val="22"/>
          <w:szCs w:val="22"/>
        </w:rPr>
        <w:t>in</w:t>
      </w:r>
      <w:r w:rsidR="00D149EB">
        <w:rPr>
          <w:rFonts w:ascii="Garamond" w:hAnsi="Garamond"/>
          <w:sz w:val="22"/>
          <w:szCs w:val="22"/>
        </w:rPr>
        <w:t xml:space="preserve"> each year.</w:t>
      </w:r>
      <w:r w:rsidR="000C429D">
        <w:rPr>
          <w:rFonts w:ascii="Garamond" w:hAnsi="Garamond"/>
          <w:sz w:val="22"/>
          <w:szCs w:val="22"/>
        </w:rPr>
        <w:t xml:space="preserve"> Twenty</w:t>
      </w:r>
      <w:r w:rsidR="009F3E36" w:rsidRPr="009F3E36">
        <w:rPr>
          <w:rFonts w:ascii="Garamond" w:hAnsi="Garamond"/>
          <w:sz w:val="22"/>
          <w:szCs w:val="22"/>
        </w:rPr>
        <w:t xml:space="preserve">-one management units were defined to aggregate tributary-level estimates into units relevant to current management practices (Figure 2). Management units of interest </w:t>
      </w:r>
      <w:r w:rsidR="009F3E36" w:rsidRPr="009F3E36">
        <w:rPr>
          <w:rFonts w:ascii="Garamond" w:hAnsi="Garamond"/>
          <w:sz w:val="22"/>
          <w:szCs w:val="22"/>
        </w:rPr>
        <w:lastRenderedPageBreak/>
        <w:t xml:space="preserve">to the Alaska Department of Fish </w:t>
      </w:r>
      <w:r w:rsidR="00401EE2">
        <w:rPr>
          <w:rFonts w:ascii="Garamond" w:hAnsi="Garamond"/>
          <w:sz w:val="22"/>
          <w:szCs w:val="22"/>
        </w:rPr>
        <w:t>&amp;</w:t>
      </w:r>
      <w:r w:rsidR="00401EE2" w:rsidRPr="009F3E36">
        <w:rPr>
          <w:rFonts w:ascii="Garamond" w:hAnsi="Garamond"/>
          <w:sz w:val="22"/>
          <w:szCs w:val="22"/>
        </w:rPr>
        <w:t xml:space="preserve"> </w:t>
      </w:r>
      <w:r w:rsidR="009F3E36" w:rsidRPr="009F3E36">
        <w:rPr>
          <w:rFonts w:ascii="Garamond" w:hAnsi="Garamond"/>
          <w:sz w:val="22"/>
          <w:szCs w:val="22"/>
        </w:rPr>
        <w:t>Game were identified by</w:t>
      </w:r>
      <w:r w:rsidR="003442B4">
        <w:rPr>
          <w:rFonts w:ascii="Garamond" w:hAnsi="Garamond"/>
          <w:sz w:val="22"/>
          <w:szCs w:val="22"/>
        </w:rPr>
        <w:t xml:space="preserve"> </w:t>
      </w:r>
      <w:ins w:id="19" w:author="Daniel Schindler" w:date="2025-07-17T13:31:00Z" w16du:dateUtc="2025-07-17T21:31:00Z">
        <w:r w:rsidR="00401EE2">
          <w:rPr>
            <w:rFonts w:ascii="Garamond" w:hAnsi="Garamond"/>
            <w:sz w:val="22"/>
            <w:szCs w:val="22"/>
          </w:rPr>
          <w:t>(Liller reference?)</w:t>
        </w:r>
        <w:r w:rsidR="00401EE2" w:rsidRPr="009F3E36">
          <w:rPr>
            <w:rFonts w:ascii="Garamond" w:hAnsi="Garamond"/>
            <w:sz w:val="22"/>
            <w:szCs w:val="22"/>
          </w:rPr>
          <w:t xml:space="preserve"> </w:t>
        </w:r>
      </w:ins>
      <w:r w:rsidR="009F3E36" w:rsidRPr="009F3E36">
        <w:rPr>
          <w:rFonts w:ascii="Garamond" w:hAnsi="Garamond"/>
          <w:sz w:val="22"/>
          <w:szCs w:val="22"/>
        </w:rPr>
        <w:t>with all upstream segments from the most downstream point of each tributary assigned to common management identifiers. Remaining basin areas were manually grouped into units of comparable size to ensure complete basin coverage</w:t>
      </w:r>
      <w:r w:rsidR="000C429D">
        <w:rPr>
          <w:rFonts w:ascii="Garamond" w:hAnsi="Garamond"/>
          <w:sz w:val="22"/>
          <w:szCs w:val="22"/>
        </w:rPr>
        <w:t xml:space="preserve"> (Figure 2).</w:t>
      </w:r>
    </w:p>
    <w:p w14:paraId="153B5A2B" w14:textId="1114E47C" w:rsidR="00312FC9" w:rsidRPr="00AD7B82" w:rsidRDefault="00306D21" w:rsidP="000C429D">
      <w:pPr>
        <w:spacing w:line="480" w:lineRule="auto"/>
        <w:ind w:firstLine="720"/>
        <w:rPr>
          <w:rFonts w:ascii="Garamond" w:hAnsi="Garamond"/>
          <w:sz w:val="22"/>
          <w:szCs w:val="22"/>
        </w:rPr>
      </w:pPr>
      <w:r w:rsidRPr="00AD7B82">
        <w:rPr>
          <w:rFonts w:ascii="Garamond" w:hAnsi="Garamond"/>
          <w:sz w:val="22"/>
          <w:szCs w:val="22"/>
        </w:rPr>
        <w:t>In each year of the study, and f</w:t>
      </w:r>
      <w:r w:rsidR="003442B4" w:rsidRPr="00AD7B82">
        <w:rPr>
          <w:rFonts w:ascii="Garamond" w:hAnsi="Garamond"/>
          <w:sz w:val="22"/>
          <w:szCs w:val="22"/>
        </w:rPr>
        <w:t xml:space="preserve">or each </w:t>
      </w:r>
      <w:r w:rsidRPr="00AD7B82">
        <w:rPr>
          <w:rFonts w:ascii="Garamond" w:hAnsi="Garamond"/>
          <w:sz w:val="22"/>
          <w:szCs w:val="22"/>
        </w:rPr>
        <w:t xml:space="preserve">seasonal </w:t>
      </w:r>
      <w:r w:rsidR="003442B4" w:rsidRPr="00AD7B82">
        <w:rPr>
          <w:rFonts w:ascii="Garamond" w:hAnsi="Garamond"/>
          <w:sz w:val="22"/>
          <w:szCs w:val="22"/>
        </w:rPr>
        <w:t xml:space="preserve">quartile, return estimates were normalized to sum to one across the </w:t>
      </w:r>
      <w:r w:rsidR="000C429D">
        <w:rPr>
          <w:rFonts w:ascii="Garamond" w:hAnsi="Garamond"/>
          <w:sz w:val="22"/>
          <w:szCs w:val="22"/>
        </w:rPr>
        <w:t>watershed to display</w:t>
      </w:r>
      <w:r w:rsidR="003442B4" w:rsidRPr="00AD7B82">
        <w:rPr>
          <w:rFonts w:ascii="Garamond" w:hAnsi="Garamond"/>
          <w:sz w:val="22"/>
          <w:szCs w:val="22"/>
        </w:rPr>
        <w:t xml:space="preserve"> proportional contribution</w:t>
      </w:r>
      <w:r w:rsidR="000C429D">
        <w:rPr>
          <w:rFonts w:ascii="Garamond" w:hAnsi="Garamond"/>
          <w:sz w:val="22"/>
          <w:szCs w:val="22"/>
        </w:rPr>
        <w:t xml:space="preserve"> within a given seasonal quartile. For each quartile, the mean proportional contribution value was calculated across all years for each management unit (Figure 3). </w:t>
      </w:r>
      <w:r w:rsidR="003442B4" w:rsidRPr="00AD7B82">
        <w:rPr>
          <w:rFonts w:ascii="Garamond" w:hAnsi="Garamond"/>
          <w:sz w:val="22"/>
          <w:szCs w:val="22"/>
        </w:rPr>
        <w:t xml:space="preserve">Corresponding boxplots for each quartile illustrate </w:t>
      </w:r>
      <w:r w:rsidR="000C429D">
        <w:rPr>
          <w:rFonts w:ascii="Garamond" w:hAnsi="Garamond"/>
          <w:sz w:val="22"/>
          <w:szCs w:val="22"/>
        </w:rPr>
        <w:t xml:space="preserve">annual </w:t>
      </w:r>
      <w:r w:rsidR="003442B4" w:rsidRPr="00AD7B82">
        <w:rPr>
          <w:rFonts w:ascii="Garamond" w:hAnsi="Garamond"/>
          <w:sz w:val="22"/>
          <w:szCs w:val="22"/>
        </w:rPr>
        <w:t xml:space="preserve">variability in contribution patterns, ordered from </w:t>
      </w:r>
      <w:r w:rsidR="000C429D">
        <w:rPr>
          <w:rFonts w:ascii="Garamond" w:hAnsi="Garamond"/>
          <w:sz w:val="22"/>
          <w:szCs w:val="22"/>
        </w:rPr>
        <w:t xml:space="preserve">the most </w:t>
      </w:r>
      <w:r w:rsidR="003442B4" w:rsidRPr="00AD7B82">
        <w:rPr>
          <w:rFonts w:ascii="Garamond" w:hAnsi="Garamond"/>
          <w:sz w:val="22"/>
          <w:szCs w:val="22"/>
        </w:rPr>
        <w:t xml:space="preserve">upstream to </w:t>
      </w:r>
      <w:r w:rsidR="000C429D">
        <w:rPr>
          <w:rFonts w:ascii="Garamond" w:hAnsi="Garamond"/>
          <w:sz w:val="22"/>
          <w:szCs w:val="22"/>
        </w:rPr>
        <w:t xml:space="preserve">the furthest </w:t>
      </w:r>
      <w:r w:rsidR="003442B4" w:rsidRPr="00AD7B82">
        <w:rPr>
          <w:rFonts w:ascii="Garamond" w:hAnsi="Garamond"/>
          <w:sz w:val="22"/>
          <w:szCs w:val="22"/>
        </w:rPr>
        <w:t>downstream locations</w:t>
      </w:r>
      <w:r w:rsidR="000C429D">
        <w:rPr>
          <w:rFonts w:ascii="Garamond" w:hAnsi="Garamond"/>
          <w:sz w:val="22"/>
          <w:szCs w:val="22"/>
        </w:rPr>
        <w:t xml:space="preserve"> (Figure 3). </w:t>
      </w:r>
      <w:r w:rsidR="003442B4" w:rsidRPr="00AD7B82">
        <w:rPr>
          <w:rFonts w:ascii="Garamond" w:hAnsi="Garamond"/>
          <w:sz w:val="22"/>
          <w:szCs w:val="22"/>
        </w:rPr>
        <w:t xml:space="preserve">Cumulative distribution functions were constructed using 3-day intervals throughout each run. For each interval, </w:t>
      </w:r>
      <w:r w:rsidR="000C429D">
        <w:rPr>
          <w:rFonts w:ascii="Garamond" w:hAnsi="Garamond"/>
          <w:sz w:val="22"/>
          <w:szCs w:val="22"/>
        </w:rPr>
        <w:t xml:space="preserve">estimates of the returns at the tributary scale were aggregated into management units and compared against the full-season total for that stock. The resulting data represent the proportion of the total contribution of each stock present at each 3 day interval in the run. </w:t>
      </w:r>
      <w:r w:rsidR="00312FC9" w:rsidRPr="00AD7B82">
        <w:rPr>
          <w:rFonts w:ascii="Garamond" w:hAnsi="Garamond"/>
          <w:sz w:val="22"/>
          <w:szCs w:val="22"/>
        </w:rPr>
        <w:t xml:space="preserve">To assess the </w:t>
      </w:r>
      <w:r w:rsidR="000C429D">
        <w:rPr>
          <w:rFonts w:ascii="Garamond" w:hAnsi="Garamond"/>
          <w:sz w:val="22"/>
          <w:szCs w:val="22"/>
        </w:rPr>
        <w:t>relative protection afforded to stocks by a front end closure ending on June 11</w:t>
      </w:r>
      <w:r w:rsidR="000C429D" w:rsidRPr="000C429D">
        <w:rPr>
          <w:rFonts w:ascii="Garamond" w:hAnsi="Garamond"/>
          <w:sz w:val="22"/>
          <w:szCs w:val="22"/>
          <w:vertAlign w:val="superscript"/>
        </w:rPr>
        <w:t>th</w:t>
      </w:r>
      <w:r w:rsidR="000C429D">
        <w:rPr>
          <w:rFonts w:ascii="Garamond" w:hAnsi="Garamond"/>
          <w:sz w:val="22"/>
          <w:szCs w:val="22"/>
        </w:rPr>
        <w:t xml:space="preserve">, </w:t>
      </w:r>
      <w:r w:rsidR="00312FC9" w:rsidRPr="00AD7B82">
        <w:rPr>
          <w:rFonts w:ascii="Garamond" w:hAnsi="Garamond"/>
          <w:sz w:val="22"/>
          <w:szCs w:val="22"/>
        </w:rPr>
        <w:t xml:space="preserve">we quantified the proportion of each </w:t>
      </w:r>
      <w:r w:rsidR="000C429D">
        <w:rPr>
          <w:rFonts w:ascii="Garamond" w:hAnsi="Garamond"/>
          <w:sz w:val="22"/>
          <w:szCs w:val="22"/>
        </w:rPr>
        <w:t xml:space="preserve">stock’s </w:t>
      </w:r>
      <w:r w:rsidR="00312FC9" w:rsidRPr="00AD7B82">
        <w:rPr>
          <w:rFonts w:ascii="Garamond" w:hAnsi="Garamond"/>
          <w:sz w:val="22"/>
          <w:szCs w:val="22"/>
        </w:rPr>
        <w:t xml:space="preserve">annual </w:t>
      </w:r>
      <w:r w:rsidR="000C429D">
        <w:rPr>
          <w:rFonts w:ascii="Garamond" w:hAnsi="Garamond"/>
          <w:sz w:val="22"/>
          <w:szCs w:val="22"/>
        </w:rPr>
        <w:t>returns which</w:t>
      </w:r>
      <w:r w:rsidR="00312FC9" w:rsidRPr="00AD7B82">
        <w:rPr>
          <w:rFonts w:ascii="Garamond" w:hAnsi="Garamond"/>
          <w:sz w:val="22"/>
          <w:szCs w:val="22"/>
        </w:rPr>
        <w:t xml:space="preserve"> occur within the current closure window</w:t>
      </w:r>
      <w:r w:rsidR="000C429D">
        <w:rPr>
          <w:rFonts w:ascii="Garamond" w:hAnsi="Garamond"/>
          <w:sz w:val="22"/>
          <w:szCs w:val="22"/>
        </w:rPr>
        <w:t xml:space="preserve"> (Q1 in our subset dataset). </w:t>
      </w:r>
    </w:p>
    <w:p w14:paraId="1A241D7B" w14:textId="77777777" w:rsidR="004A0003" w:rsidRDefault="004A0003" w:rsidP="009833DB">
      <w:pPr>
        <w:spacing w:line="480" w:lineRule="auto"/>
        <w:rPr>
          <w:rFonts w:ascii="Garamond" w:hAnsi="Garamond"/>
          <w:b/>
          <w:bCs/>
          <w:sz w:val="22"/>
          <w:szCs w:val="22"/>
        </w:rPr>
      </w:pPr>
    </w:p>
    <w:p w14:paraId="32A26D32" w14:textId="77777777" w:rsidR="004A0003" w:rsidRDefault="004A0003" w:rsidP="009833DB">
      <w:pPr>
        <w:spacing w:line="480" w:lineRule="auto"/>
        <w:rPr>
          <w:rFonts w:ascii="Garamond" w:hAnsi="Garamond"/>
          <w:b/>
          <w:bCs/>
          <w:sz w:val="22"/>
          <w:szCs w:val="22"/>
        </w:rPr>
      </w:pPr>
    </w:p>
    <w:p w14:paraId="3C658E27" w14:textId="77777777" w:rsidR="004A0003" w:rsidRDefault="004A0003" w:rsidP="009833DB">
      <w:pPr>
        <w:spacing w:line="480" w:lineRule="auto"/>
        <w:rPr>
          <w:rFonts w:ascii="Garamond" w:hAnsi="Garamond"/>
          <w:b/>
          <w:bCs/>
          <w:sz w:val="22"/>
          <w:szCs w:val="22"/>
        </w:rPr>
      </w:pPr>
    </w:p>
    <w:p w14:paraId="1B967039" w14:textId="77777777" w:rsidR="004A0003" w:rsidRDefault="0019169F" w:rsidP="004A0003">
      <w:pPr>
        <w:spacing w:line="480" w:lineRule="auto"/>
        <w:rPr>
          <w:rFonts w:ascii="Garamond" w:hAnsi="Garamond"/>
          <w:b/>
          <w:bCs/>
          <w:sz w:val="36"/>
          <w:szCs w:val="36"/>
        </w:rPr>
      </w:pPr>
      <w:r w:rsidRPr="004A0003">
        <w:rPr>
          <w:rFonts w:ascii="Garamond" w:hAnsi="Garamond"/>
          <w:b/>
          <w:bCs/>
          <w:sz w:val="36"/>
          <w:szCs w:val="36"/>
        </w:rPr>
        <w:t>Results</w:t>
      </w:r>
    </w:p>
    <w:p w14:paraId="10DADB8B" w14:textId="01898D5A" w:rsidR="00397FF6" w:rsidRPr="004A0003" w:rsidRDefault="00C50733" w:rsidP="004A0003">
      <w:pPr>
        <w:spacing w:line="480" w:lineRule="auto"/>
        <w:rPr>
          <w:rFonts w:ascii="Garamond" w:hAnsi="Garamond"/>
          <w:b/>
          <w:bCs/>
          <w:sz w:val="36"/>
          <w:szCs w:val="36"/>
        </w:rPr>
      </w:pPr>
      <w:r w:rsidRPr="00AD7B82">
        <w:rPr>
          <w:rFonts w:ascii="Garamond" w:hAnsi="Garamond"/>
          <w:b/>
          <w:bCs/>
          <w:sz w:val="22"/>
          <w:szCs w:val="22"/>
        </w:rPr>
        <w:t>T</w:t>
      </w:r>
      <w:r w:rsidR="00397FF6" w:rsidRPr="00AD7B82">
        <w:rPr>
          <w:rFonts w:ascii="Garamond" w:hAnsi="Garamond"/>
          <w:b/>
          <w:bCs/>
          <w:sz w:val="22"/>
          <w:szCs w:val="22"/>
        </w:rPr>
        <w:t xml:space="preserve">rends in stock </w:t>
      </w:r>
      <w:r w:rsidR="006D6AEE">
        <w:rPr>
          <w:rFonts w:ascii="Garamond" w:hAnsi="Garamond"/>
          <w:b/>
          <w:bCs/>
          <w:sz w:val="22"/>
          <w:szCs w:val="22"/>
        </w:rPr>
        <w:t>return timing</w:t>
      </w:r>
      <w:r w:rsidRPr="00AD7B82">
        <w:rPr>
          <w:rFonts w:ascii="Garamond" w:hAnsi="Garamond"/>
          <w:b/>
          <w:bCs/>
          <w:sz w:val="22"/>
          <w:szCs w:val="22"/>
        </w:rPr>
        <w:t xml:space="preserve"> </w:t>
      </w:r>
      <w:r w:rsidR="00536536">
        <w:rPr>
          <w:rFonts w:ascii="Garamond" w:hAnsi="Garamond"/>
          <w:b/>
          <w:bCs/>
          <w:sz w:val="22"/>
          <w:szCs w:val="22"/>
        </w:rPr>
        <w:t xml:space="preserve">within </w:t>
      </w:r>
      <w:r w:rsidR="006D6AEE">
        <w:rPr>
          <w:rFonts w:ascii="Garamond" w:hAnsi="Garamond"/>
          <w:b/>
          <w:bCs/>
          <w:sz w:val="22"/>
          <w:szCs w:val="22"/>
        </w:rPr>
        <w:t>season</w:t>
      </w:r>
    </w:p>
    <w:p w14:paraId="520A88C7" w14:textId="775F31A6" w:rsidR="00121BC7" w:rsidRDefault="00D625F2" w:rsidP="005A53C9">
      <w:pPr>
        <w:pStyle w:val="whitespace-normal"/>
        <w:spacing w:line="480" w:lineRule="auto"/>
        <w:rPr>
          <w:rFonts w:ascii="Garamond" w:hAnsi="Garamond"/>
          <w:sz w:val="22"/>
          <w:szCs w:val="22"/>
        </w:rPr>
      </w:pPr>
      <w:r w:rsidRPr="00AD7B82">
        <w:rPr>
          <w:rFonts w:ascii="Garamond" w:hAnsi="Garamond"/>
          <w:b/>
          <w:bCs/>
          <w:sz w:val="22"/>
          <w:szCs w:val="22"/>
        </w:rPr>
        <w:tab/>
      </w:r>
      <w:r w:rsidR="005C58CB" w:rsidRPr="000C429D">
        <w:rPr>
          <w:rFonts w:ascii="Garamond" w:hAnsi="Garamond"/>
          <w:sz w:val="22"/>
          <w:szCs w:val="22"/>
        </w:rPr>
        <w:t xml:space="preserve">Across all years of our dataset (2017-2021), returns to the 21 stock units exhibited </w:t>
      </w:r>
      <w:r w:rsidR="00C50733" w:rsidRPr="000C429D">
        <w:rPr>
          <w:rFonts w:ascii="Garamond" w:hAnsi="Garamond"/>
          <w:sz w:val="22"/>
          <w:szCs w:val="22"/>
        </w:rPr>
        <w:t>a</w:t>
      </w:r>
      <w:r w:rsidR="005C58CB" w:rsidRPr="000C429D">
        <w:rPr>
          <w:rFonts w:ascii="Garamond" w:hAnsi="Garamond"/>
          <w:sz w:val="22"/>
          <w:szCs w:val="22"/>
        </w:rPr>
        <w:t xml:space="preserve"> </w:t>
      </w:r>
      <w:r w:rsidR="00C50733" w:rsidRPr="000C429D">
        <w:rPr>
          <w:rFonts w:ascii="Garamond" w:hAnsi="Garamond"/>
          <w:sz w:val="22"/>
          <w:szCs w:val="22"/>
        </w:rPr>
        <w:t xml:space="preserve">general transition </w:t>
      </w:r>
      <w:r w:rsidR="005C58CB" w:rsidRPr="000C429D">
        <w:rPr>
          <w:rFonts w:ascii="Garamond" w:hAnsi="Garamond"/>
          <w:sz w:val="22"/>
          <w:szCs w:val="22"/>
        </w:rPr>
        <w:t>from upstream to downstream stock</w:t>
      </w:r>
      <w:r w:rsidR="00C50733" w:rsidRPr="000C429D">
        <w:rPr>
          <w:rFonts w:ascii="Garamond" w:hAnsi="Garamond"/>
          <w:sz w:val="22"/>
          <w:szCs w:val="22"/>
        </w:rPr>
        <w:t>s</w:t>
      </w:r>
      <w:r w:rsidR="005C58CB" w:rsidRPr="000C429D">
        <w:rPr>
          <w:rFonts w:ascii="Garamond" w:hAnsi="Garamond"/>
          <w:sz w:val="22"/>
          <w:szCs w:val="22"/>
        </w:rPr>
        <w:t xml:space="preserve"> as the season progressed. Early season returns (Q1: start of run through June 11) were </w:t>
      </w:r>
      <w:r w:rsidR="00E355B2">
        <w:rPr>
          <w:rFonts w:ascii="Garamond" w:hAnsi="Garamond"/>
          <w:sz w:val="22"/>
          <w:szCs w:val="22"/>
        </w:rPr>
        <w:t xml:space="preserve">driven primarily </w:t>
      </w:r>
      <w:r w:rsidR="005C58CB" w:rsidRPr="000C429D">
        <w:rPr>
          <w:rFonts w:ascii="Garamond" w:hAnsi="Garamond"/>
          <w:sz w:val="22"/>
          <w:szCs w:val="22"/>
        </w:rPr>
        <w:t>by stocks from the upper portions of the watershed</w:t>
      </w:r>
      <w:r w:rsidR="00E355B2">
        <w:rPr>
          <w:rFonts w:ascii="Garamond" w:hAnsi="Garamond"/>
          <w:sz w:val="22"/>
          <w:szCs w:val="22"/>
        </w:rPr>
        <w:t xml:space="preserve"> including</w:t>
      </w:r>
      <w:r w:rsidR="005C58CB" w:rsidRPr="000C429D">
        <w:rPr>
          <w:rFonts w:ascii="Garamond" w:hAnsi="Garamond"/>
          <w:sz w:val="22"/>
          <w:szCs w:val="22"/>
        </w:rPr>
        <w:t xml:space="preserve"> </w:t>
      </w:r>
      <w:r w:rsidR="00121BC7">
        <w:rPr>
          <w:rFonts w:ascii="Garamond" w:hAnsi="Garamond"/>
          <w:sz w:val="22"/>
          <w:szCs w:val="22"/>
        </w:rPr>
        <w:t xml:space="preserve">Big River ( </w:t>
      </w:r>
      <w:r w:rsidR="00E355B2">
        <w:rPr>
          <w:rFonts w:ascii="Garamond" w:hAnsi="Garamond"/>
          <w:sz w:val="22"/>
          <w:szCs w:val="22"/>
        </w:rPr>
        <w:lastRenderedPageBreak/>
        <w:t xml:space="preserve">median 12.8%, range 4.6 – 16.1%), Swift River (median: 11.6%, range 5.7-14.4%), Stony River (median: 10.5%, range 9.6-12.4%), and Upper Kuskokwim Main (median: 8.9%, range 5.5-10.8%). Notably, the uppermost stocks (North, East, and South Fork Kuskokwim) consistently contributed very little (&lt; 2.5%) and the </w:t>
      </w:r>
      <w:proofErr w:type="spellStart"/>
      <w:r w:rsidR="00E355B2">
        <w:rPr>
          <w:rFonts w:ascii="Garamond" w:hAnsi="Garamond"/>
          <w:sz w:val="22"/>
          <w:szCs w:val="22"/>
        </w:rPr>
        <w:t>Takotna</w:t>
      </w:r>
      <w:proofErr w:type="spellEnd"/>
      <w:r w:rsidR="00E355B2">
        <w:rPr>
          <w:rFonts w:ascii="Garamond" w:hAnsi="Garamond"/>
          <w:sz w:val="22"/>
          <w:szCs w:val="22"/>
        </w:rPr>
        <w:t xml:space="preserve"> and Nixon fork and </w:t>
      </w:r>
      <w:proofErr w:type="spellStart"/>
      <w:r w:rsidR="00E355B2">
        <w:rPr>
          <w:rFonts w:ascii="Garamond" w:hAnsi="Garamond"/>
          <w:sz w:val="22"/>
          <w:szCs w:val="22"/>
        </w:rPr>
        <w:t>Tatlawiksuk</w:t>
      </w:r>
      <w:proofErr w:type="spellEnd"/>
      <w:r w:rsidR="00E355B2">
        <w:rPr>
          <w:rFonts w:ascii="Garamond" w:hAnsi="Garamond"/>
          <w:sz w:val="22"/>
          <w:szCs w:val="22"/>
        </w:rPr>
        <w:t xml:space="preserve"> stocks each contributed only modestly (median 3% and 5% respectively) despite their position near the top of the watershed. The second quartile ( </w:t>
      </w:r>
      <w:r w:rsidR="00C10AF2">
        <w:rPr>
          <w:rFonts w:ascii="Garamond" w:hAnsi="Garamond"/>
          <w:sz w:val="22"/>
          <w:szCs w:val="22"/>
        </w:rPr>
        <w:t>June 12</w:t>
      </w:r>
      <w:r w:rsidR="00C10AF2" w:rsidRPr="00C10AF2">
        <w:rPr>
          <w:rFonts w:ascii="Garamond" w:hAnsi="Garamond"/>
          <w:sz w:val="22"/>
          <w:szCs w:val="22"/>
          <w:vertAlign w:val="superscript"/>
        </w:rPr>
        <w:t>th</w:t>
      </w:r>
      <w:r w:rsidR="00C10AF2">
        <w:rPr>
          <w:rFonts w:ascii="Garamond" w:hAnsi="Garamond"/>
          <w:sz w:val="22"/>
          <w:szCs w:val="22"/>
        </w:rPr>
        <w:t xml:space="preserve"> – 21</w:t>
      </w:r>
      <w:r w:rsidR="00C10AF2" w:rsidRPr="00C10AF2">
        <w:rPr>
          <w:rFonts w:ascii="Garamond" w:hAnsi="Garamond"/>
          <w:sz w:val="22"/>
          <w:szCs w:val="22"/>
          <w:vertAlign w:val="superscript"/>
        </w:rPr>
        <w:t>st</w:t>
      </w:r>
      <w:r w:rsidR="00C10AF2">
        <w:rPr>
          <w:rFonts w:ascii="Garamond" w:hAnsi="Garamond"/>
          <w:sz w:val="22"/>
          <w:szCs w:val="22"/>
        </w:rPr>
        <w:t xml:space="preserve">) saw a more even distribution of returns across much of the middle watershed, with Upper Kuskokwim Main, Big River, </w:t>
      </w:r>
      <w:proofErr w:type="spellStart"/>
      <w:r w:rsidR="00C10AF2">
        <w:rPr>
          <w:rFonts w:ascii="Garamond" w:hAnsi="Garamond"/>
          <w:sz w:val="22"/>
          <w:szCs w:val="22"/>
        </w:rPr>
        <w:t>Takotna</w:t>
      </w:r>
      <w:proofErr w:type="spellEnd"/>
      <w:r w:rsidR="00C10AF2">
        <w:rPr>
          <w:rFonts w:ascii="Garamond" w:hAnsi="Garamond"/>
          <w:sz w:val="22"/>
          <w:szCs w:val="22"/>
        </w:rPr>
        <w:t xml:space="preserve"> River and Nixon Fork, Swift River, </w:t>
      </w:r>
      <w:proofErr w:type="spellStart"/>
      <w:r w:rsidR="00C10AF2">
        <w:rPr>
          <w:rFonts w:ascii="Garamond" w:hAnsi="Garamond"/>
          <w:sz w:val="22"/>
          <w:szCs w:val="22"/>
        </w:rPr>
        <w:t>Holitna</w:t>
      </w:r>
      <w:proofErr w:type="spellEnd"/>
      <w:r w:rsidR="00C10AF2">
        <w:rPr>
          <w:rFonts w:ascii="Garamond" w:hAnsi="Garamond"/>
          <w:sz w:val="22"/>
          <w:szCs w:val="22"/>
        </w:rPr>
        <w:t xml:space="preserve"> River, </w:t>
      </w:r>
      <w:proofErr w:type="spellStart"/>
      <w:r w:rsidR="00C10AF2">
        <w:rPr>
          <w:rFonts w:ascii="Garamond" w:hAnsi="Garamond"/>
          <w:sz w:val="22"/>
          <w:szCs w:val="22"/>
        </w:rPr>
        <w:t>Hoholitna</w:t>
      </w:r>
      <w:proofErr w:type="spellEnd"/>
      <w:r w:rsidR="00C10AF2">
        <w:rPr>
          <w:rFonts w:ascii="Garamond" w:hAnsi="Garamond"/>
          <w:sz w:val="22"/>
          <w:szCs w:val="22"/>
        </w:rPr>
        <w:t xml:space="preserve"> River, Middle Kuskokwim Main, Aniak, and </w:t>
      </w:r>
      <w:proofErr w:type="spellStart"/>
      <w:r w:rsidR="00C10AF2">
        <w:rPr>
          <w:rFonts w:ascii="Garamond" w:hAnsi="Garamond"/>
          <w:sz w:val="22"/>
          <w:szCs w:val="22"/>
        </w:rPr>
        <w:t>Kisarlik</w:t>
      </w:r>
      <w:proofErr w:type="spellEnd"/>
      <w:r w:rsidR="00C10AF2">
        <w:rPr>
          <w:rFonts w:ascii="Garamond" w:hAnsi="Garamond"/>
          <w:sz w:val="22"/>
          <w:szCs w:val="22"/>
        </w:rPr>
        <w:t xml:space="preserve"> all contributing between 5 and 10%. Only the Stony River had an average contribution of greater than 10% (median 11.5%) with a relative constrained range (10.7 – 12.2%) indicating consistent contribution to the 2</w:t>
      </w:r>
      <w:r w:rsidR="00C10AF2" w:rsidRPr="00C10AF2">
        <w:rPr>
          <w:rFonts w:ascii="Garamond" w:hAnsi="Garamond"/>
          <w:sz w:val="22"/>
          <w:szCs w:val="22"/>
          <w:vertAlign w:val="superscript"/>
        </w:rPr>
        <w:t>nd</w:t>
      </w:r>
      <w:r w:rsidR="00C10AF2">
        <w:rPr>
          <w:rFonts w:ascii="Garamond" w:hAnsi="Garamond"/>
          <w:sz w:val="22"/>
          <w:szCs w:val="22"/>
        </w:rPr>
        <w:t xml:space="preserve"> quartile. This pattern largely holds in the 3</w:t>
      </w:r>
      <w:r w:rsidR="00C10AF2" w:rsidRPr="00C10AF2">
        <w:rPr>
          <w:rFonts w:ascii="Garamond" w:hAnsi="Garamond"/>
          <w:sz w:val="22"/>
          <w:szCs w:val="22"/>
          <w:vertAlign w:val="superscript"/>
        </w:rPr>
        <w:t>rd</w:t>
      </w:r>
      <w:r w:rsidR="00C10AF2">
        <w:rPr>
          <w:rFonts w:ascii="Garamond" w:hAnsi="Garamond"/>
          <w:sz w:val="22"/>
          <w:szCs w:val="22"/>
        </w:rPr>
        <w:t xml:space="preserve"> quartile (June 22</w:t>
      </w:r>
      <w:r w:rsidR="00C10AF2" w:rsidRPr="00C10AF2">
        <w:rPr>
          <w:rFonts w:ascii="Garamond" w:hAnsi="Garamond"/>
          <w:sz w:val="22"/>
          <w:szCs w:val="22"/>
          <w:vertAlign w:val="superscript"/>
        </w:rPr>
        <w:t>nd</w:t>
      </w:r>
      <w:r w:rsidR="00C10AF2">
        <w:rPr>
          <w:rFonts w:ascii="Garamond" w:hAnsi="Garamond"/>
          <w:sz w:val="22"/>
          <w:szCs w:val="22"/>
        </w:rPr>
        <w:t xml:space="preserve">-July1st) , but with increased contribution from the </w:t>
      </w:r>
      <w:proofErr w:type="spellStart"/>
      <w:r w:rsidR="00C10AF2">
        <w:rPr>
          <w:rFonts w:ascii="Garamond" w:hAnsi="Garamond"/>
          <w:sz w:val="22"/>
          <w:szCs w:val="22"/>
        </w:rPr>
        <w:t>Holitna</w:t>
      </w:r>
      <w:proofErr w:type="spellEnd"/>
      <w:r w:rsidR="00C10AF2">
        <w:rPr>
          <w:rFonts w:ascii="Garamond" w:hAnsi="Garamond"/>
          <w:sz w:val="22"/>
          <w:szCs w:val="22"/>
        </w:rPr>
        <w:t xml:space="preserve"> River (median; 10.4%, range 9.5-13.6%), </w:t>
      </w:r>
      <w:proofErr w:type="spellStart"/>
      <w:r w:rsidR="00C10AF2">
        <w:rPr>
          <w:rFonts w:ascii="Garamond" w:hAnsi="Garamond"/>
          <w:sz w:val="22"/>
          <w:szCs w:val="22"/>
        </w:rPr>
        <w:t>Hoholitna</w:t>
      </w:r>
      <w:proofErr w:type="spellEnd"/>
      <w:r w:rsidR="00C10AF2">
        <w:rPr>
          <w:rFonts w:ascii="Garamond" w:hAnsi="Garamond"/>
          <w:sz w:val="22"/>
          <w:szCs w:val="22"/>
        </w:rPr>
        <w:t xml:space="preserve"> River (median 9.6%, range 8.8-12.2%), and Aniak river (median 8.2%, range 5.7-10.1%). </w:t>
      </w:r>
      <w:proofErr w:type="spellStart"/>
      <w:r w:rsidR="002D12FE">
        <w:rPr>
          <w:rFonts w:ascii="Garamond" w:hAnsi="Garamond"/>
          <w:sz w:val="22"/>
          <w:szCs w:val="22"/>
        </w:rPr>
        <w:t>lLate</w:t>
      </w:r>
      <w:proofErr w:type="spellEnd"/>
      <w:r w:rsidR="002D12FE">
        <w:rPr>
          <w:rFonts w:ascii="Garamond" w:hAnsi="Garamond"/>
          <w:sz w:val="22"/>
          <w:szCs w:val="22"/>
        </w:rPr>
        <w:t xml:space="preserve"> season returns (July 2</w:t>
      </w:r>
      <w:r w:rsidR="002D12FE" w:rsidRPr="002D12FE">
        <w:rPr>
          <w:rFonts w:ascii="Garamond" w:hAnsi="Garamond"/>
          <w:sz w:val="22"/>
          <w:szCs w:val="22"/>
          <w:vertAlign w:val="superscript"/>
        </w:rPr>
        <w:t>nd</w:t>
      </w:r>
      <w:r w:rsidR="002D12FE">
        <w:rPr>
          <w:rFonts w:ascii="Garamond" w:hAnsi="Garamond"/>
          <w:sz w:val="22"/>
          <w:szCs w:val="22"/>
        </w:rPr>
        <w:t xml:space="preserve"> onward) displayed further decreasing contribution from Upper Kuskokwim stocks (</w:t>
      </w:r>
      <w:proofErr w:type="spellStart"/>
      <w:r w:rsidR="002D12FE">
        <w:rPr>
          <w:rFonts w:ascii="Garamond" w:hAnsi="Garamond"/>
          <w:sz w:val="22"/>
          <w:szCs w:val="22"/>
        </w:rPr>
        <w:t>i.e</w:t>
      </w:r>
      <w:proofErr w:type="spellEnd"/>
      <w:r w:rsidR="002D12FE">
        <w:rPr>
          <w:rFonts w:ascii="Garamond" w:hAnsi="Garamond"/>
          <w:sz w:val="22"/>
          <w:szCs w:val="22"/>
        </w:rPr>
        <w:t xml:space="preserve"> Upper Kuskokwim Main, Big River, </w:t>
      </w:r>
      <w:proofErr w:type="spellStart"/>
      <w:r w:rsidR="002D12FE">
        <w:rPr>
          <w:rFonts w:ascii="Garamond" w:hAnsi="Garamond"/>
          <w:sz w:val="22"/>
          <w:szCs w:val="22"/>
        </w:rPr>
        <w:t>Takotna</w:t>
      </w:r>
      <w:proofErr w:type="spellEnd"/>
      <w:r w:rsidR="002D12FE">
        <w:rPr>
          <w:rFonts w:ascii="Garamond" w:hAnsi="Garamond"/>
          <w:sz w:val="22"/>
          <w:szCs w:val="22"/>
        </w:rPr>
        <w:t xml:space="preserve"> River and Nixon Fork, </w:t>
      </w:r>
      <w:proofErr w:type="spellStart"/>
      <w:r w:rsidR="002D12FE">
        <w:rPr>
          <w:rFonts w:ascii="Garamond" w:hAnsi="Garamond"/>
          <w:sz w:val="22"/>
          <w:szCs w:val="22"/>
        </w:rPr>
        <w:t>Tatlawiksuk</w:t>
      </w:r>
      <w:proofErr w:type="spellEnd"/>
      <w:r w:rsidR="002D12FE">
        <w:rPr>
          <w:rFonts w:ascii="Garamond" w:hAnsi="Garamond"/>
          <w:sz w:val="22"/>
          <w:szCs w:val="22"/>
        </w:rPr>
        <w:t xml:space="preserve"> River, and Swift River). The </w:t>
      </w:r>
      <w:proofErr w:type="spellStart"/>
      <w:r w:rsidR="002D12FE">
        <w:rPr>
          <w:rFonts w:ascii="Garamond" w:hAnsi="Garamond"/>
          <w:sz w:val="22"/>
          <w:szCs w:val="22"/>
        </w:rPr>
        <w:t>Hoholitna</w:t>
      </w:r>
      <w:proofErr w:type="spellEnd"/>
      <w:r w:rsidR="002D12FE">
        <w:rPr>
          <w:rFonts w:ascii="Garamond" w:hAnsi="Garamond"/>
          <w:sz w:val="22"/>
          <w:szCs w:val="22"/>
        </w:rPr>
        <w:t xml:space="preserve"> and Middle Kuskokwim River saw slight decreases and increases in contribution, respectively, but with </w:t>
      </w:r>
      <w:r w:rsidR="00536536">
        <w:rPr>
          <w:rFonts w:ascii="Garamond" w:hAnsi="Garamond"/>
          <w:sz w:val="22"/>
          <w:szCs w:val="22"/>
        </w:rPr>
        <w:t xml:space="preserve">an associated </w:t>
      </w:r>
      <w:r w:rsidR="002D12FE">
        <w:rPr>
          <w:rFonts w:ascii="Garamond" w:hAnsi="Garamond"/>
          <w:sz w:val="22"/>
          <w:szCs w:val="22"/>
        </w:rPr>
        <w:t xml:space="preserve">increase in range indicating variability </w:t>
      </w:r>
      <w:r w:rsidR="00536536">
        <w:rPr>
          <w:rFonts w:ascii="Garamond" w:hAnsi="Garamond"/>
          <w:sz w:val="22"/>
          <w:szCs w:val="22"/>
        </w:rPr>
        <w:t xml:space="preserve">across </w:t>
      </w:r>
      <w:r w:rsidR="002D12FE">
        <w:rPr>
          <w:rFonts w:ascii="Garamond" w:hAnsi="Garamond"/>
          <w:sz w:val="22"/>
          <w:szCs w:val="22"/>
        </w:rPr>
        <w:t>the dataset. Contribution from the Aniak</w:t>
      </w:r>
      <w:r w:rsidR="00536536">
        <w:rPr>
          <w:rFonts w:ascii="Garamond" w:hAnsi="Garamond"/>
          <w:sz w:val="22"/>
          <w:szCs w:val="22"/>
        </w:rPr>
        <w:t xml:space="preserve"> (median; 11.6%), </w:t>
      </w:r>
      <w:proofErr w:type="spellStart"/>
      <w:r w:rsidR="002D12FE">
        <w:rPr>
          <w:rFonts w:ascii="Garamond" w:hAnsi="Garamond"/>
          <w:sz w:val="22"/>
          <w:szCs w:val="22"/>
        </w:rPr>
        <w:t>Tuluksak</w:t>
      </w:r>
      <w:proofErr w:type="spellEnd"/>
      <w:r w:rsidR="00536536">
        <w:rPr>
          <w:rFonts w:ascii="Garamond" w:hAnsi="Garamond"/>
          <w:sz w:val="22"/>
          <w:szCs w:val="22"/>
        </w:rPr>
        <w:t xml:space="preserve"> (median; 6.1%) </w:t>
      </w:r>
      <w:r w:rsidR="002D12FE">
        <w:rPr>
          <w:rFonts w:ascii="Garamond" w:hAnsi="Garamond"/>
          <w:sz w:val="22"/>
          <w:szCs w:val="22"/>
        </w:rPr>
        <w:t xml:space="preserve">, </w:t>
      </w:r>
      <w:proofErr w:type="spellStart"/>
      <w:r w:rsidR="002D12FE">
        <w:rPr>
          <w:rFonts w:ascii="Garamond" w:hAnsi="Garamond"/>
          <w:sz w:val="22"/>
          <w:szCs w:val="22"/>
        </w:rPr>
        <w:t>Kisaralik</w:t>
      </w:r>
      <w:proofErr w:type="spellEnd"/>
      <w:r w:rsidR="00536536">
        <w:rPr>
          <w:rFonts w:ascii="Garamond" w:hAnsi="Garamond"/>
          <w:sz w:val="22"/>
          <w:szCs w:val="22"/>
        </w:rPr>
        <w:t xml:space="preserve"> (median 8.2%) </w:t>
      </w:r>
      <w:r w:rsidR="002D12FE">
        <w:rPr>
          <w:rFonts w:ascii="Garamond" w:hAnsi="Garamond"/>
          <w:sz w:val="22"/>
          <w:szCs w:val="22"/>
        </w:rPr>
        <w:t>and Kwethluk</w:t>
      </w:r>
      <w:r w:rsidR="00536536">
        <w:rPr>
          <w:rFonts w:ascii="Garamond" w:hAnsi="Garamond"/>
          <w:sz w:val="22"/>
          <w:szCs w:val="22"/>
        </w:rPr>
        <w:t xml:space="preserve"> (median 6.7%) </w:t>
      </w:r>
      <w:r w:rsidR="002D12FE">
        <w:rPr>
          <w:rFonts w:ascii="Garamond" w:hAnsi="Garamond"/>
          <w:sz w:val="22"/>
          <w:szCs w:val="22"/>
        </w:rPr>
        <w:t xml:space="preserve"> all reached their peak contribution during this period, consistent with late returns for stocks in the lower portion of the watershed. </w:t>
      </w:r>
    </w:p>
    <w:p w14:paraId="708701AB" w14:textId="5FFD1590" w:rsidR="006D6AEE" w:rsidRDefault="00536536" w:rsidP="006D6AEE">
      <w:pPr>
        <w:pStyle w:val="whitespace-normal"/>
        <w:spacing w:line="480" w:lineRule="auto"/>
        <w:ind w:firstLine="720"/>
        <w:rPr>
          <w:rFonts w:ascii="Garamond" w:hAnsi="Garamond"/>
          <w:sz w:val="22"/>
          <w:szCs w:val="22"/>
        </w:rPr>
      </w:pPr>
      <w:r w:rsidRPr="00536536">
        <w:rPr>
          <w:rFonts w:ascii="Garamond" w:hAnsi="Garamond"/>
          <w:sz w:val="22"/>
          <w:szCs w:val="22"/>
        </w:rPr>
        <w:t xml:space="preserve">Cumulative distribution plots </w:t>
      </w:r>
      <w:r w:rsidR="006D6AEE">
        <w:rPr>
          <w:rFonts w:ascii="Garamond" w:hAnsi="Garamond"/>
          <w:sz w:val="22"/>
          <w:szCs w:val="22"/>
        </w:rPr>
        <w:t xml:space="preserve">(Figure 4) </w:t>
      </w:r>
      <w:r w:rsidRPr="00536536">
        <w:rPr>
          <w:rFonts w:ascii="Garamond" w:hAnsi="Garamond"/>
          <w:sz w:val="22"/>
          <w:szCs w:val="22"/>
        </w:rPr>
        <w:t>corroborated the a</w:t>
      </w:r>
      <w:r>
        <w:rPr>
          <w:rFonts w:ascii="Garamond" w:hAnsi="Garamond"/>
          <w:sz w:val="22"/>
          <w:szCs w:val="22"/>
        </w:rPr>
        <w:t xml:space="preserve">bove </w:t>
      </w:r>
      <w:r w:rsidR="004A0003">
        <w:rPr>
          <w:rFonts w:ascii="Garamond" w:hAnsi="Garamond"/>
          <w:sz w:val="22"/>
          <w:szCs w:val="22"/>
        </w:rPr>
        <w:t>patterns but</w:t>
      </w:r>
      <w:r>
        <w:rPr>
          <w:rFonts w:ascii="Garamond" w:hAnsi="Garamond"/>
          <w:sz w:val="22"/>
          <w:szCs w:val="22"/>
        </w:rPr>
        <w:t xml:space="preserve"> illustrated </w:t>
      </w:r>
      <w:r w:rsidR="00CF03CC" w:rsidRPr="00AD7B82">
        <w:rPr>
          <w:rFonts w:ascii="Garamond" w:hAnsi="Garamond"/>
          <w:sz w:val="22"/>
          <w:szCs w:val="22"/>
        </w:rPr>
        <w:t xml:space="preserve">variation in run timing among stocks at a finer </w:t>
      </w:r>
      <w:r>
        <w:rPr>
          <w:rFonts w:ascii="Garamond" w:hAnsi="Garamond"/>
          <w:sz w:val="22"/>
          <w:szCs w:val="22"/>
        </w:rPr>
        <w:t xml:space="preserve">temporal scale and independent of the total contribution of each stock to the overall run. </w:t>
      </w:r>
      <w:r w:rsidR="004A0003" w:rsidRPr="004A0003">
        <w:rPr>
          <w:rFonts w:ascii="Garamond" w:hAnsi="Garamond"/>
          <w:sz w:val="22"/>
          <w:szCs w:val="22"/>
          <w:highlight w:val="yellow"/>
        </w:rPr>
        <w:t>The results display a clear pattern of earliest returning stocks (closer to red) arriving earlier in the season, with 50% of the run for stocks such as the East Fork Kuskokwim and Big River arriving within X days of the start of the run.</w:t>
      </w:r>
      <w:r w:rsidR="004A0003">
        <w:rPr>
          <w:rFonts w:ascii="Garamond" w:hAnsi="Garamond"/>
          <w:sz w:val="22"/>
          <w:szCs w:val="22"/>
        </w:rPr>
        <w:t xml:space="preserve"> In contrast, lower Kuskokwim stocks arrive later in the season, with stocks such as the </w:t>
      </w:r>
      <w:proofErr w:type="spellStart"/>
      <w:r w:rsidR="004A0003">
        <w:rPr>
          <w:rFonts w:ascii="Garamond" w:hAnsi="Garamond"/>
          <w:sz w:val="22"/>
          <w:szCs w:val="22"/>
        </w:rPr>
        <w:t>Hoholitna</w:t>
      </w:r>
      <w:proofErr w:type="spellEnd"/>
      <w:r w:rsidR="004A0003">
        <w:rPr>
          <w:rFonts w:ascii="Garamond" w:hAnsi="Garamond"/>
          <w:sz w:val="22"/>
          <w:szCs w:val="22"/>
        </w:rPr>
        <w:t xml:space="preserve"> and Aniak river reaching 50% of their total run nearly X days from the start of the season. </w:t>
      </w:r>
      <w:r w:rsidR="006D6AEE">
        <w:rPr>
          <w:rFonts w:ascii="Garamond" w:hAnsi="Garamond"/>
          <w:sz w:val="22"/>
          <w:szCs w:val="22"/>
        </w:rPr>
        <w:t xml:space="preserve">Some variability in this pattern does exist. In 2020, for example, a few of the middle Kuskokwim stocks </w:t>
      </w:r>
      <w:r w:rsidR="006D6AEE">
        <w:rPr>
          <w:rFonts w:ascii="Garamond" w:hAnsi="Garamond"/>
          <w:sz w:val="22"/>
          <w:szCs w:val="22"/>
        </w:rPr>
        <w:lastRenderedPageBreak/>
        <w:t xml:space="preserve">(yellow or orange) appear to arrive after that of the lowest Kuskokwim stocks. However, the general downstream trajectory of returning stocks remains consistent across our dataset independent of the relative </w:t>
      </w:r>
      <w:r w:rsidR="00470C70">
        <w:rPr>
          <w:rFonts w:ascii="Garamond" w:hAnsi="Garamond"/>
          <w:sz w:val="22"/>
          <w:szCs w:val="22"/>
        </w:rPr>
        <w:t xml:space="preserve">timing </w:t>
      </w:r>
      <w:r w:rsidR="00470C70" w:rsidRPr="00AD7B82">
        <w:rPr>
          <w:rFonts w:ascii="Garamond" w:hAnsi="Garamond"/>
          <w:sz w:val="22"/>
          <w:szCs w:val="22"/>
        </w:rPr>
        <w:t>(</w:t>
      </w:r>
      <w:r w:rsidR="00CF03CC" w:rsidRPr="00AD7B82">
        <w:rPr>
          <w:rFonts w:ascii="Garamond" w:hAnsi="Garamond"/>
          <w:sz w:val="22"/>
          <w:szCs w:val="22"/>
        </w:rPr>
        <w:t>i.e. early returning vs late returning</w:t>
      </w:r>
      <w:r w:rsidR="006D6AEE">
        <w:rPr>
          <w:rFonts w:ascii="Garamond" w:hAnsi="Garamond"/>
          <w:sz w:val="22"/>
          <w:szCs w:val="22"/>
        </w:rPr>
        <w:t>) or duration (</w:t>
      </w:r>
      <w:r w:rsidR="001419E1" w:rsidRPr="00AD7B82">
        <w:rPr>
          <w:rFonts w:ascii="Garamond" w:hAnsi="Garamond"/>
          <w:sz w:val="22"/>
          <w:szCs w:val="22"/>
        </w:rPr>
        <w:t xml:space="preserve">protracted </w:t>
      </w:r>
      <w:r w:rsidR="00CF03CC" w:rsidRPr="00AD7B82">
        <w:rPr>
          <w:rFonts w:ascii="Garamond" w:hAnsi="Garamond"/>
          <w:sz w:val="22"/>
          <w:szCs w:val="22"/>
        </w:rPr>
        <w:t xml:space="preserve">vs </w:t>
      </w:r>
      <w:proofErr w:type="spellStart"/>
      <w:r w:rsidR="001419E1" w:rsidRPr="00AD7B82">
        <w:rPr>
          <w:rFonts w:ascii="Garamond" w:hAnsi="Garamond"/>
          <w:sz w:val="22"/>
          <w:szCs w:val="22"/>
        </w:rPr>
        <w:t>e</w:t>
      </w:r>
      <w:r w:rsidR="00470C70" w:rsidRPr="00AD7B82">
        <w:rPr>
          <w:rFonts w:ascii="Garamond" w:hAnsi="Garamond"/>
          <w:sz w:val="22"/>
          <w:szCs w:val="22"/>
        </w:rPr>
        <w:t>extended</w:t>
      </w:r>
      <w:proofErr w:type="spellEnd"/>
      <w:r w:rsidR="00470C70" w:rsidRPr="00AD7B82">
        <w:rPr>
          <w:rFonts w:ascii="Garamond" w:hAnsi="Garamond"/>
          <w:sz w:val="22"/>
          <w:szCs w:val="22"/>
        </w:rPr>
        <w:t>)</w:t>
      </w:r>
      <w:r w:rsidR="00470C70">
        <w:rPr>
          <w:rFonts w:ascii="Garamond" w:hAnsi="Garamond"/>
          <w:sz w:val="22"/>
          <w:szCs w:val="22"/>
        </w:rPr>
        <w:t xml:space="preserve"> </w:t>
      </w:r>
      <w:r w:rsidR="006D6AEE">
        <w:rPr>
          <w:rFonts w:ascii="Garamond" w:hAnsi="Garamond"/>
          <w:sz w:val="22"/>
          <w:szCs w:val="22"/>
        </w:rPr>
        <w:t xml:space="preserve">of the run. </w:t>
      </w:r>
    </w:p>
    <w:p w14:paraId="425125A7" w14:textId="3D2EEC4D" w:rsidR="00397FF6" w:rsidRPr="006D6AEE" w:rsidRDefault="00397FF6" w:rsidP="006D6AEE">
      <w:pPr>
        <w:pStyle w:val="whitespace-normal"/>
        <w:spacing w:line="480" w:lineRule="auto"/>
        <w:rPr>
          <w:rFonts w:ascii="Garamond" w:hAnsi="Garamond"/>
          <w:sz w:val="22"/>
          <w:szCs w:val="22"/>
        </w:rPr>
      </w:pPr>
      <w:r w:rsidRPr="00354EC0">
        <w:rPr>
          <w:rFonts w:ascii="Garamond" w:hAnsi="Garamond"/>
          <w:b/>
          <w:bCs/>
          <w:sz w:val="20"/>
          <w:szCs w:val="20"/>
        </w:rPr>
        <w:t xml:space="preserve">Front end closure protections </w:t>
      </w:r>
    </w:p>
    <w:p w14:paraId="712E1576" w14:textId="10A4AA07" w:rsidR="00470C70" w:rsidRDefault="00470C70" w:rsidP="00966E61">
      <w:pPr>
        <w:pStyle w:val="whitespace-normal"/>
        <w:spacing w:line="480" w:lineRule="auto"/>
        <w:ind w:firstLine="720"/>
        <w:rPr>
          <w:rFonts w:ascii="Garamond" w:hAnsi="Garamond"/>
          <w:sz w:val="22"/>
          <w:szCs w:val="22"/>
        </w:rPr>
      </w:pPr>
      <w:r>
        <w:rPr>
          <w:rFonts w:ascii="Garamond" w:hAnsi="Garamond"/>
          <w:sz w:val="22"/>
          <w:szCs w:val="22"/>
        </w:rPr>
        <w:t>A pattern of early returning upper Kuskokwim stocks clearly affords higher protection to these stocks from a front end closure ending on June 12</w:t>
      </w:r>
      <w:r w:rsidRPr="00470C70">
        <w:rPr>
          <w:rFonts w:ascii="Garamond" w:hAnsi="Garamond"/>
          <w:sz w:val="22"/>
          <w:szCs w:val="22"/>
          <w:vertAlign w:val="superscript"/>
        </w:rPr>
        <w:t>th</w:t>
      </w:r>
      <w:r>
        <w:rPr>
          <w:rFonts w:ascii="Garamond" w:hAnsi="Garamond"/>
          <w:sz w:val="22"/>
          <w:szCs w:val="22"/>
        </w:rPr>
        <w:t xml:space="preserve">.  Nearly all stocks upstream of Swift River received median protection &gt;10% of the total stock contribution across all years of our dataset, with several notable </w:t>
      </w:r>
      <w:proofErr w:type="spellStart"/>
      <w:r>
        <w:rPr>
          <w:rFonts w:ascii="Garamond" w:hAnsi="Garamond"/>
          <w:sz w:val="22"/>
          <w:szCs w:val="22"/>
        </w:rPr>
        <w:t>outlkiers</w:t>
      </w:r>
      <w:proofErr w:type="spellEnd"/>
      <w:r>
        <w:rPr>
          <w:rFonts w:ascii="Garamond" w:hAnsi="Garamond"/>
          <w:sz w:val="22"/>
          <w:szCs w:val="22"/>
        </w:rPr>
        <w:t xml:space="preserve"> &gt;30% protection in some years. An exception is the </w:t>
      </w:r>
      <w:proofErr w:type="spellStart"/>
      <w:r>
        <w:rPr>
          <w:rFonts w:ascii="Garamond" w:hAnsi="Garamond"/>
          <w:sz w:val="22"/>
          <w:szCs w:val="22"/>
        </w:rPr>
        <w:t>Takotna</w:t>
      </w:r>
      <w:proofErr w:type="spellEnd"/>
      <w:r>
        <w:rPr>
          <w:rFonts w:ascii="Garamond" w:hAnsi="Garamond"/>
          <w:sz w:val="22"/>
          <w:szCs w:val="22"/>
        </w:rPr>
        <w:t xml:space="preserve"> river and Nixon Fork stocks, which received a median protection of only 6.6%. Several stocks which contribute only minimally to the overall run are afforded significant protection. For example, although the East Fork Kuskokwim contributes minimally to the total run</w:t>
      </w:r>
      <w:r w:rsidR="00DC75BB" w:rsidRPr="000C429D">
        <w:rPr>
          <w:rFonts w:ascii="Garamond" w:hAnsi="Garamond"/>
          <w:sz w:val="22"/>
          <w:szCs w:val="22"/>
        </w:rPr>
        <w:t xml:space="preserve"> (~2-3% annually), approximately one-quarter of its total returns are protected by a front-end closure. </w:t>
      </w:r>
      <w:r>
        <w:rPr>
          <w:rFonts w:ascii="Garamond" w:hAnsi="Garamond"/>
          <w:sz w:val="22"/>
          <w:szCs w:val="22"/>
        </w:rPr>
        <w:t xml:space="preserve">Stocks positioned lower in the watershed received less protection due to their generally late arrival, with all stocks downstream or the Swift River receiving </w:t>
      </w:r>
      <w:r w:rsidR="00966E61">
        <w:rPr>
          <w:rFonts w:ascii="Garamond" w:hAnsi="Garamond"/>
          <w:sz w:val="22"/>
          <w:szCs w:val="22"/>
        </w:rPr>
        <w:t xml:space="preserve">median protection of less than 10%. The stony and </w:t>
      </w:r>
      <w:proofErr w:type="spellStart"/>
      <w:r w:rsidR="00966E61">
        <w:rPr>
          <w:rFonts w:ascii="Garamond" w:hAnsi="Garamond"/>
          <w:sz w:val="22"/>
          <w:szCs w:val="22"/>
        </w:rPr>
        <w:t>Hoholitna</w:t>
      </w:r>
      <w:proofErr w:type="spellEnd"/>
      <w:r w:rsidR="00966E61">
        <w:rPr>
          <w:rFonts w:ascii="Garamond" w:hAnsi="Garamond"/>
          <w:sz w:val="22"/>
          <w:szCs w:val="22"/>
        </w:rPr>
        <w:t xml:space="preserve"> River stocks, however, contain outliers of 22.1% and 18.4%, indicating that a front end closure may afford these stocks substantial protection in some years. </w:t>
      </w:r>
    </w:p>
    <w:p w14:paraId="3CB3724D" w14:textId="77777777" w:rsidR="00966E61" w:rsidRDefault="00966E61" w:rsidP="00397FF6">
      <w:pPr>
        <w:pStyle w:val="whitespace-normal"/>
        <w:spacing w:line="480" w:lineRule="auto"/>
        <w:rPr>
          <w:rFonts w:ascii="Garamond" w:hAnsi="Garamond"/>
          <w:sz w:val="22"/>
          <w:szCs w:val="22"/>
        </w:rPr>
      </w:pPr>
    </w:p>
    <w:p w14:paraId="67527FF1" w14:textId="77777777" w:rsidR="00966E61" w:rsidRDefault="00966E61" w:rsidP="00397FF6">
      <w:pPr>
        <w:pStyle w:val="whitespace-normal"/>
        <w:spacing w:line="480" w:lineRule="auto"/>
        <w:rPr>
          <w:rFonts w:ascii="Garamond" w:hAnsi="Garamond"/>
          <w:sz w:val="22"/>
          <w:szCs w:val="22"/>
        </w:rPr>
      </w:pPr>
    </w:p>
    <w:p w14:paraId="558FF82F" w14:textId="77777777" w:rsidR="00966E61" w:rsidRDefault="000854BE" w:rsidP="00F55974">
      <w:pPr>
        <w:pStyle w:val="whitespace-normal"/>
        <w:spacing w:line="480" w:lineRule="auto"/>
        <w:rPr>
          <w:rFonts w:ascii="Garamond" w:hAnsi="Garamond"/>
          <w:b/>
          <w:bCs/>
          <w:sz w:val="32"/>
          <w:szCs w:val="32"/>
          <w:u w:val="single"/>
        </w:rPr>
      </w:pPr>
      <w:r w:rsidRPr="00966E61">
        <w:rPr>
          <w:rFonts w:ascii="Garamond" w:hAnsi="Garamond"/>
          <w:b/>
          <w:bCs/>
          <w:sz w:val="32"/>
          <w:szCs w:val="32"/>
          <w:u w:val="single"/>
        </w:rPr>
        <w:t>Discussion</w:t>
      </w:r>
    </w:p>
    <w:p w14:paraId="3D7CB943" w14:textId="7935EA4D" w:rsidR="006101C3" w:rsidRDefault="00D0546A" w:rsidP="006101C3">
      <w:pPr>
        <w:pStyle w:val="whitespace-normal"/>
        <w:spacing w:line="480" w:lineRule="auto"/>
        <w:ind w:firstLine="720"/>
        <w:rPr>
          <w:rFonts w:ascii="Garamond" w:hAnsi="Garamond"/>
          <w:sz w:val="22"/>
          <w:szCs w:val="22"/>
        </w:rPr>
      </w:pPr>
      <w:r w:rsidRPr="00D0546A">
        <w:rPr>
          <w:rFonts w:ascii="Garamond" w:hAnsi="Garamond"/>
          <w:sz w:val="22"/>
          <w:szCs w:val="22"/>
        </w:rPr>
        <w:t>Our analysis reveals consistent spatiotemporal patterns of Chinook salmon migration timing across the Kuskokwim River basin</w:t>
      </w:r>
      <w:r>
        <w:rPr>
          <w:rFonts w:ascii="Garamond" w:hAnsi="Garamond"/>
          <w:sz w:val="22"/>
          <w:szCs w:val="22"/>
        </w:rPr>
        <w:t xml:space="preserve"> </w:t>
      </w:r>
      <w:r w:rsidR="00F55974" w:rsidRPr="00717B12">
        <w:rPr>
          <w:rFonts w:ascii="Garamond" w:hAnsi="Garamond"/>
          <w:sz w:val="22"/>
          <w:szCs w:val="22"/>
        </w:rPr>
        <w:t xml:space="preserve">over several years and </w:t>
      </w:r>
      <w:commentRangeStart w:id="20"/>
      <w:r w:rsidR="00F55974" w:rsidRPr="00717B12">
        <w:rPr>
          <w:rFonts w:ascii="Garamond" w:hAnsi="Garamond"/>
          <w:sz w:val="22"/>
          <w:szCs w:val="22"/>
        </w:rPr>
        <w:t xml:space="preserve">at a finer spatial scale </w:t>
      </w:r>
      <w:commentRangeEnd w:id="20"/>
      <w:r w:rsidR="00966E61">
        <w:rPr>
          <w:rStyle w:val="CommentReference"/>
          <w:rFonts w:asciiTheme="minorHAnsi" w:eastAsiaTheme="minorHAnsi" w:hAnsiTheme="minorHAnsi" w:cstheme="minorBidi"/>
          <w:kern w:val="2"/>
          <w14:ligatures w14:val="standardContextual"/>
        </w:rPr>
        <w:commentReference w:id="20"/>
      </w:r>
      <w:r w:rsidR="00F55974" w:rsidRPr="00717B12">
        <w:rPr>
          <w:rFonts w:ascii="Garamond" w:hAnsi="Garamond"/>
          <w:sz w:val="22"/>
          <w:szCs w:val="22"/>
        </w:rPr>
        <w:t>than previously available</w:t>
      </w:r>
      <w:r w:rsidR="00966E61">
        <w:rPr>
          <w:rFonts w:ascii="Garamond" w:hAnsi="Garamond"/>
          <w:sz w:val="22"/>
          <w:szCs w:val="22"/>
        </w:rPr>
        <w:t xml:space="preserve">. </w:t>
      </w:r>
      <w:r w:rsidR="00FB3E37">
        <w:rPr>
          <w:rFonts w:ascii="Garamond" w:hAnsi="Garamond"/>
          <w:sz w:val="22"/>
          <w:szCs w:val="22"/>
        </w:rPr>
        <w:t>Although these</w:t>
      </w:r>
      <w:r w:rsidR="00717B12">
        <w:rPr>
          <w:rFonts w:ascii="Garamond" w:hAnsi="Garamond"/>
          <w:sz w:val="22"/>
          <w:szCs w:val="22"/>
        </w:rPr>
        <w:t xml:space="preserve"> pattern</w:t>
      </w:r>
      <w:r w:rsidR="00FB3E37">
        <w:rPr>
          <w:rFonts w:ascii="Garamond" w:hAnsi="Garamond"/>
          <w:sz w:val="22"/>
          <w:szCs w:val="22"/>
        </w:rPr>
        <w:t>s</w:t>
      </w:r>
      <w:r w:rsidR="00717B12">
        <w:rPr>
          <w:rFonts w:ascii="Garamond" w:hAnsi="Garamond"/>
          <w:sz w:val="22"/>
          <w:szCs w:val="22"/>
        </w:rPr>
        <w:t xml:space="preserve"> ha</w:t>
      </w:r>
      <w:r w:rsidR="00FB3E37">
        <w:rPr>
          <w:rFonts w:ascii="Garamond" w:hAnsi="Garamond"/>
          <w:sz w:val="22"/>
          <w:szCs w:val="22"/>
        </w:rPr>
        <w:t>ve</w:t>
      </w:r>
      <w:r w:rsidR="00717B12">
        <w:rPr>
          <w:rFonts w:ascii="Garamond" w:hAnsi="Garamond"/>
          <w:sz w:val="22"/>
          <w:szCs w:val="22"/>
        </w:rPr>
        <w:t xml:space="preserve"> been </w:t>
      </w:r>
      <w:r w:rsidR="00FB3E37">
        <w:rPr>
          <w:rFonts w:ascii="Garamond" w:hAnsi="Garamond"/>
          <w:sz w:val="22"/>
          <w:szCs w:val="22"/>
        </w:rPr>
        <w:t xml:space="preserve">suggested previously </w:t>
      </w:r>
      <w:r w:rsidR="00966E61">
        <w:rPr>
          <w:rFonts w:ascii="Garamond" w:hAnsi="Garamond"/>
          <w:sz w:val="22"/>
          <w:szCs w:val="22"/>
        </w:rPr>
        <w:t>the findings presented here demonstrate the consistency of which this</w:t>
      </w:r>
      <w:r w:rsidR="00FB3E37">
        <w:rPr>
          <w:rFonts w:ascii="Garamond" w:hAnsi="Garamond"/>
          <w:sz w:val="22"/>
          <w:szCs w:val="22"/>
        </w:rPr>
        <w:t xml:space="preserve"> ecological</w:t>
      </w:r>
      <w:r w:rsidR="00966E61">
        <w:rPr>
          <w:rFonts w:ascii="Garamond" w:hAnsi="Garamond"/>
          <w:sz w:val="22"/>
          <w:szCs w:val="22"/>
        </w:rPr>
        <w:t xml:space="preserve"> pattern plays out over several years </w:t>
      </w:r>
      <w:r w:rsidR="00FB3E37">
        <w:rPr>
          <w:rFonts w:ascii="Garamond" w:hAnsi="Garamond"/>
          <w:sz w:val="22"/>
          <w:szCs w:val="22"/>
        </w:rPr>
        <w:t xml:space="preserve">and in returns with variable run timing and duration. </w:t>
      </w:r>
      <w:r w:rsidR="008F2118" w:rsidRPr="008F2118">
        <w:rPr>
          <w:rFonts w:ascii="Garamond" w:hAnsi="Garamond"/>
          <w:sz w:val="22"/>
          <w:szCs w:val="22"/>
        </w:rPr>
        <w:lastRenderedPageBreak/>
        <w:t xml:space="preserve">Absent targeted management, upper Kuskokwim stocks remain among the most vulnerable to overharvest due to the timing of their returns. Importantly, because downstream dynamics reflect the aggregate behavior of upstream metapopulations, the health of these upper-basin stocks plays a disproportionate role in supporting stability and opportunity for downstream fisheries. In addition, these stocks are critical subsistence resources for upstream communities such as </w:t>
      </w:r>
      <w:proofErr w:type="spellStart"/>
      <w:r w:rsidR="008F2118" w:rsidRPr="008F2118">
        <w:rPr>
          <w:rFonts w:ascii="Garamond" w:hAnsi="Garamond"/>
          <w:sz w:val="22"/>
          <w:szCs w:val="22"/>
        </w:rPr>
        <w:t>Takotna</w:t>
      </w:r>
      <w:proofErr w:type="spellEnd"/>
      <w:r w:rsidR="008F2118" w:rsidRPr="008F2118">
        <w:rPr>
          <w:rFonts w:ascii="Garamond" w:hAnsi="Garamond"/>
          <w:sz w:val="22"/>
          <w:szCs w:val="22"/>
        </w:rPr>
        <w:t xml:space="preserve"> and McGrath. If overharvest occurs before salmon reach the upper watershed, these communities may face shortfalls in resource availability.</w:t>
      </w:r>
    </w:p>
    <w:p w14:paraId="7C80E096" w14:textId="77777777" w:rsidR="00FF19B1" w:rsidRDefault="00D0546A" w:rsidP="00FF19B1">
      <w:pPr>
        <w:pStyle w:val="whitespace-normal"/>
        <w:spacing w:line="480" w:lineRule="auto"/>
        <w:ind w:firstLine="720"/>
        <w:rPr>
          <w:rFonts w:ascii="Garamond" w:hAnsi="Garamond"/>
          <w:sz w:val="22"/>
          <w:szCs w:val="22"/>
        </w:rPr>
      </w:pPr>
      <w:r w:rsidRPr="00D0546A">
        <w:rPr>
          <w:rFonts w:ascii="Garamond" w:hAnsi="Garamond"/>
          <w:sz w:val="22"/>
          <w:szCs w:val="22"/>
        </w:rPr>
        <w:t>The current front-end closure demonstrates significant protective value for upper Kuskokwim stocks. On average, [X]% of upper watershed production occurs within the closure window, effectively allowing substantial escapement before harvest begins. This protection benefits both major contributors like [specific stocks] and smaller populations such as the North and East Fork Kuskokwim tributaries, which contribute critically to system biocomplexity and resilience despite their smaller numerical contribution to overall runs.</w:t>
      </w:r>
      <w:r>
        <w:rPr>
          <w:rFonts w:ascii="Garamond" w:hAnsi="Garamond"/>
          <w:sz w:val="22"/>
          <w:szCs w:val="22"/>
        </w:rPr>
        <w:t xml:space="preserve"> </w:t>
      </w:r>
      <w:r w:rsidRPr="00D0546A">
        <w:rPr>
          <w:rFonts w:ascii="Garamond" w:hAnsi="Garamond"/>
          <w:sz w:val="22"/>
          <w:szCs w:val="22"/>
        </w:rPr>
        <w:t>However, protection effectiveness varies substantially across years due to the interaction between fixed closure timing and dynamic run characteristics. Late-starting runs (e.g., 2017) result in proportionally less protection, while compressed runs (e.g., 2019) experience greater protection than extended runs (e.g., 2020) during the same closure window. This variability highlights a fundamental challenge: static management tools applied to dynamic ecological systems may provide inconsistent conservation outcomes.</w:t>
      </w:r>
    </w:p>
    <w:p w14:paraId="421419C8" w14:textId="4A238786" w:rsidR="00FF19B1" w:rsidRDefault="00E671EF" w:rsidP="00E671EF">
      <w:pPr>
        <w:pStyle w:val="whitespace-normal"/>
        <w:spacing w:line="480" w:lineRule="auto"/>
        <w:ind w:firstLine="720"/>
        <w:rPr>
          <w:rFonts w:ascii="Garamond" w:hAnsi="Garamond"/>
          <w:sz w:val="22"/>
          <w:szCs w:val="22"/>
        </w:rPr>
      </w:pPr>
      <w:r w:rsidRPr="00E671EF">
        <w:rPr>
          <w:rFonts w:ascii="Garamond" w:hAnsi="Garamond"/>
          <w:sz w:val="22"/>
          <w:szCs w:val="22"/>
        </w:rPr>
        <w:t xml:space="preserve">These results advance our understanding of Chinook salmon spatial ecology in the Kuskokwim River and contribute to broader insights into salmon dynamics in large river systems. While otolith-based chemical methods used in this study have not been explicitly validated for the Kuskokwim, they have demonstrated high assignment accuracy in other comparable systems and species (Cite cite). The spatial patterns revealed here highlight the importance of evaluating management strategies at appropriate spatial scales to identify interactions between stock-specific ecological behavior and regulatory frameworks. Strategies aiming to maintain ecosystem-scale resource availability should account for both the health of individual stocks and the broader metapopulation complex. By explicitly incorporating the spatiotemporal dynamics of </w:t>
      </w:r>
      <w:r w:rsidRPr="00E671EF">
        <w:rPr>
          <w:rFonts w:ascii="Garamond" w:hAnsi="Garamond"/>
          <w:sz w:val="22"/>
          <w:szCs w:val="22"/>
        </w:rPr>
        <w:lastRenderedPageBreak/>
        <w:t>metapopulations, managers may be better equipped to design conservation strategies that meet human resource needs while preserving the biocomplexity essential to healthy ecosystems.</w:t>
      </w:r>
    </w:p>
    <w:p w14:paraId="558FBC3D" w14:textId="77777777" w:rsidR="00310A9F" w:rsidRDefault="00310A9F" w:rsidP="00310A9F">
      <w:pPr>
        <w:pStyle w:val="whitespace-normal"/>
        <w:spacing w:line="480" w:lineRule="auto"/>
        <w:ind w:firstLine="720"/>
        <w:rPr>
          <w:rFonts w:ascii="Garamond" w:hAnsi="Garamond"/>
          <w:sz w:val="22"/>
          <w:szCs w:val="22"/>
        </w:rPr>
      </w:pPr>
    </w:p>
    <w:p w14:paraId="29FC0768" w14:textId="77777777" w:rsidR="007072E7" w:rsidRDefault="007072E7" w:rsidP="000566CD">
      <w:pPr>
        <w:pStyle w:val="whitespace-normal"/>
        <w:spacing w:line="480" w:lineRule="auto"/>
        <w:ind w:firstLine="720"/>
        <w:rPr>
          <w:rFonts w:ascii="Garamond" w:hAnsi="Garamond"/>
          <w:sz w:val="22"/>
          <w:szCs w:val="22"/>
        </w:rPr>
      </w:pPr>
    </w:p>
    <w:p w14:paraId="75B1D681" w14:textId="77777777" w:rsidR="000566CD" w:rsidRDefault="000566CD" w:rsidP="000566CD">
      <w:pPr>
        <w:pStyle w:val="whitespace-normal"/>
        <w:spacing w:line="480" w:lineRule="auto"/>
        <w:ind w:firstLine="720"/>
        <w:rPr>
          <w:rFonts w:ascii="Garamond" w:hAnsi="Garamond"/>
          <w:sz w:val="22"/>
          <w:szCs w:val="22"/>
        </w:rPr>
      </w:pPr>
    </w:p>
    <w:p w14:paraId="145AE99D" w14:textId="77777777" w:rsidR="000566CD" w:rsidRDefault="000566CD" w:rsidP="00966E61">
      <w:pPr>
        <w:pStyle w:val="whitespace-normal"/>
        <w:spacing w:line="480" w:lineRule="auto"/>
        <w:ind w:firstLine="720"/>
        <w:rPr>
          <w:rFonts w:ascii="Garamond" w:hAnsi="Garamond"/>
          <w:sz w:val="22"/>
          <w:szCs w:val="22"/>
        </w:rPr>
      </w:pPr>
    </w:p>
    <w:p w14:paraId="651D3A1D" w14:textId="2A59DFB2" w:rsidR="008D1422" w:rsidRPr="00310A9F" w:rsidRDefault="008D1422" w:rsidP="00310A9F">
      <w:pPr>
        <w:pStyle w:val="whitespace-normal"/>
        <w:spacing w:line="480" w:lineRule="auto"/>
        <w:rPr>
          <w:rFonts w:ascii="Garamond" w:hAnsi="Garamond"/>
          <w:sz w:val="22"/>
          <w:szCs w:val="22"/>
        </w:rPr>
      </w:pPr>
    </w:p>
    <w:sectPr w:rsidR="008D1422" w:rsidRPr="00310A9F" w:rsidSect="004712C9">
      <w:footerReference w:type="even" r:id="rId11"/>
      <w:footerReference w:type="default" r:id="rId12"/>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enjamin J. Makhlouf" w:date="2025-07-26T11:23:00Z" w:initials="b">
    <w:p w14:paraId="545E12D6" w14:textId="77777777" w:rsidR="000F3B6C" w:rsidRDefault="000F3B6C" w:rsidP="000F3B6C">
      <w:r>
        <w:rPr>
          <w:rStyle w:val="CommentReference"/>
        </w:rPr>
        <w:annotationRef/>
      </w:r>
      <w:r>
        <w:rPr>
          <w:sz w:val="20"/>
          <w:szCs w:val="20"/>
        </w:rPr>
        <w:t xml:space="preserve">Thoughts on others to add? </w:t>
      </w:r>
    </w:p>
  </w:comment>
  <w:comment w:id="1" w:author="Daniel Schindler" w:date="2025-07-17T12:57:00Z" w:initials="DS">
    <w:p w14:paraId="2AD4524E" w14:textId="77777777" w:rsidR="00367B6D" w:rsidRDefault="00367B6D" w:rsidP="00367B6D">
      <w:pPr>
        <w:pStyle w:val="CommentText"/>
      </w:pPr>
      <w:r>
        <w:rPr>
          <w:rStyle w:val="CommentReference"/>
        </w:rPr>
        <w:annotationRef/>
      </w:r>
      <w:r>
        <w:t>Need to reorganize this to broaden scope a bit for J Appl Ecology</w:t>
      </w:r>
    </w:p>
  </w:comment>
  <w:comment w:id="2" w:author="Daniel Schindler" w:date="2025-07-17T13:14:00Z" w:initials="DS">
    <w:p w14:paraId="0DA0C363" w14:textId="77777777" w:rsidR="00313CB8" w:rsidRDefault="00313CB8" w:rsidP="00313CB8">
      <w:pPr>
        <w:pStyle w:val="CommentText"/>
      </w:pPr>
      <w:r>
        <w:rPr>
          <w:rStyle w:val="CommentReference"/>
        </w:rPr>
        <w:annotationRef/>
      </w:r>
      <w:r>
        <w:t>I will come back to this later.</w:t>
      </w:r>
    </w:p>
  </w:comment>
  <w:comment w:id="5" w:author="Daniel Schindler" w:date="2025-06-27T11:54:00Z" w:initials="DS">
    <w:p w14:paraId="75633029" w14:textId="55FEFEE6" w:rsidR="00F552CD" w:rsidRDefault="00F552CD" w:rsidP="00F552CD">
      <w:pPr>
        <w:pStyle w:val="CommentText"/>
      </w:pPr>
      <w:r>
        <w:rPr>
          <w:rStyle w:val="CommentReference"/>
        </w:rPr>
        <w:annotationRef/>
      </w:r>
      <w:r>
        <w:t>We should try to track down that ADF&amp;G tech report that described their telemetry results. Jordan Head was a co-author. Zach Liller would have been as well, I think.</w:t>
      </w:r>
    </w:p>
  </w:comment>
  <w:comment w:id="14" w:author="Benjamin J. Makhlouf" w:date="2025-07-28T07:41:00Z" w:initials="BM">
    <w:p w14:paraId="317DFEBA" w14:textId="77777777" w:rsidR="009C079F" w:rsidRDefault="009C079F" w:rsidP="009C079F">
      <w:pPr>
        <w:pStyle w:val="CommentText"/>
      </w:pPr>
      <w:r>
        <w:rPr>
          <w:rStyle w:val="CommentReference"/>
        </w:rPr>
        <w:annotationRef/>
      </w:r>
      <w:r>
        <w:t xml:space="preserve">Since this is published in french et al., do you think I should not include it as a figure? </w:t>
      </w:r>
    </w:p>
  </w:comment>
  <w:comment w:id="15" w:author="Benjamin J. Makhlouf" w:date="2025-07-28T07:42:00Z" w:initials="BM">
    <w:p w14:paraId="05C4AF8C" w14:textId="77777777" w:rsidR="009C079F" w:rsidRDefault="009C079F" w:rsidP="009C079F">
      <w:pPr>
        <w:pStyle w:val="CommentText"/>
      </w:pPr>
      <w:r>
        <w:rPr>
          <w:rStyle w:val="CommentReference"/>
        </w:rPr>
        <w:annotationRef/>
      </w:r>
      <w:r>
        <w:t xml:space="preserve">This is in one of Sean’s papers but I cannot find it </w:t>
      </w:r>
    </w:p>
  </w:comment>
  <w:comment w:id="20" w:author="Benjamin J. Makhlouf" w:date="2025-07-28T13:54:00Z" w:initials="BM">
    <w:p w14:paraId="036EDFB1" w14:textId="77777777" w:rsidR="00966E61" w:rsidRDefault="00966E61" w:rsidP="00966E61">
      <w:pPr>
        <w:pStyle w:val="CommentText"/>
      </w:pPr>
      <w:r>
        <w:rPr>
          <w:rStyle w:val="CommentReference"/>
        </w:rPr>
        <w:annotationRef/>
      </w:r>
      <w:r>
        <w:t xml:space="preserve">This might not be true for comparison to Telemetry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45E12D6" w15:done="0"/>
  <w15:commentEx w15:paraId="2AD4524E" w15:done="0"/>
  <w15:commentEx w15:paraId="0DA0C363" w15:paraIdParent="2AD4524E" w15:done="0"/>
  <w15:commentEx w15:paraId="75633029" w15:done="0"/>
  <w15:commentEx w15:paraId="317DFEBA" w15:done="0"/>
  <w15:commentEx w15:paraId="05C4AF8C" w15:done="0"/>
  <w15:commentEx w15:paraId="036EDFB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AF9D5BC" w16cex:dateUtc="2025-07-26T18:23:00Z"/>
  <w16cex:commentExtensible w16cex:durableId="6C50E346" w16cex:dateUtc="2025-07-17T20:57:00Z"/>
  <w16cex:commentExtensible w16cex:durableId="31A19B43" w16cex:dateUtc="2025-07-17T21:14:00Z"/>
  <w16cex:commentExtensible w16cex:durableId="08B9BEA6" w16cex:dateUtc="2025-06-27T19:54:00Z"/>
  <w16cex:commentExtensible w16cex:durableId="6C95C996" w16cex:dateUtc="2025-07-28T14:41:00Z"/>
  <w16cex:commentExtensible w16cex:durableId="3CAE4ABD" w16cex:dateUtc="2025-07-28T14:42:00Z"/>
  <w16cex:commentExtensible w16cex:durableId="6836BCE2" w16cex:dateUtc="2025-07-28T20: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45E12D6" w16cid:durableId="0AF9D5BC"/>
  <w16cid:commentId w16cid:paraId="2AD4524E" w16cid:durableId="6C50E346"/>
  <w16cid:commentId w16cid:paraId="0DA0C363" w16cid:durableId="31A19B43"/>
  <w16cid:commentId w16cid:paraId="75633029" w16cid:durableId="08B9BEA6"/>
  <w16cid:commentId w16cid:paraId="317DFEBA" w16cid:durableId="6C95C996"/>
  <w16cid:commentId w16cid:paraId="05C4AF8C" w16cid:durableId="3CAE4ABD"/>
  <w16cid:commentId w16cid:paraId="036EDFB1" w16cid:durableId="6836BCE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562595" w14:textId="77777777" w:rsidR="00D10D6D" w:rsidRDefault="00D10D6D">
      <w:pPr>
        <w:spacing w:after="0" w:line="240" w:lineRule="auto"/>
      </w:pPr>
      <w:r>
        <w:separator/>
      </w:r>
    </w:p>
  </w:endnote>
  <w:endnote w:type="continuationSeparator" w:id="0">
    <w:p w14:paraId="63A0CA7C" w14:textId="77777777" w:rsidR="00D10D6D" w:rsidRDefault="00D10D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41923762"/>
      <w:docPartObj>
        <w:docPartGallery w:val="Page Numbers (Bottom of Page)"/>
        <w:docPartUnique/>
      </w:docPartObj>
    </w:sdtPr>
    <w:sdtContent>
      <w:p w14:paraId="0C958265" w14:textId="77777777" w:rsidR="007C2267" w:rsidRDefault="00000000" w:rsidP="009E122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EB824FF" w14:textId="77777777" w:rsidR="007C2267" w:rsidRDefault="007C2267" w:rsidP="005C360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30426579"/>
      <w:docPartObj>
        <w:docPartGallery w:val="Page Numbers (Bottom of Page)"/>
        <w:docPartUnique/>
      </w:docPartObj>
    </w:sdtPr>
    <w:sdtContent>
      <w:p w14:paraId="3FD4FB3E" w14:textId="77777777" w:rsidR="007C2267" w:rsidRDefault="00000000" w:rsidP="009E122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8B73CCF" w14:textId="77777777" w:rsidR="007C2267" w:rsidRDefault="007C2267" w:rsidP="005C3605">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D2F32D" w14:textId="77777777" w:rsidR="00D10D6D" w:rsidRDefault="00D10D6D">
      <w:pPr>
        <w:spacing w:after="0" w:line="240" w:lineRule="auto"/>
      </w:pPr>
      <w:r>
        <w:separator/>
      </w:r>
    </w:p>
  </w:footnote>
  <w:footnote w:type="continuationSeparator" w:id="0">
    <w:p w14:paraId="49B02746" w14:textId="77777777" w:rsidR="00D10D6D" w:rsidRDefault="00D10D6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9904CD"/>
    <w:multiLevelType w:val="hybridMultilevel"/>
    <w:tmpl w:val="BC360582"/>
    <w:lvl w:ilvl="0" w:tplc="87E0FF1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F3132F"/>
    <w:multiLevelType w:val="hybridMultilevel"/>
    <w:tmpl w:val="96F00CA8"/>
    <w:lvl w:ilvl="0" w:tplc="9FEE0D1E">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0294DD3"/>
    <w:multiLevelType w:val="hybridMultilevel"/>
    <w:tmpl w:val="C694996A"/>
    <w:lvl w:ilvl="0" w:tplc="72709C6E">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0B00263"/>
    <w:multiLevelType w:val="hybridMultilevel"/>
    <w:tmpl w:val="33AA7B10"/>
    <w:lvl w:ilvl="0" w:tplc="43127796">
      <w:numFmt w:val="bullet"/>
      <w:lvlText w:val="-"/>
      <w:lvlJc w:val="left"/>
      <w:pPr>
        <w:ind w:left="720" w:hanging="360"/>
      </w:pPr>
      <w:rPr>
        <w:rFonts w:ascii="Garamond" w:eastAsia="Times New Roman" w:hAnsi="Garamond"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47A61CC"/>
    <w:multiLevelType w:val="hybridMultilevel"/>
    <w:tmpl w:val="A920D5FA"/>
    <w:lvl w:ilvl="0" w:tplc="77FC5AA4">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17253A8"/>
    <w:multiLevelType w:val="hybridMultilevel"/>
    <w:tmpl w:val="E7E8395C"/>
    <w:lvl w:ilvl="0" w:tplc="87A66DAC">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5BC65EB"/>
    <w:multiLevelType w:val="hybridMultilevel"/>
    <w:tmpl w:val="26B2BF6A"/>
    <w:lvl w:ilvl="0" w:tplc="6CDCC6A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C333D4F"/>
    <w:multiLevelType w:val="hybridMultilevel"/>
    <w:tmpl w:val="234C80F4"/>
    <w:lvl w:ilvl="0" w:tplc="BF06EC8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5665541">
    <w:abstractNumId w:val="4"/>
  </w:num>
  <w:num w:numId="2" w16cid:durableId="1353727518">
    <w:abstractNumId w:val="2"/>
  </w:num>
  <w:num w:numId="3" w16cid:durableId="329413611">
    <w:abstractNumId w:val="7"/>
  </w:num>
  <w:num w:numId="4" w16cid:durableId="991065100">
    <w:abstractNumId w:val="5"/>
  </w:num>
  <w:num w:numId="5" w16cid:durableId="1019696258">
    <w:abstractNumId w:val="1"/>
  </w:num>
  <w:num w:numId="6" w16cid:durableId="1265116596">
    <w:abstractNumId w:val="6"/>
  </w:num>
  <w:num w:numId="7" w16cid:durableId="416367737">
    <w:abstractNumId w:val="3"/>
  </w:num>
  <w:num w:numId="8" w16cid:durableId="186378079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jamin J. Makhlouf">
    <w15:presenceInfo w15:providerId="AD" w15:userId="S::bmak29@uw.edu::e2d819b1-db99-41fc-888c-ad60b4d561ad"/>
  </w15:person>
  <w15:person w15:author="Daniel Schindler">
    <w15:presenceInfo w15:providerId="AD" w15:userId="S::deschind@uw.edu::638f7977-a89c-40df-b85e-dc804ddb30d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3448"/>
    <w:rsid w:val="00033E6D"/>
    <w:rsid w:val="00040237"/>
    <w:rsid w:val="000566CD"/>
    <w:rsid w:val="00060FEB"/>
    <w:rsid w:val="00085380"/>
    <w:rsid w:val="000854BE"/>
    <w:rsid w:val="000941AF"/>
    <w:rsid w:val="000979CB"/>
    <w:rsid w:val="000B5639"/>
    <w:rsid w:val="000B7514"/>
    <w:rsid w:val="000C384D"/>
    <w:rsid w:val="000C429D"/>
    <w:rsid w:val="000C6898"/>
    <w:rsid w:val="000F3B6C"/>
    <w:rsid w:val="00103582"/>
    <w:rsid w:val="00120202"/>
    <w:rsid w:val="00121BC7"/>
    <w:rsid w:val="001269D4"/>
    <w:rsid w:val="00131432"/>
    <w:rsid w:val="001419E1"/>
    <w:rsid w:val="0015783A"/>
    <w:rsid w:val="00162958"/>
    <w:rsid w:val="0016395C"/>
    <w:rsid w:val="001679D4"/>
    <w:rsid w:val="00171632"/>
    <w:rsid w:val="001844EB"/>
    <w:rsid w:val="0019169F"/>
    <w:rsid w:val="00197965"/>
    <w:rsid w:val="001F2097"/>
    <w:rsid w:val="0020187E"/>
    <w:rsid w:val="00206F6C"/>
    <w:rsid w:val="002323C1"/>
    <w:rsid w:val="002549E1"/>
    <w:rsid w:val="0025573D"/>
    <w:rsid w:val="002A3FE3"/>
    <w:rsid w:val="002C21B7"/>
    <w:rsid w:val="002D12FE"/>
    <w:rsid w:val="00306D21"/>
    <w:rsid w:val="00310A9F"/>
    <w:rsid w:val="00312FC9"/>
    <w:rsid w:val="00313CB8"/>
    <w:rsid w:val="003442B4"/>
    <w:rsid w:val="003508BF"/>
    <w:rsid w:val="00354EC0"/>
    <w:rsid w:val="003642FE"/>
    <w:rsid w:val="00367B6D"/>
    <w:rsid w:val="00371AC6"/>
    <w:rsid w:val="00374558"/>
    <w:rsid w:val="0039598A"/>
    <w:rsid w:val="0039711B"/>
    <w:rsid w:val="00397FF6"/>
    <w:rsid w:val="003A53E2"/>
    <w:rsid w:val="003A58F7"/>
    <w:rsid w:val="003B0A46"/>
    <w:rsid w:val="003D0402"/>
    <w:rsid w:val="003D30C7"/>
    <w:rsid w:val="00401EE2"/>
    <w:rsid w:val="004025DD"/>
    <w:rsid w:val="00416B2E"/>
    <w:rsid w:val="004261EE"/>
    <w:rsid w:val="00442120"/>
    <w:rsid w:val="00464971"/>
    <w:rsid w:val="00470C70"/>
    <w:rsid w:val="004712C9"/>
    <w:rsid w:val="00481088"/>
    <w:rsid w:val="00491C12"/>
    <w:rsid w:val="004A0003"/>
    <w:rsid w:val="004A072A"/>
    <w:rsid w:val="004A6CF4"/>
    <w:rsid w:val="004D6874"/>
    <w:rsid w:val="004E3592"/>
    <w:rsid w:val="004F04C2"/>
    <w:rsid w:val="00505979"/>
    <w:rsid w:val="00517577"/>
    <w:rsid w:val="005229F0"/>
    <w:rsid w:val="00530411"/>
    <w:rsid w:val="00536536"/>
    <w:rsid w:val="00537343"/>
    <w:rsid w:val="005416E6"/>
    <w:rsid w:val="00557194"/>
    <w:rsid w:val="005805EB"/>
    <w:rsid w:val="005A53C9"/>
    <w:rsid w:val="005B3AB3"/>
    <w:rsid w:val="005C58CB"/>
    <w:rsid w:val="005E6A59"/>
    <w:rsid w:val="005F3448"/>
    <w:rsid w:val="006101C3"/>
    <w:rsid w:val="00617B67"/>
    <w:rsid w:val="00625357"/>
    <w:rsid w:val="00631AAA"/>
    <w:rsid w:val="0063694A"/>
    <w:rsid w:val="006617C0"/>
    <w:rsid w:val="006762C3"/>
    <w:rsid w:val="00676513"/>
    <w:rsid w:val="00682611"/>
    <w:rsid w:val="00693A39"/>
    <w:rsid w:val="006B418B"/>
    <w:rsid w:val="006D6AEE"/>
    <w:rsid w:val="006E5473"/>
    <w:rsid w:val="007072E7"/>
    <w:rsid w:val="00711069"/>
    <w:rsid w:val="00717B12"/>
    <w:rsid w:val="007266BC"/>
    <w:rsid w:val="007555A4"/>
    <w:rsid w:val="007561E4"/>
    <w:rsid w:val="0076034D"/>
    <w:rsid w:val="00780305"/>
    <w:rsid w:val="007A1D0A"/>
    <w:rsid w:val="007B17D6"/>
    <w:rsid w:val="007C2267"/>
    <w:rsid w:val="007D1726"/>
    <w:rsid w:val="007F4A77"/>
    <w:rsid w:val="00807290"/>
    <w:rsid w:val="00811477"/>
    <w:rsid w:val="00816626"/>
    <w:rsid w:val="00856168"/>
    <w:rsid w:val="00863C27"/>
    <w:rsid w:val="0087708A"/>
    <w:rsid w:val="0088327B"/>
    <w:rsid w:val="008872F5"/>
    <w:rsid w:val="00895FC7"/>
    <w:rsid w:val="008C378F"/>
    <w:rsid w:val="008D1422"/>
    <w:rsid w:val="008E3428"/>
    <w:rsid w:val="008F2118"/>
    <w:rsid w:val="0090107F"/>
    <w:rsid w:val="00907410"/>
    <w:rsid w:val="009076B8"/>
    <w:rsid w:val="009110AF"/>
    <w:rsid w:val="00932FBC"/>
    <w:rsid w:val="00966E61"/>
    <w:rsid w:val="00967DC4"/>
    <w:rsid w:val="0097448D"/>
    <w:rsid w:val="009833DB"/>
    <w:rsid w:val="00983880"/>
    <w:rsid w:val="00986BAC"/>
    <w:rsid w:val="009879FD"/>
    <w:rsid w:val="009C079F"/>
    <w:rsid w:val="009C308C"/>
    <w:rsid w:val="009D66DA"/>
    <w:rsid w:val="009F3E36"/>
    <w:rsid w:val="009F7AF2"/>
    <w:rsid w:val="00A06CC6"/>
    <w:rsid w:val="00A13EDE"/>
    <w:rsid w:val="00A25870"/>
    <w:rsid w:val="00A26A50"/>
    <w:rsid w:val="00A36D27"/>
    <w:rsid w:val="00A44879"/>
    <w:rsid w:val="00A4712A"/>
    <w:rsid w:val="00AB074C"/>
    <w:rsid w:val="00AD1910"/>
    <w:rsid w:val="00AD484F"/>
    <w:rsid w:val="00AD7B82"/>
    <w:rsid w:val="00B07AE4"/>
    <w:rsid w:val="00B13E93"/>
    <w:rsid w:val="00B30111"/>
    <w:rsid w:val="00B40601"/>
    <w:rsid w:val="00B50583"/>
    <w:rsid w:val="00B74D8D"/>
    <w:rsid w:val="00BB27C2"/>
    <w:rsid w:val="00BB381E"/>
    <w:rsid w:val="00C10AF2"/>
    <w:rsid w:val="00C31CB4"/>
    <w:rsid w:val="00C32D99"/>
    <w:rsid w:val="00C50733"/>
    <w:rsid w:val="00C6603A"/>
    <w:rsid w:val="00C67240"/>
    <w:rsid w:val="00C83BF2"/>
    <w:rsid w:val="00C95028"/>
    <w:rsid w:val="00C9741A"/>
    <w:rsid w:val="00C97C2C"/>
    <w:rsid w:val="00CA262D"/>
    <w:rsid w:val="00CA7EEC"/>
    <w:rsid w:val="00CB3C24"/>
    <w:rsid w:val="00CF03CC"/>
    <w:rsid w:val="00CF45A1"/>
    <w:rsid w:val="00D0546A"/>
    <w:rsid w:val="00D105F1"/>
    <w:rsid w:val="00D10D6D"/>
    <w:rsid w:val="00D149EB"/>
    <w:rsid w:val="00D30A4B"/>
    <w:rsid w:val="00D43F43"/>
    <w:rsid w:val="00D53B0E"/>
    <w:rsid w:val="00D625F2"/>
    <w:rsid w:val="00DA7E79"/>
    <w:rsid w:val="00DC75BB"/>
    <w:rsid w:val="00DD0E6E"/>
    <w:rsid w:val="00DE33E0"/>
    <w:rsid w:val="00E212FE"/>
    <w:rsid w:val="00E355B2"/>
    <w:rsid w:val="00E35FA9"/>
    <w:rsid w:val="00E454BB"/>
    <w:rsid w:val="00E671EF"/>
    <w:rsid w:val="00E94ABC"/>
    <w:rsid w:val="00EB2EDF"/>
    <w:rsid w:val="00EE5153"/>
    <w:rsid w:val="00EE55A4"/>
    <w:rsid w:val="00EF1756"/>
    <w:rsid w:val="00EF5ED9"/>
    <w:rsid w:val="00EF6581"/>
    <w:rsid w:val="00F02538"/>
    <w:rsid w:val="00F06D5A"/>
    <w:rsid w:val="00F335F2"/>
    <w:rsid w:val="00F3538C"/>
    <w:rsid w:val="00F51DB9"/>
    <w:rsid w:val="00F552CD"/>
    <w:rsid w:val="00F55974"/>
    <w:rsid w:val="00FA2074"/>
    <w:rsid w:val="00FA738D"/>
    <w:rsid w:val="00FB33D7"/>
    <w:rsid w:val="00FB3E37"/>
    <w:rsid w:val="00FC42A0"/>
    <w:rsid w:val="00FD1F7F"/>
    <w:rsid w:val="00FD6CE5"/>
    <w:rsid w:val="00FE3CBB"/>
    <w:rsid w:val="00FE3D0B"/>
    <w:rsid w:val="00FF1407"/>
    <w:rsid w:val="00FF19B1"/>
    <w:rsid w:val="00FF6E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167230"/>
  <w15:chartTrackingRefBased/>
  <w15:docId w15:val="{E45E8F7C-A7EC-9441-8FBE-5462EB3F37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2C9"/>
  </w:style>
  <w:style w:type="paragraph" w:styleId="Heading1">
    <w:name w:val="heading 1"/>
    <w:basedOn w:val="Normal"/>
    <w:next w:val="Normal"/>
    <w:link w:val="Heading1Char"/>
    <w:uiPriority w:val="9"/>
    <w:qFormat/>
    <w:rsid w:val="005F34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F34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F34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34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34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34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34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34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34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34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F34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F34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34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34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34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34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34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3448"/>
    <w:rPr>
      <w:rFonts w:eastAsiaTheme="majorEastAsia" w:cstheme="majorBidi"/>
      <w:color w:val="272727" w:themeColor="text1" w:themeTint="D8"/>
    </w:rPr>
  </w:style>
  <w:style w:type="paragraph" w:styleId="Title">
    <w:name w:val="Title"/>
    <w:basedOn w:val="Normal"/>
    <w:next w:val="Normal"/>
    <w:link w:val="TitleChar"/>
    <w:uiPriority w:val="10"/>
    <w:qFormat/>
    <w:rsid w:val="005F34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34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34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34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3448"/>
    <w:pPr>
      <w:spacing w:before="160"/>
      <w:jc w:val="center"/>
    </w:pPr>
    <w:rPr>
      <w:i/>
      <w:iCs/>
      <w:color w:val="404040" w:themeColor="text1" w:themeTint="BF"/>
    </w:rPr>
  </w:style>
  <w:style w:type="character" w:customStyle="1" w:styleId="QuoteChar">
    <w:name w:val="Quote Char"/>
    <w:basedOn w:val="DefaultParagraphFont"/>
    <w:link w:val="Quote"/>
    <w:uiPriority w:val="29"/>
    <w:rsid w:val="005F3448"/>
    <w:rPr>
      <w:i/>
      <w:iCs/>
      <w:color w:val="404040" w:themeColor="text1" w:themeTint="BF"/>
    </w:rPr>
  </w:style>
  <w:style w:type="paragraph" w:styleId="ListParagraph">
    <w:name w:val="List Paragraph"/>
    <w:basedOn w:val="Normal"/>
    <w:uiPriority w:val="34"/>
    <w:qFormat/>
    <w:rsid w:val="005F3448"/>
    <w:pPr>
      <w:ind w:left="720"/>
      <w:contextualSpacing/>
    </w:pPr>
  </w:style>
  <w:style w:type="character" w:styleId="IntenseEmphasis">
    <w:name w:val="Intense Emphasis"/>
    <w:basedOn w:val="DefaultParagraphFont"/>
    <w:uiPriority w:val="21"/>
    <w:qFormat/>
    <w:rsid w:val="005F3448"/>
    <w:rPr>
      <w:i/>
      <w:iCs/>
      <w:color w:val="0F4761" w:themeColor="accent1" w:themeShade="BF"/>
    </w:rPr>
  </w:style>
  <w:style w:type="paragraph" w:styleId="IntenseQuote">
    <w:name w:val="Intense Quote"/>
    <w:basedOn w:val="Normal"/>
    <w:next w:val="Normal"/>
    <w:link w:val="IntenseQuoteChar"/>
    <w:uiPriority w:val="30"/>
    <w:qFormat/>
    <w:rsid w:val="005F34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3448"/>
    <w:rPr>
      <w:i/>
      <w:iCs/>
      <w:color w:val="0F4761" w:themeColor="accent1" w:themeShade="BF"/>
    </w:rPr>
  </w:style>
  <w:style w:type="character" w:styleId="IntenseReference">
    <w:name w:val="Intense Reference"/>
    <w:basedOn w:val="DefaultParagraphFont"/>
    <w:uiPriority w:val="32"/>
    <w:qFormat/>
    <w:rsid w:val="005F3448"/>
    <w:rPr>
      <w:b/>
      <w:bCs/>
      <w:smallCaps/>
      <w:color w:val="0F4761" w:themeColor="accent1" w:themeShade="BF"/>
      <w:spacing w:val="5"/>
    </w:rPr>
  </w:style>
  <w:style w:type="character" w:styleId="HTMLCode">
    <w:name w:val="HTML Code"/>
    <w:basedOn w:val="DefaultParagraphFont"/>
    <w:uiPriority w:val="99"/>
    <w:semiHidden/>
    <w:unhideWhenUsed/>
    <w:rsid w:val="00986BAC"/>
    <w:rPr>
      <w:rFonts w:ascii="Courier New" w:eastAsia="Times New Roman" w:hAnsi="Courier New" w:cs="Courier New"/>
      <w:sz w:val="20"/>
      <w:szCs w:val="20"/>
    </w:rPr>
  </w:style>
  <w:style w:type="paragraph" w:styleId="NormalWeb">
    <w:name w:val="Normal (Web)"/>
    <w:basedOn w:val="Normal"/>
    <w:uiPriority w:val="99"/>
    <w:unhideWhenUsed/>
    <w:rsid w:val="00033E6D"/>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whitespace-normal">
    <w:name w:val="whitespace-normal"/>
    <w:basedOn w:val="Normal"/>
    <w:rsid w:val="004712C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4712C9"/>
    <w:rPr>
      <w:b/>
      <w:bCs/>
    </w:rPr>
  </w:style>
  <w:style w:type="character" w:customStyle="1" w:styleId="katex-mathml">
    <w:name w:val="katex-mathml"/>
    <w:basedOn w:val="DefaultParagraphFont"/>
    <w:rsid w:val="004712C9"/>
  </w:style>
  <w:style w:type="character" w:customStyle="1" w:styleId="mord">
    <w:name w:val="mord"/>
    <w:basedOn w:val="DefaultParagraphFont"/>
    <w:rsid w:val="004712C9"/>
  </w:style>
  <w:style w:type="paragraph" w:styleId="Bibliography">
    <w:name w:val="Bibliography"/>
    <w:basedOn w:val="Normal"/>
    <w:next w:val="Normal"/>
    <w:uiPriority w:val="37"/>
    <w:unhideWhenUsed/>
    <w:rsid w:val="004712C9"/>
    <w:pPr>
      <w:spacing w:after="0" w:line="480" w:lineRule="auto"/>
      <w:ind w:left="720" w:hanging="720"/>
    </w:pPr>
  </w:style>
  <w:style w:type="paragraph" w:styleId="Footer">
    <w:name w:val="footer"/>
    <w:basedOn w:val="Normal"/>
    <w:link w:val="FooterChar"/>
    <w:uiPriority w:val="99"/>
    <w:unhideWhenUsed/>
    <w:rsid w:val="004712C9"/>
    <w:pPr>
      <w:tabs>
        <w:tab w:val="center" w:pos="4680"/>
        <w:tab w:val="right" w:pos="9360"/>
      </w:tabs>
      <w:spacing w:after="0" w:line="240" w:lineRule="auto"/>
    </w:pPr>
  </w:style>
  <w:style w:type="character" w:customStyle="1" w:styleId="FooterChar">
    <w:name w:val="Footer Char"/>
    <w:basedOn w:val="DefaultParagraphFont"/>
    <w:link w:val="Footer"/>
    <w:uiPriority w:val="99"/>
    <w:rsid w:val="004712C9"/>
  </w:style>
  <w:style w:type="character" w:styleId="PageNumber">
    <w:name w:val="page number"/>
    <w:basedOn w:val="DefaultParagraphFont"/>
    <w:uiPriority w:val="99"/>
    <w:semiHidden/>
    <w:unhideWhenUsed/>
    <w:rsid w:val="004712C9"/>
  </w:style>
  <w:style w:type="character" w:styleId="LineNumber">
    <w:name w:val="line number"/>
    <w:basedOn w:val="DefaultParagraphFont"/>
    <w:uiPriority w:val="99"/>
    <w:semiHidden/>
    <w:unhideWhenUsed/>
    <w:rsid w:val="004712C9"/>
  </w:style>
  <w:style w:type="character" w:styleId="CommentReference">
    <w:name w:val="annotation reference"/>
    <w:basedOn w:val="DefaultParagraphFont"/>
    <w:uiPriority w:val="99"/>
    <w:semiHidden/>
    <w:unhideWhenUsed/>
    <w:rsid w:val="002A3FE3"/>
    <w:rPr>
      <w:sz w:val="16"/>
      <w:szCs w:val="16"/>
    </w:rPr>
  </w:style>
  <w:style w:type="paragraph" w:styleId="CommentText">
    <w:name w:val="annotation text"/>
    <w:basedOn w:val="Normal"/>
    <w:link w:val="CommentTextChar"/>
    <w:uiPriority w:val="99"/>
    <w:unhideWhenUsed/>
    <w:rsid w:val="002A3FE3"/>
    <w:pPr>
      <w:spacing w:line="240" w:lineRule="auto"/>
    </w:pPr>
    <w:rPr>
      <w:sz w:val="20"/>
      <w:szCs w:val="20"/>
    </w:rPr>
  </w:style>
  <w:style w:type="character" w:customStyle="1" w:styleId="CommentTextChar">
    <w:name w:val="Comment Text Char"/>
    <w:basedOn w:val="DefaultParagraphFont"/>
    <w:link w:val="CommentText"/>
    <w:uiPriority w:val="99"/>
    <w:rsid w:val="002A3FE3"/>
    <w:rPr>
      <w:sz w:val="20"/>
      <w:szCs w:val="20"/>
    </w:rPr>
  </w:style>
  <w:style w:type="paragraph" w:styleId="CommentSubject">
    <w:name w:val="annotation subject"/>
    <w:basedOn w:val="CommentText"/>
    <w:next w:val="CommentText"/>
    <w:link w:val="CommentSubjectChar"/>
    <w:uiPriority w:val="99"/>
    <w:semiHidden/>
    <w:unhideWhenUsed/>
    <w:rsid w:val="002A3FE3"/>
    <w:rPr>
      <w:b/>
      <w:bCs/>
    </w:rPr>
  </w:style>
  <w:style w:type="character" w:customStyle="1" w:styleId="CommentSubjectChar">
    <w:name w:val="Comment Subject Char"/>
    <w:basedOn w:val="CommentTextChar"/>
    <w:link w:val="CommentSubject"/>
    <w:uiPriority w:val="99"/>
    <w:semiHidden/>
    <w:rsid w:val="002A3FE3"/>
    <w:rPr>
      <w:b/>
      <w:bCs/>
      <w:sz w:val="20"/>
      <w:szCs w:val="20"/>
    </w:rPr>
  </w:style>
  <w:style w:type="paragraph" w:styleId="Revision">
    <w:name w:val="Revision"/>
    <w:hidden/>
    <w:uiPriority w:val="99"/>
    <w:semiHidden/>
    <w:rsid w:val="00F552CD"/>
    <w:pPr>
      <w:spacing w:after="0" w:line="240" w:lineRule="auto"/>
    </w:pPr>
  </w:style>
  <w:style w:type="character" w:customStyle="1" w:styleId="inline-flex">
    <w:name w:val="inline-flex"/>
    <w:basedOn w:val="DefaultParagraphFont"/>
    <w:rsid w:val="00DC75BB"/>
  </w:style>
  <w:style w:type="character" w:customStyle="1" w:styleId="text-nowrap">
    <w:name w:val="text-nowrap"/>
    <w:basedOn w:val="DefaultParagraphFont"/>
    <w:rsid w:val="00DC75BB"/>
  </w:style>
  <w:style w:type="paragraph" w:styleId="Header">
    <w:name w:val="header"/>
    <w:basedOn w:val="Normal"/>
    <w:link w:val="HeaderChar"/>
    <w:uiPriority w:val="99"/>
    <w:unhideWhenUsed/>
    <w:rsid w:val="00932FBC"/>
    <w:pPr>
      <w:tabs>
        <w:tab w:val="center" w:pos="4680"/>
        <w:tab w:val="right" w:pos="9360"/>
      </w:tabs>
      <w:spacing w:after="0" w:line="240" w:lineRule="auto"/>
    </w:pPr>
  </w:style>
  <w:style w:type="character" w:customStyle="1" w:styleId="HeaderChar">
    <w:name w:val="Header Char"/>
    <w:basedOn w:val="DefaultParagraphFont"/>
    <w:link w:val="Header"/>
    <w:uiPriority w:val="99"/>
    <w:rsid w:val="00932FB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392391">
      <w:bodyDiv w:val="1"/>
      <w:marLeft w:val="0"/>
      <w:marRight w:val="0"/>
      <w:marTop w:val="0"/>
      <w:marBottom w:val="0"/>
      <w:divBdr>
        <w:top w:val="none" w:sz="0" w:space="0" w:color="auto"/>
        <w:left w:val="none" w:sz="0" w:space="0" w:color="auto"/>
        <w:bottom w:val="none" w:sz="0" w:space="0" w:color="auto"/>
        <w:right w:val="none" w:sz="0" w:space="0" w:color="auto"/>
      </w:divBdr>
    </w:div>
    <w:div w:id="169411185">
      <w:bodyDiv w:val="1"/>
      <w:marLeft w:val="0"/>
      <w:marRight w:val="0"/>
      <w:marTop w:val="0"/>
      <w:marBottom w:val="0"/>
      <w:divBdr>
        <w:top w:val="none" w:sz="0" w:space="0" w:color="auto"/>
        <w:left w:val="none" w:sz="0" w:space="0" w:color="auto"/>
        <w:bottom w:val="none" w:sz="0" w:space="0" w:color="auto"/>
        <w:right w:val="none" w:sz="0" w:space="0" w:color="auto"/>
      </w:divBdr>
      <w:divsChild>
        <w:div w:id="396903172">
          <w:marLeft w:val="0"/>
          <w:marRight w:val="0"/>
          <w:marTop w:val="0"/>
          <w:marBottom w:val="0"/>
          <w:divBdr>
            <w:top w:val="none" w:sz="0" w:space="0" w:color="auto"/>
            <w:left w:val="none" w:sz="0" w:space="0" w:color="auto"/>
            <w:bottom w:val="none" w:sz="0" w:space="0" w:color="auto"/>
            <w:right w:val="none" w:sz="0" w:space="0" w:color="auto"/>
          </w:divBdr>
          <w:divsChild>
            <w:div w:id="863981730">
              <w:marLeft w:val="0"/>
              <w:marRight w:val="0"/>
              <w:marTop w:val="0"/>
              <w:marBottom w:val="0"/>
              <w:divBdr>
                <w:top w:val="none" w:sz="0" w:space="0" w:color="auto"/>
                <w:left w:val="none" w:sz="0" w:space="0" w:color="auto"/>
                <w:bottom w:val="none" w:sz="0" w:space="0" w:color="auto"/>
                <w:right w:val="none" w:sz="0" w:space="0" w:color="auto"/>
              </w:divBdr>
              <w:divsChild>
                <w:div w:id="145821068">
                  <w:marLeft w:val="0"/>
                  <w:marRight w:val="0"/>
                  <w:marTop w:val="0"/>
                  <w:marBottom w:val="0"/>
                  <w:divBdr>
                    <w:top w:val="none" w:sz="0" w:space="0" w:color="auto"/>
                    <w:left w:val="none" w:sz="0" w:space="0" w:color="auto"/>
                    <w:bottom w:val="none" w:sz="0" w:space="0" w:color="auto"/>
                    <w:right w:val="none" w:sz="0" w:space="0" w:color="auto"/>
                  </w:divBdr>
                  <w:divsChild>
                    <w:div w:id="270672772">
                      <w:marLeft w:val="0"/>
                      <w:marRight w:val="0"/>
                      <w:marTop w:val="0"/>
                      <w:marBottom w:val="0"/>
                      <w:divBdr>
                        <w:top w:val="none" w:sz="0" w:space="0" w:color="auto"/>
                        <w:left w:val="none" w:sz="0" w:space="0" w:color="auto"/>
                        <w:bottom w:val="none" w:sz="0" w:space="0" w:color="auto"/>
                        <w:right w:val="none" w:sz="0" w:space="0" w:color="auto"/>
                      </w:divBdr>
                      <w:divsChild>
                        <w:div w:id="907881641">
                          <w:marLeft w:val="0"/>
                          <w:marRight w:val="0"/>
                          <w:marTop w:val="0"/>
                          <w:marBottom w:val="0"/>
                          <w:divBdr>
                            <w:top w:val="none" w:sz="0" w:space="0" w:color="auto"/>
                            <w:left w:val="none" w:sz="0" w:space="0" w:color="auto"/>
                            <w:bottom w:val="none" w:sz="0" w:space="0" w:color="auto"/>
                            <w:right w:val="none" w:sz="0" w:space="0" w:color="auto"/>
                          </w:divBdr>
                          <w:divsChild>
                            <w:div w:id="1816218057">
                              <w:marLeft w:val="0"/>
                              <w:marRight w:val="0"/>
                              <w:marTop w:val="0"/>
                              <w:marBottom w:val="0"/>
                              <w:divBdr>
                                <w:top w:val="none" w:sz="0" w:space="0" w:color="auto"/>
                                <w:left w:val="none" w:sz="0" w:space="0" w:color="auto"/>
                                <w:bottom w:val="none" w:sz="0" w:space="0" w:color="auto"/>
                                <w:right w:val="none" w:sz="0" w:space="0" w:color="auto"/>
                              </w:divBdr>
                              <w:divsChild>
                                <w:div w:id="135457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203401">
                          <w:marLeft w:val="0"/>
                          <w:marRight w:val="0"/>
                          <w:marTop w:val="0"/>
                          <w:marBottom w:val="0"/>
                          <w:divBdr>
                            <w:top w:val="none" w:sz="0" w:space="0" w:color="auto"/>
                            <w:left w:val="none" w:sz="0" w:space="0" w:color="auto"/>
                            <w:bottom w:val="none" w:sz="0" w:space="0" w:color="auto"/>
                            <w:right w:val="none" w:sz="0" w:space="0" w:color="auto"/>
                          </w:divBdr>
                          <w:divsChild>
                            <w:div w:id="615065491">
                              <w:marLeft w:val="0"/>
                              <w:marRight w:val="0"/>
                              <w:marTop w:val="0"/>
                              <w:marBottom w:val="0"/>
                              <w:divBdr>
                                <w:top w:val="none" w:sz="0" w:space="0" w:color="auto"/>
                                <w:left w:val="none" w:sz="0" w:space="0" w:color="auto"/>
                                <w:bottom w:val="none" w:sz="0" w:space="0" w:color="auto"/>
                                <w:right w:val="none" w:sz="0" w:space="0" w:color="auto"/>
                              </w:divBdr>
                              <w:divsChild>
                                <w:div w:id="1963072451">
                                  <w:marLeft w:val="0"/>
                                  <w:marRight w:val="0"/>
                                  <w:marTop w:val="0"/>
                                  <w:marBottom w:val="0"/>
                                  <w:divBdr>
                                    <w:top w:val="none" w:sz="0" w:space="0" w:color="auto"/>
                                    <w:left w:val="none" w:sz="0" w:space="0" w:color="auto"/>
                                    <w:bottom w:val="none" w:sz="0" w:space="0" w:color="auto"/>
                                    <w:right w:val="none" w:sz="0" w:space="0" w:color="auto"/>
                                  </w:divBdr>
                                  <w:divsChild>
                                    <w:div w:id="185148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0294701">
              <w:marLeft w:val="0"/>
              <w:marRight w:val="0"/>
              <w:marTop w:val="0"/>
              <w:marBottom w:val="0"/>
              <w:divBdr>
                <w:top w:val="none" w:sz="0" w:space="0" w:color="auto"/>
                <w:left w:val="none" w:sz="0" w:space="0" w:color="auto"/>
                <w:bottom w:val="none" w:sz="0" w:space="0" w:color="auto"/>
                <w:right w:val="none" w:sz="0" w:space="0" w:color="auto"/>
              </w:divBdr>
              <w:divsChild>
                <w:div w:id="1697384131">
                  <w:marLeft w:val="0"/>
                  <w:marRight w:val="0"/>
                  <w:marTop w:val="0"/>
                  <w:marBottom w:val="0"/>
                  <w:divBdr>
                    <w:top w:val="none" w:sz="0" w:space="0" w:color="auto"/>
                    <w:left w:val="none" w:sz="0" w:space="0" w:color="auto"/>
                    <w:bottom w:val="none" w:sz="0" w:space="0" w:color="auto"/>
                    <w:right w:val="none" w:sz="0" w:space="0" w:color="auto"/>
                  </w:divBdr>
                  <w:divsChild>
                    <w:div w:id="1858345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2854164">
      <w:bodyDiv w:val="1"/>
      <w:marLeft w:val="0"/>
      <w:marRight w:val="0"/>
      <w:marTop w:val="0"/>
      <w:marBottom w:val="0"/>
      <w:divBdr>
        <w:top w:val="none" w:sz="0" w:space="0" w:color="auto"/>
        <w:left w:val="none" w:sz="0" w:space="0" w:color="auto"/>
        <w:bottom w:val="none" w:sz="0" w:space="0" w:color="auto"/>
        <w:right w:val="none" w:sz="0" w:space="0" w:color="auto"/>
      </w:divBdr>
    </w:div>
    <w:div w:id="437679908">
      <w:bodyDiv w:val="1"/>
      <w:marLeft w:val="0"/>
      <w:marRight w:val="0"/>
      <w:marTop w:val="0"/>
      <w:marBottom w:val="0"/>
      <w:divBdr>
        <w:top w:val="none" w:sz="0" w:space="0" w:color="auto"/>
        <w:left w:val="none" w:sz="0" w:space="0" w:color="auto"/>
        <w:bottom w:val="none" w:sz="0" w:space="0" w:color="auto"/>
        <w:right w:val="none" w:sz="0" w:space="0" w:color="auto"/>
      </w:divBdr>
    </w:div>
    <w:div w:id="529995183">
      <w:bodyDiv w:val="1"/>
      <w:marLeft w:val="0"/>
      <w:marRight w:val="0"/>
      <w:marTop w:val="0"/>
      <w:marBottom w:val="0"/>
      <w:divBdr>
        <w:top w:val="none" w:sz="0" w:space="0" w:color="auto"/>
        <w:left w:val="none" w:sz="0" w:space="0" w:color="auto"/>
        <w:bottom w:val="none" w:sz="0" w:space="0" w:color="auto"/>
        <w:right w:val="none" w:sz="0" w:space="0" w:color="auto"/>
      </w:divBdr>
    </w:div>
    <w:div w:id="624502903">
      <w:bodyDiv w:val="1"/>
      <w:marLeft w:val="0"/>
      <w:marRight w:val="0"/>
      <w:marTop w:val="0"/>
      <w:marBottom w:val="0"/>
      <w:divBdr>
        <w:top w:val="none" w:sz="0" w:space="0" w:color="auto"/>
        <w:left w:val="none" w:sz="0" w:space="0" w:color="auto"/>
        <w:bottom w:val="none" w:sz="0" w:space="0" w:color="auto"/>
        <w:right w:val="none" w:sz="0" w:space="0" w:color="auto"/>
      </w:divBdr>
    </w:div>
    <w:div w:id="977417581">
      <w:bodyDiv w:val="1"/>
      <w:marLeft w:val="0"/>
      <w:marRight w:val="0"/>
      <w:marTop w:val="0"/>
      <w:marBottom w:val="0"/>
      <w:divBdr>
        <w:top w:val="none" w:sz="0" w:space="0" w:color="auto"/>
        <w:left w:val="none" w:sz="0" w:space="0" w:color="auto"/>
        <w:bottom w:val="none" w:sz="0" w:space="0" w:color="auto"/>
        <w:right w:val="none" w:sz="0" w:space="0" w:color="auto"/>
      </w:divBdr>
      <w:divsChild>
        <w:div w:id="822698402">
          <w:marLeft w:val="0"/>
          <w:marRight w:val="0"/>
          <w:marTop w:val="0"/>
          <w:marBottom w:val="0"/>
          <w:divBdr>
            <w:top w:val="single" w:sz="2" w:space="0" w:color="auto"/>
            <w:left w:val="single" w:sz="2" w:space="0" w:color="auto"/>
            <w:bottom w:val="single" w:sz="2" w:space="0" w:color="auto"/>
            <w:right w:val="single" w:sz="2" w:space="0" w:color="auto"/>
          </w:divBdr>
          <w:divsChild>
            <w:div w:id="292952091">
              <w:marLeft w:val="0"/>
              <w:marRight w:val="0"/>
              <w:marTop w:val="0"/>
              <w:marBottom w:val="0"/>
              <w:divBdr>
                <w:top w:val="single" w:sz="2" w:space="0" w:color="auto"/>
                <w:left w:val="single" w:sz="2" w:space="0" w:color="auto"/>
                <w:bottom w:val="single" w:sz="2" w:space="0" w:color="auto"/>
                <w:right w:val="single" w:sz="2" w:space="0" w:color="auto"/>
              </w:divBdr>
              <w:divsChild>
                <w:div w:id="21639512">
                  <w:marLeft w:val="0"/>
                  <w:marRight w:val="0"/>
                  <w:marTop w:val="0"/>
                  <w:marBottom w:val="0"/>
                  <w:divBdr>
                    <w:top w:val="single" w:sz="2" w:space="0" w:color="auto"/>
                    <w:left w:val="single" w:sz="2" w:space="0" w:color="auto"/>
                    <w:bottom w:val="single" w:sz="2" w:space="0" w:color="auto"/>
                    <w:right w:val="single" w:sz="2" w:space="0" w:color="auto"/>
                  </w:divBdr>
                  <w:divsChild>
                    <w:div w:id="1069621397">
                      <w:marLeft w:val="0"/>
                      <w:marRight w:val="0"/>
                      <w:marTop w:val="0"/>
                      <w:marBottom w:val="0"/>
                      <w:divBdr>
                        <w:top w:val="single" w:sz="2" w:space="0" w:color="auto"/>
                        <w:left w:val="single" w:sz="2" w:space="0" w:color="auto"/>
                        <w:bottom w:val="single" w:sz="2" w:space="0" w:color="auto"/>
                        <w:right w:val="single" w:sz="2" w:space="0" w:color="auto"/>
                      </w:divBdr>
                      <w:divsChild>
                        <w:div w:id="732774256">
                          <w:marLeft w:val="0"/>
                          <w:marRight w:val="0"/>
                          <w:marTop w:val="0"/>
                          <w:marBottom w:val="0"/>
                          <w:divBdr>
                            <w:top w:val="single" w:sz="2" w:space="0" w:color="auto"/>
                            <w:left w:val="single" w:sz="2" w:space="0" w:color="auto"/>
                            <w:bottom w:val="single" w:sz="2" w:space="0" w:color="auto"/>
                            <w:right w:val="single" w:sz="2" w:space="0" w:color="auto"/>
                          </w:divBdr>
                          <w:divsChild>
                            <w:div w:id="1007363139">
                              <w:marLeft w:val="0"/>
                              <w:marRight w:val="0"/>
                              <w:marTop w:val="0"/>
                              <w:marBottom w:val="0"/>
                              <w:divBdr>
                                <w:top w:val="single" w:sz="2" w:space="0" w:color="auto"/>
                                <w:left w:val="single" w:sz="2" w:space="0" w:color="auto"/>
                                <w:bottom w:val="single" w:sz="2" w:space="0" w:color="auto"/>
                                <w:right w:val="single" w:sz="2" w:space="0" w:color="auto"/>
                              </w:divBdr>
                              <w:divsChild>
                                <w:div w:id="16746436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27215028">
                          <w:marLeft w:val="0"/>
                          <w:marRight w:val="0"/>
                          <w:marTop w:val="0"/>
                          <w:marBottom w:val="0"/>
                          <w:divBdr>
                            <w:top w:val="single" w:sz="2" w:space="0" w:color="auto"/>
                            <w:left w:val="single" w:sz="2" w:space="0" w:color="auto"/>
                            <w:bottom w:val="single" w:sz="2" w:space="0" w:color="auto"/>
                            <w:right w:val="single" w:sz="2" w:space="0" w:color="auto"/>
                          </w:divBdr>
                          <w:divsChild>
                            <w:div w:id="621224957">
                              <w:marLeft w:val="0"/>
                              <w:marRight w:val="0"/>
                              <w:marTop w:val="0"/>
                              <w:marBottom w:val="0"/>
                              <w:divBdr>
                                <w:top w:val="single" w:sz="2" w:space="0" w:color="auto"/>
                                <w:left w:val="single" w:sz="2" w:space="0" w:color="auto"/>
                                <w:bottom w:val="single" w:sz="2" w:space="0" w:color="auto"/>
                                <w:right w:val="single" w:sz="2" w:space="0" w:color="auto"/>
                              </w:divBdr>
                              <w:divsChild>
                                <w:div w:id="294331796">
                                  <w:marLeft w:val="0"/>
                                  <w:marRight w:val="0"/>
                                  <w:marTop w:val="0"/>
                                  <w:marBottom w:val="0"/>
                                  <w:divBdr>
                                    <w:top w:val="single" w:sz="2" w:space="0" w:color="auto"/>
                                    <w:left w:val="single" w:sz="2" w:space="0" w:color="auto"/>
                                    <w:bottom w:val="single" w:sz="2" w:space="0" w:color="auto"/>
                                    <w:right w:val="single" w:sz="2" w:space="0" w:color="auto"/>
                                  </w:divBdr>
                                  <w:divsChild>
                                    <w:div w:id="125324721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618074158">
              <w:marLeft w:val="0"/>
              <w:marRight w:val="0"/>
              <w:marTop w:val="0"/>
              <w:marBottom w:val="0"/>
              <w:divBdr>
                <w:top w:val="single" w:sz="2" w:space="0" w:color="auto"/>
                <w:left w:val="single" w:sz="2" w:space="0" w:color="auto"/>
                <w:bottom w:val="single" w:sz="2" w:space="0" w:color="auto"/>
                <w:right w:val="single" w:sz="2" w:space="0" w:color="auto"/>
              </w:divBdr>
              <w:divsChild>
                <w:div w:id="754671754">
                  <w:marLeft w:val="0"/>
                  <w:marRight w:val="0"/>
                  <w:marTop w:val="0"/>
                  <w:marBottom w:val="0"/>
                  <w:divBdr>
                    <w:top w:val="single" w:sz="2" w:space="0" w:color="auto"/>
                    <w:left w:val="single" w:sz="2" w:space="0" w:color="auto"/>
                    <w:bottom w:val="single" w:sz="2" w:space="0" w:color="auto"/>
                    <w:right w:val="single" w:sz="2" w:space="0" w:color="auto"/>
                  </w:divBdr>
                  <w:divsChild>
                    <w:div w:id="15823258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009874544">
      <w:bodyDiv w:val="1"/>
      <w:marLeft w:val="0"/>
      <w:marRight w:val="0"/>
      <w:marTop w:val="0"/>
      <w:marBottom w:val="0"/>
      <w:divBdr>
        <w:top w:val="none" w:sz="0" w:space="0" w:color="auto"/>
        <w:left w:val="none" w:sz="0" w:space="0" w:color="auto"/>
        <w:bottom w:val="none" w:sz="0" w:space="0" w:color="auto"/>
        <w:right w:val="none" w:sz="0" w:space="0" w:color="auto"/>
      </w:divBdr>
      <w:divsChild>
        <w:div w:id="580868954">
          <w:marLeft w:val="0"/>
          <w:marRight w:val="0"/>
          <w:marTop w:val="0"/>
          <w:marBottom w:val="0"/>
          <w:divBdr>
            <w:top w:val="none" w:sz="0" w:space="0" w:color="auto"/>
            <w:left w:val="none" w:sz="0" w:space="0" w:color="auto"/>
            <w:bottom w:val="none" w:sz="0" w:space="0" w:color="auto"/>
            <w:right w:val="none" w:sz="0" w:space="0" w:color="auto"/>
          </w:divBdr>
          <w:divsChild>
            <w:div w:id="1582375059">
              <w:marLeft w:val="0"/>
              <w:marRight w:val="0"/>
              <w:marTop w:val="0"/>
              <w:marBottom w:val="0"/>
              <w:divBdr>
                <w:top w:val="none" w:sz="0" w:space="0" w:color="auto"/>
                <w:left w:val="none" w:sz="0" w:space="0" w:color="auto"/>
                <w:bottom w:val="none" w:sz="0" w:space="0" w:color="auto"/>
                <w:right w:val="none" w:sz="0" w:space="0" w:color="auto"/>
              </w:divBdr>
              <w:divsChild>
                <w:div w:id="1831364144">
                  <w:marLeft w:val="0"/>
                  <w:marRight w:val="0"/>
                  <w:marTop w:val="0"/>
                  <w:marBottom w:val="0"/>
                  <w:divBdr>
                    <w:top w:val="none" w:sz="0" w:space="0" w:color="auto"/>
                    <w:left w:val="none" w:sz="0" w:space="0" w:color="auto"/>
                    <w:bottom w:val="none" w:sz="0" w:space="0" w:color="auto"/>
                    <w:right w:val="none" w:sz="0" w:space="0" w:color="auto"/>
                  </w:divBdr>
                  <w:divsChild>
                    <w:div w:id="623775608">
                      <w:marLeft w:val="0"/>
                      <w:marRight w:val="0"/>
                      <w:marTop w:val="0"/>
                      <w:marBottom w:val="0"/>
                      <w:divBdr>
                        <w:top w:val="none" w:sz="0" w:space="0" w:color="auto"/>
                        <w:left w:val="none" w:sz="0" w:space="0" w:color="auto"/>
                        <w:bottom w:val="none" w:sz="0" w:space="0" w:color="auto"/>
                        <w:right w:val="none" w:sz="0" w:space="0" w:color="auto"/>
                      </w:divBdr>
                      <w:divsChild>
                        <w:div w:id="1173497768">
                          <w:marLeft w:val="0"/>
                          <w:marRight w:val="0"/>
                          <w:marTop w:val="0"/>
                          <w:marBottom w:val="0"/>
                          <w:divBdr>
                            <w:top w:val="none" w:sz="0" w:space="0" w:color="auto"/>
                            <w:left w:val="none" w:sz="0" w:space="0" w:color="auto"/>
                            <w:bottom w:val="none" w:sz="0" w:space="0" w:color="auto"/>
                            <w:right w:val="none" w:sz="0" w:space="0" w:color="auto"/>
                          </w:divBdr>
                          <w:divsChild>
                            <w:div w:id="14037124">
                              <w:marLeft w:val="0"/>
                              <w:marRight w:val="0"/>
                              <w:marTop w:val="0"/>
                              <w:marBottom w:val="0"/>
                              <w:divBdr>
                                <w:top w:val="none" w:sz="0" w:space="0" w:color="auto"/>
                                <w:left w:val="none" w:sz="0" w:space="0" w:color="auto"/>
                                <w:bottom w:val="none" w:sz="0" w:space="0" w:color="auto"/>
                                <w:right w:val="none" w:sz="0" w:space="0" w:color="auto"/>
                              </w:divBdr>
                              <w:divsChild>
                                <w:div w:id="193438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383318">
                          <w:marLeft w:val="0"/>
                          <w:marRight w:val="0"/>
                          <w:marTop w:val="0"/>
                          <w:marBottom w:val="0"/>
                          <w:divBdr>
                            <w:top w:val="none" w:sz="0" w:space="0" w:color="auto"/>
                            <w:left w:val="none" w:sz="0" w:space="0" w:color="auto"/>
                            <w:bottom w:val="none" w:sz="0" w:space="0" w:color="auto"/>
                            <w:right w:val="none" w:sz="0" w:space="0" w:color="auto"/>
                          </w:divBdr>
                          <w:divsChild>
                            <w:div w:id="1393579817">
                              <w:marLeft w:val="0"/>
                              <w:marRight w:val="0"/>
                              <w:marTop w:val="0"/>
                              <w:marBottom w:val="0"/>
                              <w:divBdr>
                                <w:top w:val="none" w:sz="0" w:space="0" w:color="auto"/>
                                <w:left w:val="none" w:sz="0" w:space="0" w:color="auto"/>
                                <w:bottom w:val="none" w:sz="0" w:space="0" w:color="auto"/>
                                <w:right w:val="none" w:sz="0" w:space="0" w:color="auto"/>
                              </w:divBdr>
                              <w:divsChild>
                                <w:div w:id="253587596">
                                  <w:marLeft w:val="0"/>
                                  <w:marRight w:val="0"/>
                                  <w:marTop w:val="0"/>
                                  <w:marBottom w:val="0"/>
                                  <w:divBdr>
                                    <w:top w:val="none" w:sz="0" w:space="0" w:color="auto"/>
                                    <w:left w:val="none" w:sz="0" w:space="0" w:color="auto"/>
                                    <w:bottom w:val="none" w:sz="0" w:space="0" w:color="auto"/>
                                    <w:right w:val="none" w:sz="0" w:space="0" w:color="auto"/>
                                  </w:divBdr>
                                  <w:divsChild>
                                    <w:div w:id="154752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6120616">
              <w:marLeft w:val="0"/>
              <w:marRight w:val="0"/>
              <w:marTop w:val="0"/>
              <w:marBottom w:val="0"/>
              <w:divBdr>
                <w:top w:val="none" w:sz="0" w:space="0" w:color="auto"/>
                <w:left w:val="none" w:sz="0" w:space="0" w:color="auto"/>
                <w:bottom w:val="none" w:sz="0" w:space="0" w:color="auto"/>
                <w:right w:val="none" w:sz="0" w:space="0" w:color="auto"/>
              </w:divBdr>
              <w:divsChild>
                <w:div w:id="1343899006">
                  <w:marLeft w:val="0"/>
                  <w:marRight w:val="0"/>
                  <w:marTop w:val="0"/>
                  <w:marBottom w:val="0"/>
                  <w:divBdr>
                    <w:top w:val="none" w:sz="0" w:space="0" w:color="auto"/>
                    <w:left w:val="none" w:sz="0" w:space="0" w:color="auto"/>
                    <w:bottom w:val="none" w:sz="0" w:space="0" w:color="auto"/>
                    <w:right w:val="none" w:sz="0" w:space="0" w:color="auto"/>
                  </w:divBdr>
                  <w:divsChild>
                    <w:div w:id="1233006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9399575">
      <w:bodyDiv w:val="1"/>
      <w:marLeft w:val="0"/>
      <w:marRight w:val="0"/>
      <w:marTop w:val="0"/>
      <w:marBottom w:val="0"/>
      <w:divBdr>
        <w:top w:val="none" w:sz="0" w:space="0" w:color="auto"/>
        <w:left w:val="none" w:sz="0" w:space="0" w:color="auto"/>
        <w:bottom w:val="none" w:sz="0" w:space="0" w:color="auto"/>
        <w:right w:val="none" w:sz="0" w:space="0" w:color="auto"/>
      </w:divBdr>
    </w:div>
    <w:div w:id="1442216401">
      <w:bodyDiv w:val="1"/>
      <w:marLeft w:val="0"/>
      <w:marRight w:val="0"/>
      <w:marTop w:val="0"/>
      <w:marBottom w:val="0"/>
      <w:divBdr>
        <w:top w:val="none" w:sz="0" w:space="0" w:color="auto"/>
        <w:left w:val="none" w:sz="0" w:space="0" w:color="auto"/>
        <w:bottom w:val="none" w:sz="0" w:space="0" w:color="auto"/>
        <w:right w:val="none" w:sz="0" w:space="0" w:color="auto"/>
      </w:divBdr>
    </w:div>
    <w:div w:id="1555116365">
      <w:bodyDiv w:val="1"/>
      <w:marLeft w:val="0"/>
      <w:marRight w:val="0"/>
      <w:marTop w:val="0"/>
      <w:marBottom w:val="0"/>
      <w:divBdr>
        <w:top w:val="none" w:sz="0" w:space="0" w:color="auto"/>
        <w:left w:val="none" w:sz="0" w:space="0" w:color="auto"/>
        <w:bottom w:val="none" w:sz="0" w:space="0" w:color="auto"/>
        <w:right w:val="none" w:sz="0" w:space="0" w:color="auto"/>
      </w:divBdr>
    </w:div>
    <w:div w:id="1613247321">
      <w:bodyDiv w:val="1"/>
      <w:marLeft w:val="0"/>
      <w:marRight w:val="0"/>
      <w:marTop w:val="0"/>
      <w:marBottom w:val="0"/>
      <w:divBdr>
        <w:top w:val="none" w:sz="0" w:space="0" w:color="auto"/>
        <w:left w:val="none" w:sz="0" w:space="0" w:color="auto"/>
        <w:bottom w:val="none" w:sz="0" w:space="0" w:color="auto"/>
        <w:right w:val="none" w:sz="0" w:space="0" w:color="auto"/>
      </w:divBdr>
    </w:div>
    <w:div w:id="1641378611">
      <w:bodyDiv w:val="1"/>
      <w:marLeft w:val="0"/>
      <w:marRight w:val="0"/>
      <w:marTop w:val="0"/>
      <w:marBottom w:val="0"/>
      <w:divBdr>
        <w:top w:val="none" w:sz="0" w:space="0" w:color="auto"/>
        <w:left w:val="none" w:sz="0" w:space="0" w:color="auto"/>
        <w:bottom w:val="none" w:sz="0" w:space="0" w:color="auto"/>
        <w:right w:val="none" w:sz="0" w:space="0" w:color="auto"/>
      </w:divBdr>
    </w:div>
    <w:div w:id="1670282130">
      <w:bodyDiv w:val="1"/>
      <w:marLeft w:val="0"/>
      <w:marRight w:val="0"/>
      <w:marTop w:val="0"/>
      <w:marBottom w:val="0"/>
      <w:divBdr>
        <w:top w:val="none" w:sz="0" w:space="0" w:color="auto"/>
        <w:left w:val="none" w:sz="0" w:space="0" w:color="auto"/>
        <w:bottom w:val="none" w:sz="0" w:space="0" w:color="auto"/>
        <w:right w:val="none" w:sz="0" w:space="0" w:color="auto"/>
      </w:divBdr>
      <w:divsChild>
        <w:div w:id="606238414">
          <w:marLeft w:val="0"/>
          <w:marRight w:val="0"/>
          <w:marTop w:val="0"/>
          <w:marBottom w:val="0"/>
          <w:divBdr>
            <w:top w:val="single" w:sz="2" w:space="0" w:color="auto"/>
            <w:left w:val="single" w:sz="2" w:space="0" w:color="auto"/>
            <w:bottom w:val="single" w:sz="2" w:space="0" w:color="auto"/>
            <w:right w:val="single" w:sz="2" w:space="0" w:color="auto"/>
          </w:divBdr>
          <w:divsChild>
            <w:div w:id="519009412">
              <w:marLeft w:val="0"/>
              <w:marRight w:val="0"/>
              <w:marTop w:val="0"/>
              <w:marBottom w:val="0"/>
              <w:divBdr>
                <w:top w:val="single" w:sz="2" w:space="0" w:color="auto"/>
                <w:left w:val="single" w:sz="2" w:space="0" w:color="auto"/>
                <w:bottom w:val="single" w:sz="2" w:space="0" w:color="auto"/>
                <w:right w:val="single" w:sz="2" w:space="0" w:color="auto"/>
              </w:divBdr>
              <w:divsChild>
                <w:div w:id="884218229">
                  <w:marLeft w:val="0"/>
                  <w:marRight w:val="0"/>
                  <w:marTop w:val="0"/>
                  <w:marBottom w:val="0"/>
                  <w:divBdr>
                    <w:top w:val="single" w:sz="2" w:space="0" w:color="auto"/>
                    <w:left w:val="single" w:sz="2" w:space="0" w:color="auto"/>
                    <w:bottom w:val="single" w:sz="2" w:space="0" w:color="auto"/>
                    <w:right w:val="single" w:sz="2" w:space="0" w:color="auto"/>
                  </w:divBdr>
                  <w:divsChild>
                    <w:div w:id="1147893449">
                      <w:marLeft w:val="0"/>
                      <w:marRight w:val="0"/>
                      <w:marTop w:val="0"/>
                      <w:marBottom w:val="0"/>
                      <w:divBdr>
                        <w:top w:val="single" w:sz="2" w:space="0" w:color="auto"/>
                        <w:left w:val="single" w:sz="2" w:space="0" w:color="auto"/>
                        <w:bottom w:val="single" w:sz="2" w:space="0" w:color="auto"/>
                        <w:right w:val="single" w:sz="2" w:space="0" w:color="auto"/>
                      </w:divBdr>
                      <w:divsChild>
                        <w:div w:id="2078700955">
                          <w:marLeft w:val="0"/>
                          <w:marRight w:val="0"/>
                          <w:marTop w:val="0"/>
                          <w:marBottom w:val="0"/>
                          <w:divBdr>
                            <w:top w:val="single" w:sz="2" w:space="0" w:color="auto"/>
                            <w:left w:val="single" w:sz="2" w:space="0" w:color="auto"/>
                            <w:bottom w:val="single" w:sz="2" w:space="0" w:color="auto"/>
                            <w:right w:val="single" w:sz="2" w:space="0" w:color="auto"/>
                          </w:divBdr>
                          <w:divsChild>
                            <w:div w:id="1843200954">
                              <w:marLeft w:val="0"/>
                              <w:marRight w:val="0"/>
                              <w:marTop w:val="0"/>
                              <w:marBottom w:val="0"/>
                              <w:divBdr>
                                <w:top w:val="single" w:sz="2" w:space="0" w:color="auto"/>
                                <w:left w:val="single" w:sz="2" w:space="0" w:color="auto"/>
                                <w:bottom w:val="single" w:sz="2" w:space="0" w:color="auto"/>
                                <w:right w:val="single" w:sz="2" w:space="0" w:color="auto"/>
                              </w:divBdr>
                              <w:divsChild>
                                <w:div w:id="66941089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70117415">
                          <w:marLeft w:val="0"/>
                          <w:marRight w:val="0"/>
                          <w:marTop w:val="0"/>
                          <w:marBottom w:val="0"/>
                          <w:divBdr>
                            <w:top w:val="single" w:sz="2" w:space="0" w:color="auto"/>
                            <w:left w:val="single" w:sz="2" w:space="0" w:color="auto"/>
                            <w:bottom w:val="single" w:sz="2" w:space="0" w:color="auto"/>
                            <w:right w:val="single" w:sz="2" w:space="0" w:color="auto"/>
                          </w:divBdr>
                          <w:divsChild>
                            <w:div w:id="55397881">
                              <w:marLeft w:val="0"/>
                              <w:marRight w:val="0"/>
                              <w:marTop w:val="0"/>
                              <w:marBottom w:val="0"/>
                              <w:divBdr>
                                <w:top w:val="single" w:sz="2" w:space="0" w:color="auto"/>
                                <w:left w:val="single" w:sz="2" w:space="0" w:color="auto"/>
                                <w:bottom w:val="single" w:sz="2" w:space="0" w:color="auto"/>
                                <w:right w:val="single" w:sz="2" w:space="0" w:color="auto"/>
                              </w:divBdr>
                              <w:divsChild>
                                <w:div w:id="419374196">
                                  <w:marLeft w:val="0"/>
                                  <w:marRight w:val="0"/>
                                  <w:marTop w:val="0"/>
                                  <w:marBottom w:val="0"/>
                                  <w:divBdr>
                                    <w:top w:val="single" w:sz="2" w:space="0" w:color="auto"/>
                                    <w:left w:val="single" w:sz="2" w:space="0" w:color="auto"/>
                                    <w:bottom w:val="single" w:sz="2" w:space="0" w:color="auto"/>
                                    <w:right w:val="single" w:sz="2" w:space="0" w:color="auto"/>
                                  </w:divBdr>
                                  <w:divsChild>
                                    <w:div w:id="16311283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436025729">
              <w:marLeft w:val="0"/>
              <w:marRight w:val="0"/>
              <w:marTop w:val="0"/>
              <w:marBottom w:val="0"/>
              <w:divBdr>
                <w:top w:val="single" w:sz="2" w:space="0" w:color="auto"/>
                <w:left w:val="single" w:sz="2" w:space="0" w:color="auto"/>
                <w:bottom w:val="single" w:sz="2" w:space="0" w:color="auto"/>
                <w:right w:val="single" w:sz="2" w:space="0" w:color="auto"/>
              </w:divBdr>
              <w:divsChild>
                <w:div w:id="872571985">
                  <w:marLeft w:val="0"/>
                  <w:marRight w:val="0"/>
                  <w:marTop w:val="0"/>
                  <w:marBottom w:val="0"/>
                  <w:divBdr>
                    <w:top w:val="single" w:sz="2" w:space="0" w:color="auto"/>
                    <w:left w:val="single" w:sz="2" w:space="0" w:color="auto"/>
                    <w:bottom w:val="single" w:sz="2" w:space="0" w:color="auto"/>
                    <w:right w:val="single" w:sz="2" w:space="0" w:color="auto"/>
                  </w:divBdr>
                  <w:divsChild>
                    <w:div w:id="5889327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766803142">
      <w:bodyDiv w:val="1"/>
      <w:marLeft w:val="0"/>
      <w:marRight w:val="0"/>
      <w:marTop w:val="0"/>
      <w:marBottom w:val="0"/>
      <w:divBdr>
        <w:top w:val="none" w:sz="0" w:space="0" w:color="auto"/>
        <w:left w:val="none" w:sz="0" w:space="0" w:color="auto"/>
        <w:bottom w:val="none" w:sz="0" w:space="0" w:color="auto"/>
        <w:right w:val="none" w:sz="0" w:space="0" w:color="auto"/>
      </w:divBdr>
    </w:div>
    <w:div w:id="1790658107">
      <w:bodyDiv w:val="1"/>
      <w:marLeft w:val="0"/>
      <w:marRight w:val="0"/>
      <w:marTop w:val="0"/>
      <w:marBottom w:val="0"/>
      <w:divBdr>
        <w:top w:val="none" w:sz="0" w:space="0" w:color="auto"/>
        <w:left w:val="none" w:sz="0" w:space="0" w:color="auto"/>
        <w:bottom w:val="none" w:sz="0" w:space="0" w:color="auto"/>
        <w:right w:val="none" w:sz="0" w:space="0" w:color="auto"/>
      </w:divBdr>
    </w:div>
    <w:div w:id="2057191641">
      <w:bodyDiv w:val="1"/>
      <w:marLeft w:val="0"/>
      <w:marRight w:val="0"/>
      <w:marTop w:val="0"/>
      <w:marBottom w:val="0"/>
      <w:divBdr>
        <w:top w:val="none" w:sz="0" w:space="0" w:color="auto"/>
        <w:left w:val="none" w:sz="0" w:space="0" w:color="auto"/>
        <w:bottom w:val="none" w:sz="0" w:space="0" w:color="auto"/>
        <w:right w:val="none" w:sz="0" w:space="0" w:color="auto"/>
      </w:divBdr>
    </w:div>
    <w:div w:id="21436924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theme" Target="theme/theme1.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1606</TotalTime>
  <Pages>13</Pages>
  <Words>17160</Words>
  <Characters>97815</Characters>
  <Application>Microsoft Office Word</Application>
  <DocSecurity>0</DocSecurity>
  <Lines>815</Lines>
  <Paragraphs>229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Benjamin J. Makhlouf</cp:lastModifiedBy>
  <cp:revision>16</cp:revision>
  <dcterms:created xsi:type="dcterms:W3CDTF">2025-07-26T18:19:00Z</dcterms:created>
  <dcterms:modified xsi:type="dcterms:W3CDTF">2025-07-29T15:08:00Z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id="h4h2qxOD"/&gt;&lt;style id="http://www.zotero.org/styles/journal-of-applied-ecology" hasBibliography="1" bibliographyStyleHasBeenSet="0"/&gt;&lt;prefs&gt;&lt;pref name="fieldType" value="Field"/&gt;&lt;/prefs&gt;&lt;/data&gt;</vt:lpwstr>
  </property>
</Properties>
</file>