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534439ED" w14:textId="7FE35B4C" w:rsidR="0090107F" w:rsidRDefault="00711069" w:rsidP="00F552CD">
      <w:pPr>
        <w:spacing w:line="480" w:lineRule="auto"/>
        <w:ind w:firstLine="720"/>
        <w:rPr>
          <w:rFonts w:ascii="Garamond" w:hAnsi="Garamond"/>
          <w:sz w:val="22"/>
          <w:szCs w:val="22"/>
        </w:rPr>
      </w:pPr>
      <w:r w:rsidRPr="00711069">
        <w:rPr>
          <w:rFonts w:ascii="Garamond" w:hAnsi="Garamond"/>
          <w:sz w:val="22"/>
          <w:szCs w:val="22"/>
        </w:rPr>
        <w:t xml:space="preserve">A key challenge in fisheries management is the need to maximize harvest opportunities while maintaining and protecting biodiversity. This challenge is present in mixed species fisheries, where harvesting productive species often risks over-exploitation of non-target co-occurring species of concern. The same challenge also arises in single species mixed stock fisheries, where a single run </w:t>
      </w:r>
      <w:r>
        <w:rPr>
          <w:rFonts w:ascii="Garamond" w:hAnsi="Garamond"/>
          <w:sz w:val="22"/>
          <w:szCs w:val="22"/>
        </w:rPr>
        <w:t>consists</w:t>
      </w:r>
      <w:r w:rsidRPr="00711069">
        <w:rPr>
          <w:rFonts w:ascii="Garamond" w:hAnsi="Garamond"/>
          <w:sz w:val="22"/>
          <w:szCs w:val="22"/>
        </w:rPr>
        <w:t xml:space="preserve"> of several unique stock components that together contribute to biocomplexity</w:t>
      </w:r>
      <w:r>
        <w:rPr>
          <w:rFonts w:ascii="Garamond" w:hAnsi="Garamond"/>
          <w:sz w:val="22"/>
          <w:szCs w:val="22"/>
        </w:rPr>
        <w:t xml:space="preserve"> in the form of variable life history strategies and genetic makeup. This intraspecies biocomplexity increase</w:t>
      </w:r>
      <w:r w:rsidR="004C2230">
        <w:rPr>
          <w:rFonts w:ascii="Garamond" w:hAnsi="Garamond"/>
          <w:sz w:val="22"/>
          <w:szCs w:val="22"/>
        </w:rPr>
        <w:t>s</w:t>
      </w:r>
      <w:r>
        <w:rPr>
          <w:rFonts w:ascii="Garamond" w:hAnsi="Garamond"/>
          <w:sz w:val="22"/>
          <w:szCs w:val="22"/>
        </w:rPr>
        <w:t xml:space="preserve"> ecosystem stability by distributing risk across several weakly or negatively correlated sub-components. </w:t>
      </w:r>
      <w:r w:rsidR="004C2230">
        <w:rPr>
          <w:rFonts w:ascii="Garamond" w:hAnsi="Garamond"/>
          <w:sz w:val="22"/>
          <w:szCs w:val="22"/>
        </w:rPr>
        <w:t xml:space="preserve">Additionally, </w:t>
      </w:r>
      <w:r>
        <w:rPr>
          <w:rFonts w:ascii="Garamond" w:hAnsi="Garamond"/>
          <w:sz w:val="22"/>
          <w:szCs w:val="22"/>
        </w:rPr>
        <w:t xml:space="preserve">for </w:t>
      </w:r>
      <w:r w:rsidR="003D30C7">
        <w:rPr>
          <w:rFonts w:ascii="Garamond" w:hAnsi="Garamond"/>
          <w:sz w:val="22"/>
          <w:szCs w:val="22"/>
        </w:rPr>
        <w:t xml:space="preserve">fisheries which can harvest across several of these stock components, biocomplexity in life history may help reduce pressure on a single stock by distributing fishing pressure across </w:t>
      </w:r>
      <w:r w:rsidR="004C2230">
        <w:rPr>
          <w:rFonts w:ascii="Garamond" w:hAnsi="Garamond"/>
          <w:sz w:val="22"/>
          <w:szCs w:val="22"/>
        </w:rPr>
        <w:t>broader</w:t>
      </w:r>
      <w:r w:rsidR="003D30C7">
        <w:rPr>
          <w:rFonts w:ascii="Garamond" w:hAnsi="Garamond"/>
          <w:sz w:val="22"/>
          <w:szCs w:val="22"/>
        </w:rPr>
        <w:t xml:space="preserve"> spatial and temporal scale</w:t>
      </w:r>
      <w:r w:rsidR="004C2230">
        <w:rPr>
          <w:rFonts w:ascii="Garamond" w:hAnsi="Garamond"/>
          <w:sz w:val="22"/>
          <w:szCs w:val="22"/>
        </w:rPr>
        <w:t>s</w:t>
      </w:r>
      <w:r w:rsidR="003D30C7">
        <w:rPr>
          <w:rFonts w:ascii="Garamond" w:hAnsi="Garamond"/>
          <w:sz w:val="22"/>
          <w:szCs w:val="22"/>
        </w:rPr>
        <w:t xml:space="preserve">. </w:t>
      </w:r>
    </w:p>
    <w:p w14:paraId="6FEF6D78" w14:textId="013D78BA" w:rsidR="001269D4" w:rsidRDefault="003D30C7" w:rsidP="001269D4">
      <w:pPr>
        <w:spacing w:line="480" w:lineRule="auto"/>
        <w:ind w:firstLine="720"/>
        <w:rPr>
          <w:rFonts w:ascii="Garamond" w:hAnsi="Garamond"/>
          <w:sz w:val="22"/>
          <w:szCs w:val="22"/>
        </w:rPr>
      </w:pPr>
      <w:r w:rsidRPr="003D30C7">
        <w:rPr>
          <w:rFonts w:ascii="Garamond" w:hAnsi="Garamond"/>
          <w:sz w:val="22"/>
          <w:szCs w:val="22"/>
        </w:rPr>
        <w:t>In salmon ecosystems, the existence and benefits of significant intrapopulation biocomplexity have been well established. Within a given population, variability in return timing and spatial distribution of habitat use distributes the risk of perturbation across both space and time</w:t>
      </w:r>
      <w:r>
        <w:rPr>
          <w:rFonts w:ascii="Garamond" w:hAnsi="Garamond"/>
          <w:sz w:val="22"/>
          <w:szCs w:val="22"/>
        </w:rPr>
        <w:t xml:space="preserve"> </w:t>
      </w:r>
      <w:r w:rsidRPr="003D30C7">
        <w:rPr>
          <w:rFonts w:ascii="Garamond" w:hAnsi="Garamond"/>
          <w:sz w:val="22"/>
          <w:szCs w:val="22"/>
        </w:rPr>
        <w:t>both within and among years.</w:t>
      </w:r>
      <w:r w:rsidR="00D43F43">
        <w:rPr>
          <w:rFonts w:ascii="Garamond" w:hAnsi="Garamond"/>
          <w:sz w:val="22"/>
          <w:szCs w:val="22"/>
        </w:rPr>
        <w:t xml:space="preserve"> </w:t>
      </w:r>
      <w:r w:rsidR="00D43F43" w:rsidRPr="00D43F43">
        <w:rPr>
          <w:rFonts w:ascii="Garamond" w:hAnsi="Garamond"/>
          <w:sz w:val="22"/>
          <w:szCs w:val="22"/>
        </w:rPr>
        <w:t>In doing so, this biocomplexity increases ecosystem resilience to short-term or local changes in habitat conditions, maximizes genetic diversity, and stabilizes aggregate resource availability.</w:t>
      </w:r>
      <w:r w:rsidR="00D43F43">
        <w:rPr>
          <w:rFonts w:ascii="Garamond" w:hAnsi="Garamond"/>
          <w:sz w:val="22"/>
          <w:szCs w:val="22"/>
        </w:rPr>
        <w:t xml:space="preserve"> </w:t>
      </w:r>
      <w:r w:rsidR="00D43F43" w:rsidRPr="00D43F43">
        <w:rPr>
          <w:rFonts w:ascii="Garamond" w:hAnsi="Garamond"/>
          <w:sz w:val="22"/>
          <w:szCs w:val="22"/>
        </w:rPr>
        <w:t xml:space="preserve">For fisheries that harvest migrating stocks downstream, as is the case with many Pacific salmon fisheries, the reliability and duration of resource availability depends on the aggregate dynamics of upstream stocks. </w:t>
      </w:r>
      <w:r w:rsidR="00D43F43">
        <w:rPr>
          <w:rFonts w:ascii="Garamond" w:hAnsi="Garamond"/>
          <w:sz w:val="22"/>
          <w:szCs w:val="22"/>
        </w:rPr>
        <w:t>M</w:t>
      </w:r>
      <w:r w:rsidR="00D43F43" w:rsidRPr="00D43F43">
        <w:rPr>
          <w:rFonts w:ascii="Garamond" w:hAnsi="Garamond"/>
          <w:sz w:val="22"/>
          <w:szCs w:val="22"/>
        </w:rPr>
        <w:t xml:space="preserve">anagers </w:t>
      </w:r>
      <w:r w:rsidR="004C2230">
        <w:rPr>
          <w:rFonts w:ascii="Garamond" w:hAnsi="Garamond"/>
          <w:sz w:val="22"/>
          <w:szCs w:val="22"/>
        </w:rPr>
        <w:t>must therefore</w:t>
      </w:r>
      <w:r w:rsidR="00D43F43">
        <w:rPr>
          <w:rFonts w:ascii="Garamond" w:hAnsi="Garamond"/>
          <w:sz w:val="22"/>
          <w:szCs w:val="22"/>
        </w:rPr>
        <w:t xml:space="preserve"> </w:t>
      </w:r>
      <w:r w:rsidR="004C2230">
        <w:rPr>
          <w:rFonts w:ascii="Garamond" w:hAnsi="Garamond"/>
          <w:sz w:val="22"/>
          <w:szCs w:val="22"/>
        </w:rPr>
        <w:t>design</w:t>
      </w:r>
      <w:r w:rsidR="00D43F43" w:rsidRPr="00D43F43">
        <w:rPr>
          <w:rFonts w:ascii="Garamond" w:hAnsi="Garamond"/>
          <w:sz w:val="22"/>
          <w:szCs w:val="22"/>
        </w:rPr>
        <w:t xml:space="preserve"> harvest strategies that allow for downstream harvest while protecting the individual health of stock components</w:t>
      </w:r>
      <w:r w:rsidR="001269D4">
        <w:rPr>
          <w:rFonts w:ascii="Garamond" w:hAnsi="Garamond"/>
          <w:sz w:val="22"/>
          <w:szCs w:val="22"/>
        </w:rPr>
        <w:t xml:space="preserve">. </w:t>
      </w:r>
    </w:p>
    <w:p w14:paraId="01B29CDE" w14:textId="01FDA050" w:rsidR="007C6D95" w:rsidRDefault="000D6E8E" w:rsidP="000D6E8E">
      <w:pPr>
        <w:spacing w:line="480" w:lineRule="auto"/>
        <w:ind w:firstLine="720"/>
        <w:rPr>
          <w:rFonts w:ascii="Garamond" w:hAnsi="Garamond"/>
          <w:sz w:val="22"/>
          <w:szCs w:val="22"/>
        </w:rPr>
      </w:pPr>
      <w:r>
        <w:rPr>
          <w:rFonts w:ascii="Garamond" w:hAnsi="Garamond"/>
          <w:sz w:val="22"/>
          <w:szCs w:val="22"/>
        </w:rPr>
        <w:t>Watersheds in Western Alaska s</w:t>
      </w:r>
      <w:r w:rsidR="001269D4">
        <w:rPr>
          <w:rFonts w:ascii="Garamond" w:hAnsi="Garamond"/>
          <w:sz w:val="22"/>
          <w:szCs w:val="22"/>
        </w:rPr>
        <w:t>upport some of the largest salmon fisheries in the world</w:t>
      </w:r>
      <w:r>
        <w:rPr>
          <w:rFonts w:ascii="Garamond" w:hAnsi="Garamond"/>
          <w:sz w:val="22"/>
          <w:szCs w:val="22"/>
        </w:rPr>
        <w:t xml:space="preserve"> and contain some of the last pristine habitat for pacific salmon. However, these systems have </w:t>
      </w:r>
      <w:r w:rsidR="001269D4">
        <w:rPr>
          <w:rFonts w:ascii="Garamond" w:hAnsi="Garamond"/>
          <w:sz w:val="22"/>
          <w:szCs w:val="22"/>
        </w:rPr>
        <w:t xml:space="preserve">seen a precipitous decline in </w:t>
      </w:r>
      <w:r w:rsidR="001269D4">
        <w:rPr>
          <w:rFonts w:ascii="Garamond" w:hAnsi="Garamond"/>
          <w:sz w:val="22"/>
          <w:szCs w:val="22"/>
        </w:rPr>
        <w:lastRenderedPageBreak/>
        <w:t>Chinook and Chum salmon populations in recent years</w:t>
      </w:r>
      <w:r>
        <w:rPr>
          <w:rFonts w:ascii="Garamond" w:hAnsi="Garamond"/>
          <w:sz w:val="22"/>
          <w:szCs w:val="22"/>
        </w:rPr>
        <w:t>, leading to restricted</w:t>
      </w:r>
      <w:r w:rsidRPr="006D1917">
        <w:rPr>
          <w:rFonts w:ascii="Garamond" w:hAnsi="Garamond"/>
          <w:sz w:val="22"/>
          <w:szCs w:val="22"/>
        </w:rPr>
        <w:t xml:space="preserve"> subsistence fishing </w:t>
      </w:r>
      <w:r>
        <w:rPr>
          <w:rFonts w:ascii="Garamond" w:hAnsi="Garamond"/>
          <w:sz w:val="22"/>
          <w:szCs w:val="22"/>
        </w:rPr>
        <w:t xml:space="preserve">for indigenous communities in the region and </w:t>
      </w:r>
      <w:r w:rsidRPr="006D1917">
        <w:rPr>
          <w:rFonts w:ascii="Garamond" w:hAnsi="Garamond"/>
          <w:sz w:val="22"/>
          <w:szCs w:val="22"/>
        </w:rPr>
        <w:t>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r w:rsidRPr="006D1917">
        <w:rPr>
          <w:rFonts w:ascii="Garamond" w:hAnsi="Garamond"/>
          <w:sz w:val="22"/>
          <w:szCs w:val="22"/>
        </w:rPr>
        <w:t>As a result, resource managers</w:t>
      </w:r>
      <w:r>
        <w:rPr>
          <w:rFonts w:ascii="Garamond" w:hAnsi="Garamond"/>
          <w:sz w:val="22"/>
          <w:szCs w:val="22"/>
        </w:rPr>
        <w:t xml:space="preserve"> in Western Alaska</w:t>
      </w:r>
      <w:r w:rsidRPr="006D1917">
        <w:rPr>
          <w:rFonts w:ascii="Garamond" w:hAnsi="Garamond"/>
          <w:sz w:val="22"/>
          <w:szCs w:val="22"/>
        </w:rPr>
        <w:t xml:space="preserve"> face the difficult task of designing management strategies </w:t>
      </w:r>
      <w:r w:rsidR="007C6D95">
        <w:rPr>
          <w:rFonts w:ascii="Garamond" w:hAnsi="Garamond"/>
          <w:sz w:val="22"/>
          <w:szCs w:val="22"/>
        </w:rPr>
        <w:t>that</w:t>
      </w:r>
      <w:r w:rsidRPr="006D1917">
        <w:rPr>
          <w:rFonts w:ascii="Garamond" w:hAnsi="Garamond"/>
          <w:sz w:val="22"/>
          <w:szCs w:val="22"/>
        </w:rPr>
        <w:t xml:space="preserve"> balanc</w:t>
      </w:r>
      <w:r>
        <w:rPr>
          <w:rFonts w:ascii="Garamond" w:hAnsi="Garamond"/>
          <w:sz w:val="22"/>
          <w:szCs w:val="22"/>
        </w:rPr>
        <w:t>e</w:t>
      </w:r>
      <w:r w:rsidRPr="006D1917">
        <w:rPr>
          <w:rFonts w:ascii="Garamond" w:hAnsi="Garamond"/>
          <w:sz w:val="22"/>
          <w:szCs w:val="22"/>
        </w:rPr>
        <w:t xml:space="preserve"> ongoing </w:t>
      </w:r>
      <w:r>
        <w:rPr>
          <w:rFonts w:ascii="Garamond" w:hAnsi="Garamond"/>
          <w:sz w:val="22"/>
          <w:szCs w:val="22"/>
        </w:rPr>
        <w:t xml:space="preserve">commercial and subsistence </w:t>
      </w:r>
      <w:r w:rsidRPr="006D1917">
        <w:rPr>
          <w:rFonts w:ascii="Garamond" w:hAnsi="Garamond"/>
          <w:sz w:val="22"/>
          <w:szCs w:val="22"/>
        </w:rPr>
        <w:t xml:space="preserve">harvest opportunities </w:t>
      </w:r>
      <w:r>
        <w:rPr>
          <w:rFonts w:ascii="Garamond" w:hAnsi="Garamond"/>
          <w:sz w:val="22"/>
          <w:szCs w:val="22"/>
        </w:rPr>
        <w:t xml:space="preserve">throughout the region </w:t>
      </w:r>
      <w:r w:rsidRPr="006D1917">
        <w:rPr>
          <w:rFonts w:ascii="Garamond" w:hAnsi="Garamond"/>
          <w:sz w:val="22"/>
          <w:szCs w:val="22"/>
        </w:rPr>
        <w:t xml:space="preserve">with the urgent need to rebuild salmon populations and strengthen their resilience to future perturbations. </w:t>
      </w:r>
      <w:r w:rsidR="007C6D95" w:rsidRPr="007C6D95">
        <w:rPr>
          <w:rFonts w:ascii="Garamond" w:hAnsi="Garamond"/>
          <w:sz w:val="22"/>
          <w:szCs w:val="22"/>
        </w:rPr>
        <w:t>Designing these strategies relies on understanding the spatiotemporal dynamics of salmon returns to the system; however, there remains a relatively coarse and incomplete understanding of these dynamics given the spatial scale and remote nature of the region.</w:t>
      </w:r>
      <w:r w:rsidR="007C6D95">
        <w:rPr>
          <w:rFonts w:ascii="Garamond" w:hAnsi="Garamond"/>
          <w:sz w:val="22"/>
          <w:szCs w:val="22"/>
        </w:rPr>
        <w:t xml:space="preserve"> </w:t>
      </w:r>
      <w:r w:rsidR="007C6D95" w:rsidRPr="007C6D95">
        <w:rPr>
          <w:rFonts w:ascii="Garamond" w:hAnsi="Garamond"/>
          <w:sz w:val="22"/>
          <w:szCs w:val="22"/>
        </w:rPr>
        <w:t>Consequently, management strategies have been designed based on this coarse understanding of stock-specific patterns, and their effects on individual stock health have not been adequately assessed.</w:t>
      </w:r>
    </w:p>
    <w:p w14:paraId="1677A123" w14:textId="21003BC2" w:rsidR="00383B9A" w:rsidRDefault="007C6D95" w:rsidP="00383B9A">
      <w:pPr>
        <w:spacing w:line="480" w:lineRule="auto"/>
        <w:ind w:firstLine="720"/>
        <w:rPr>
          <w:rFonts w:ascii="Garamond" w:hAnsi="Garamond"/>
          <w:sz w:val="22"/>
          <w:szCs w:val="22"/>
        </w:rPr>
      </w:pPr>
      <w:r w:rsidRPr="00E14C01">
        <w:rPr>
          <w:rFonts w:ascii="Garamond" w:hAnsi="Garamond"/>
          <w:sz w:val="22"/>
          <w:szCs w:val="22"/>
        </w:rPr>
        <w:t>The Kuskokwim River</w:t>
      </w:r>
      <w:r>
        <w:rPr>
          <w:rFonts w:ascii="Garamond" w:hAnsi="Garamond"/>
          <w:sz w:val="22"/>
          <w:szCs w:val="22"/>
        </w:rPr>
        <w:t xml:space="preserve">-Basin is a large, free-flowing system covering greater than 120,000 </w:t>
      </w:r>
      <w:r w:rsidRPr="00E14C01">
        <w:rPr>
          <w:rFonts w:ascii="Garamond" w:hAnsi="Garamond"/>
          <w:sz w:val="22"/>
          <w:szCs w:val="22"/>
        </w:rPr>
        <w:t>km²</w:t>
      </w:r>
      <w:r>
        <w:rPr>
          <w:rFonts w:ascii="Garamond" w:hAnsi="Garamond"/>
          <w:sz w:val="22"/>
          <w:szCs w:val="22"/>
        </w:rPr>
        <w:t xml:space="preserve"> in western Alaska. This system contains all five species of pacific salmon, which serve as an important subsistence resource and cultural keystone for indigenous communities in the watershed </w:t>
      </w:r>
      <w:r w:rsidRPr="00E14C01">
        <w:rPr>
          <w:rFonts w:ascii="Garamond" w:hAnsi="Garamond"/>
          <w:sz w:val="22"/>
          <w:szCs w:val="22"/>
        </w:rPr>
        <w:t>(</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w:t>
      </w:r>
      <w:r>
        <w:rPr>
          <w:rFonts w:ascii="Garamond" w:hAnsi="Garamond"/>
          <w:sz w:val="22"/>
          <w:szCs w:val="22"/>
        </w:rPr>
        <w:t xml:space="preserve"> </w:t>
      </w:r>
      <w:proofErr w:type="gramStart"/>
      <w:r>
        <w:rPr>
          <w:rFonts w:ascii="Garamond" w:hAnsi="Garamond"/>
          <w:sz w:val="22"/>
          <w:szCs w:val="22"/>
        </w:rPr>
        <w:t>In particular, Chinook</w:t>
      </w:r>
      <w:proofErr w:type="gramEnd"/>
      <w:r>
        <w:rPr>
          <w:rFonts w:ascii="Garamond" w:hAnsi="Garamond"/>
          <w:sz w:val="22"/>
          <w:szCs w:val="22"/>
        </w:rPr>
        <w:t xml:space="preserve"> and Chum salmon in the Kuskokwim are a critical subsistence resource for nearly every household in the basin, which are almost entirely rural and indigenous communities</w:t>
      </w:r>
      <w:r w:rsidR="004C2230">
        <w:rPr>
          <w:rFonts w:ascii="Garamond" w:hAnsi="Garamond"/>
          <w:sz w:val="22"/>
          <w:szCs w:val="22"/>
        </w:rPr>
        <w:t xml:space="preserve"> that</w:t>
      </w:r>
      <w:r>
        <w:rPr>
          <w:rFonts w:ascii="Garamond" w:hAnsi="Garamond"/>
          <w:sz w:val="22"/>
          <w:szCs w:val="22"/>
        </w:rPr>
        <w:t xml:space="preserve"> rely on this subsistence resource for a significant portion of their protein needs </w:t>
      </w:r>
      <w:r w:rsidRPr="00E14C01">
        <w:rPr>
          <w:rFonts w:ascii="Garamond" w:hAnsi="Garamond"/>
          <w:sz w:val="22"/>
          <w:szCs w:val="22"/>
        </w:rPr>
        <w:t xml:space="preserve">(Clark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r w:rsidR="00F41FAF">
        <w:rPr>
          <w:rFonts w:ascii="Garamond" w:hAnsi="Garamond"/>
          <w:sz w:val="22"/>
          <w:szCs w:val="22"/>
        </w:rPr>
        <w:t xml:space="preserve">). Resource managers in the Kuskokwim river-basin have implemented a front-end block closure for Chinook salmon based on preliminary data that the earliest returning fish at the beginning of the season </w:t>
      </w:r>
      <w:r w:rsidR="004C2230">
        <w:rPr>
          <w:rFonts w:ascii="Garamond" w:hAnsi="Garamond"/>
          <w:sz w:val="22"/>
          <w:szCs w:val="22"/>
        </w:rPr>
        <w:t xml:space="preserve">return </w:t>
      </w:r>
      <w:r w:rsidR="00F41FAF">
        <w:rPr>
          <w:rFonts w:ascii="Garamond" w:hAnsi="Garamond"/>
          <w:sz w:val="22"/>
          <w:szCs w:val="22"/>
        </w:rPr>
        <w:t xml:space="preserve">to stocks at the upper reaches of the watershed. </w:t>
      </w:r>
      <w:r w:rsidR="00383B9A" w:rsidRPr="00383B9A">
        <w:rPr>
          <w:rFonts w:ascii="Garamond" w:hAnsi="Garamond"/>
          <w:sz w:val="22"/>
          <w:szCs w:val="22"/>
        </w:rPr>
        <w:t>Given their early return timing, these stocks are particularly vulnerable to overfishing, which may compromise both upstream subsistence harvest and downstream fishery stability.</w:t>
      </w:r>
      <w:r w:rsidR="00383B9A">
        <w:rPr>
          <w:rFonts w:ascii="Garamond" w:hAnsi="Garamond"/>
          <w:sz w:val="22"/>
          <w:szCs w:val="22"/>
        </w:rPr>
        <w:t xml:space="preserve"> </w:t>
      </w:r>
      <w:r w:rsidR="00383B9A" w:rsidRPr="00383B9A">
        <w:rPr>
          <w:rFonts w:ascii="Garamond" w:hAnsi="Garamond"/>
          <w:sz w:val="22"/>
          <w:szCs w:val="22"/>
        </w:rPr>
        <w:t>Because the spatiotemporal patterns of stock contribution within and among years are not well understood at fine spatial scales, the effectiveness of front-end closures in protecting upper Kuskokwim stocks remains unclear. However, understanding these patterns is critical for assessing current management strategies and designing new approaches that balance regional harvest opportunities with stock-specific conservation needs.</w:t>
      </w:r>
      <w:r w:rsidR="00383B9A">
        <w:rPr>
          <w:rFonts w:ascii="Garamond" w:hAnsi="Garamond"/>
          <w:sz w:val="22"/>
          <w:szCs w:val="22"/>
        </w:rPr>
        <w:t xml:space="preserve"> </w:t>
      </w:r>
    </w:p>
    <w:p w14:paraId="502FB001"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6A5146C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w:t>
      </w:r>
      <w:r w:rsidR="00E212FE">
        <w:rPr>
          <w:rFonts w:ascii="Garamond" w:eastAsia="Times New Roman" w:hAnsi="Garamond" w:cs="Times New Roman"/>
          <w:kern w:val="0"/>
          <w:sz w:val="22"/>
          <w:szCs w:val="22"/>
          <w14:ligatures w14:val="none"/>
        </w:rPr>
        <w:lastRenderedPageBreak/>
        <w:t xml:space="preserve">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5A871511" w14:textId="546AA585" w:rsidR="00AF7B74" w:rsidRDefault="00AB074C" w:rsidP="00AF7B74">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sidR="00AF7B74">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sidR="00AF7B74">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6"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C50332" w:rsidRPr="00C50332">
        <w:rPr>
          <w:rFonts w:ascii="Garamond" w:eastAsia="Times New Roman" w:hAnsi="Garamond" w:cs="Times New Roman"/>
          <w:noProof/>
          <w:kern w:val="0"/>
          <w:sz w:val="22"/>
          <w:szCs w:val="22"/>
          <w14:ligatures w14:val="none"/>
        </w:rPr>
        <w:t xml:space="preserve"> </w:t>
      </w:r>
      <w:r w:rsidR="00C50332" w:rsidRPr="00693A39">
        <w:rPr>
          <w:rFonts w:ascii="Garamond" w:eastAsia="Times New Roman" w:hAnsi="Garamond" w:cs="Times New Roman"/>
          <w:noProof/>
          <w:kern w:val="0"/>
          <w:sz w:val="22"/>
          <w:szCs w:val="22"/>
          <w14:ligatures w14:val="none"/>
          <w:rPrChange w:id="7"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N = 120</w:t>
      </w:r>
      <w:r w:rsidR="00C50332">
        <w:rPr>
          <w:rFonts w:ascii="Garamond" w:eastAsia="Times New Roman" w:hAnsi="Garamond" w:cs="Times New Roman"/>
          <w:noProof/>
          <w:kern w:val="0"/>
          <w:sz w:val="22"/>
          <w:szCs w:val="22"/>
          <w14:ligatures w14:val="none"/>
        </w:rPr>
        <w:t xml:space="preserve">, </w:t>
      </w:r>
      <w:r w:rsidR="00693A39" w:rsidRPr="00693A39">
        <w:rPr>
          <w:rFonts w:ascii="Garamond" w:eastAsia="Times New Roman" w:hAnsi="Garamond" w:cs="Times New Roman"/>
          <w:noProof/>
          <w:kern w:val="0"/>
          <w:sz w:val="22"/>
          <w:szCs w:val="22"/>
          <w14:ligatures w14:val="none"/>
          <w:rPrChange w:id="8"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uncertainties for roughly every ~1km stretch of tributaries across the basin </w:t>
      </w:r>
      <w:commentRangeStart w:id="10"/>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0"/>
      <w:r w:rsidR="009C079F">
        <w:rPr>
          <w:rStyle w:val="CommentReference"/>
        </w:rPr>
        <w:commentReference w:id="10"/>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1"/>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1"/>
      <w:r w:rsidR="009C079F">
        <w:rPr>
          <w:rStyle w:val="CommentReference"/>
        </w:rPr>
        <w:commentReference w:id="11"/>
      </w:r>
      <w:r w:rsidR="009F3E36" w:rsidRPr="009F3E36">
        <w:rPr>
          <w:rFonts w:ascii="Garamond" w:hAnsi="Garamond" w:cs="Times New Roman"/>
          <w:sz w:val="22"/>
          <w:szCs w:val="22"/>
        </w:rPr>
        <w:t xml:space="preserve">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trend of uncertainty resulting from SSN model fit. </w:t>
      </w:r>
    </w:p>
    <w:p w14:paraId="015401CA" w14:textId="0E75DC0A" w:rsidR="002A3FE3" w:rsidRPr="00AF7B74" w:rsidRDefault="009833DB" w:rsidP="00AF7B74">
      <w:pPr>
        <w:spacing w:before="100" w:beforeAutospacing="1" w:after="100" w:afterAutospacing="1" w:line="480" w:lineRule="auto"/>
        <w:rPr>
          <w:rFonts w:ascii="Garamond" w:hAnsi="Garamond" w:cs="Times New Roman"/>
          <w:sz w:val="22"/>
          <w:szCs w:val="22"/>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002FB1D3" w:rsidR="009833DB" w:rsidRPr="002A3FE3" w:rsidRDefault="009833DB" w:rsidP="00EF730C">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12"/>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12"/>
      <w:r w:rsidR="00EF730C">
        <w:rPr>
          <w:rStyle w:val="CommentReference"/>
        </w:rPr>
        <w:commentReference w:id="12"/>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spawning </w:t>
      </w:r>
      <w:r w:rsidR="0039711B" w:rsidRPr="00EF730C">
        <w:rPr>
          <w:rFonts w:ascii="Garamond" w:eastAsia="Times New Roman" w:hAnsi="Garamond" w:cs="Times New Roman"/>
          <w:kern w:val="0"/>
          <w:sz w:val="22"/>
          <w:szCs w:val="22"/>
          <w14:ligatures w14:val="none"/>
        </w:rPr>
        <w:t>C</w:t>
      </w:r>
      <w:r w:rsidRPr="00EF730C">
        <w:rPr>
          <w:rFonts w:ascii="Garamond" w:eastAsia="Times New Roman" w:hAnsi="Garamond" w:cs="Times New Roman"/>
          <w:kern w:val="0"/>
          <w:sz w:val="22"/>
          <w:szCs w:val="22"/>
          <w14:ligatures w14:val="none"/>
        </w:rPr>
        <w:t>hinook presence 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to provide </w:t>
      </w:r>
      <w:r w:rsidR="00143768" w:rsidRPr="00EF730C">
        <w:rPr>
          <w:rFonts w:ascii="Garamond" w:eastAsia="Times New Roman" w:hAnsi="Garamond" w:cs="Times New Roman"/>
          <w:kern w:val="0"/>
          <w:sz w:val="22"/>
          <w:szCs w:val="22"/>
          <w14:ligatures w14:val="none"/>
        </w:rPr>
        <w:t xml:space="preserve">data on known </w:t>
      </w:r>
      <w:r w:rsidRPr="00EF730C">
        <w:rPr>
          <w:rFonts w:ascii="Garamond" w:eastAsia="Times New Roman" w:hAnsi="Garamond" w:cs="Times New Roman"/>
          <w:kern w:val="0"/>
          <w:sz w:val="22"/>
          <w:szCs w:val="22"/>
          <w14:ligatures w14:val="none"/>
        </w:rPr>
        <w:t xml:space="preserve">locations with or without </w:t>
      </w:r>
      <w:r w:rsidR="00143768" w:rsidRPr="00EF730C">
        <w:rPr>
          <w:rFonts w:ascii="Garamond" w:eastAsia="Times New Roman" w:hAnsi="Garamond" w:cs="Times New Roman"/>
          <w:kern w:val="0"/>
          <w:sz w:val="22"/>
          <w:szCs w:val="22"/>
          <w14:ligatures w14:val="none"/>
        </w:rPr>
        <w:t>Chinook sa</w:t>
      </w:r>
      <w:r w:rsidR="00EF730C">
        <w:rPr>
          <w:rFonts w:ascii="Garamond" w:eastAsia="Times New Roman" w:hAnsi="Garamond" w:cs="Times New Roman"/>
          <w:kern w:val="0"/>
          <w:sz w:val="22"/>
          <w:szCs w:val="22"/>
          <w14:ligatures w14:val="none"/>
        </w:rPr>
        <w:t>l</w:t>
      </w:r>
      <w:r w:rsidR="00143768" w:rsidRPr="00EF730C">
        <w:rPr>
          <w:rFonts w:ascii="Garamond" w:eastAsia="Times New Roman" w:hAnsi="Garamond" w:cs="Times New Roman"/>
          <w:kern w:val="0"/>
          <w:sz w:val="22"/>
          <w:szCs w:val="22"/>
          <w14:ligatures w14:val="none"/>
        </w:rPr>
        <w:t xml:space="preserve">mon spawners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77777777" w:rsidR="0097261B"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 xml:space="preserve">for all individuals in the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Subsets for which estimates of n</w:t>
      </w:r>
      <w:r>
        <w:rPr>
          <w:rFonts w:ascii="Garamond" w:hAnsi="Garamond"/>
          <w:sz w:val="22"/>
          <w:szCs w:val="22"/>
        </w:rPr>
        <w:t xml:space="preserve">atal origin were produced </w:t>
      </w:r>
      <w:r w:rsidR="0097261B">
        <w:rPr>
          <w:rFonts w:ascii="Garamond" w:hAnsi="Garamond"/>
          <w:sz w:val="22"/>
          <w:szCs w:val="22"/>
        </w:rPr>
        <w:t xml:space="preserve">include </w:t>
      </w:r>
      <w:r w:rsidR="009F3E36" w:rsidRPr="009F3E36">
        <w:rPr>
          <w:rFonts w:ascii="Garamond" w:hAnsi="Garamond"/>
          <w:sz w:val="22"/>
          <w:szCs w:val="22"/>
        </w:rPr>
        <w:t xml:space="preserve">predefined </w:t>
      </w:r>
      <w:r w:rsidR="0097261B">
        <w:rPr>
          <w:rFonts w:ascii="Garamond" w:hAnsi="Garamond"/>
          <w:sz w:val="22"/>
          <w:szCs w:val="22"/>
        </w:rPr>
        <w:t xml:space="preserve">four </w:t>
      </w:r>
      <w:r w:rsidR="009F3E36" w:rsidRPr="009F3E36">
        <w:rPr>
          <w:rFonts w:ascii="Garamond" w:hAnsi="Garamond"/>
          <w:sz w:val="22"/>
          <w:szCs w:val="22"/>
        </w:rPr>
        <w:t xml:space="preserve">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 xml:space="preserve">based on capture </w:t>
      </w:r>
      <w:r w:rsidR="009F3E36" w:rsidRPr="009F3E36">
        <w:rPr>
          <w:rFonts w:ascii="Garamond" w:hAnsi="Garamond"/>
          <w:sz w:val="22"/>
          <w:szCs w:val="22"/>
        </w:rPr>
        <w:lastRenderedPageBreak/>
        <w:t>date: Q1 (run start through June 11), Q2 (June 12-21), Q3 (June 22-July 1), and Q4 (July 2 onward).</w:t>
      </w:r>
      <w:ins w:id="13"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3CB550D3" w14:textId="53DD3F25" w:rsidR="000C429D" w:rsidRDefault="000C429D" w:rsidP="007F747D">
      <w:pPr>
        <w:spacing w:line="480" w:lineRule="auto"/>
        <w:ind w:firstLine="720"/>
        <w:rPr>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4"/>
      <w:ins w:id="15"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4"/>
      <w:r w:rsidR="00B27EC5">
        <w:rPr>
          <w:rStyle w:val="CommentReference"/>
        </w:rPr>
        <w:commentReference w:id="14"/>
      </w:r>
      <w:r w:rsidR="007F747D" w:rsidRPr="007F747D">
        <w:rPr>
          <w:rStyle w:val="CommentReference"/>
          <w:rFonts w:ascii="Garamond" w:hAnsi="Garamond"/>
          <w:sz w:val="22"/>
          <w:szCs w:val="22"/>
        </w:rPr>
        <w:t xml:space="preserve">From the furthest downstream connection of each of these tributaries to the mainstem all upstream segments were selected and assigned to a common identifier.  For some smaller units (i.e.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 the units were combined into one to keep a relative comparable size. </w:t>
      </w:r>
      <w:r w:rsidR="009F3E36" w:rsidRPr="007F747D">
        <w:rPr>
          <w:rFonts w:ascii="Garamond" w:hAnsi="Garamond"/>
          <w:sz w:val="22"/>
          <w:szCs w:val="22"/>
        </w:rPr>
        <w:t xml:space="preserve">Remaining basin areas were </w:t>
      </w:r>
      <w:r w:rsidR="007F747D" w:rsidRPr="007F747D">
        <w:rPr>
          <w:rFonts w:ascii="Garamond" w:hAnsi="Garamond"/>
          <w:sz w:val="22"/>
          <w:szCs w:val="22"/>
        </w:rPr>
        <w:t xml:space="preserve">then </w:t>
      </w:r>
      <w:r w:rsidR="009F3E36" w:rsidRPr="007F747D">
        <w:rPr>
          <w:rFonts w:ascii="Garamond" w:hAnsi="Garamond"/>
          <w:sz w:val="22"/>
          <w:szCs w:val="22"/>
        </w:rPr>
        <w:t>manually grouped into units of comparable size to ensure complete basin coverage</w:t>
      </w:r>
      <w:r w:rsidR="007F747D" w:rsidRPr="007F747D">
        <w:rPr>
          <w:rFonts w:ascii="Garamond" w:hAnsi="Garamond"/>
          <w:sz w:val="22"/>
          <w:szCs w:val="22"/>
        </w:rPr>
        <w:t xml:space="preserve"> with attention paid to keeping spatially relevant regions in the same unit (i.e. Middle Kuskokwim mainstem). </w:t>
      </w:r>
    </w:p>
    <w:p w14:paraId="168A5EB6" w14:textId="7EFA64B8" w:rsidR="007F747D" w:rsidRPr="007F747D" w:rsidRDefault="007F747D" w:rsidP="007F747D">
      <w:pPr>
        <w:spacing w:line="480" w:lineRule="auto"/>
        <w:rPr>
          <w:rFonts w:ascii="Garamond" w:hAnsi="Garamond"/>
          <w:b/>
          <w:bCs/>
          <w:sz w:val="22"/>
          <w:szCs w:val="22"/>
        </w:rPr>
      </w:pPr>
      <w:r w:rsidRPr="007F747D">
        <w:rPr>
          <w:rFonts w:ascii="Garamond" w:hAnsi="Garamond"/>
          <w:b/>
          <w:bCs/>
          <w:sz w:val="22"/>
          <w:szCs w:val="22"/>
        </w:rPr>
        <w:t xml:space="preserve">Stock </w:t>
      </w:r>
      <w:r>
        <w:rPr>
          <w:rFonts w:ascii="Garamond" w:hAnsi="Garamond"/>
          <w:b/>
          <w:bCs/>
          <w:sz w:val="22"/>
          <w:szCs w:val="22"/>
        </w:rPr>
        <w:t>C</w:t>
      </w:r>
      <w:r w:rsidRPr="007F747D">
        <w:rPr>
          <w:rFonts w:ascii="Garamond" w:hAnsi="Garamond"/>
          <w:b/>
          <w:bCs/>
          <w:sz w:val="22"/>
          <w:szCs w:val="22"/>
        </w:rPr>
        <w:t xml:space="preserve">ontribution </w:t>
      </w:r>
      <w:r>
        <w:rPr>
          <w:rFonts w:ascii="Garamond" w:hAnsi="Garamond"/>
          <w:b/>
          <w:bCs/>
          <w:sz w:val="22"/>
          <w:szCs w:val="22"/>
        </w:rPr>
        <w:t>A</w:t>
      </w:r>
      <w:r w:rsidRPr="007F747D">
        <w:rPr>
          <w:rFonts w:ascii="Garamond" w:hAnsi="Garamond"/>
          <w:b/>
          <w:bCs/>
          <w:sz w:val="22"/>
          <w:szCs w:val="22"/>
        </w:rPr>
        <w:t xml:space="preserve">nalysis </w:t>
      </w:r>
    </w:p>
    <w:p w14:paraId="1A241D7B" w14:textId="6EC61373" w:rsidR="004A0003" w:rsidRPr="00E20CE9" w:rsidRDefault="00E20CE9" w:rsidP="00E20CE9">
      <w:pPr>
        <w:spacing w:line="480" w:lineRule="auto"/>
        <w:ind w:firstLine="720"/>
        <w:rPr>
          <w:rFonts w:ascii="Garamond" w:hAnsi="Garamond"/>
          <w:b/>
          <w:bCs/>
          <w:sz w:val="22"/>
          <w:szCs w:val="22"/>
        </w:rPr>
      </w:pPr>
      <w:r w:rsidRPr="00E20CE9">
        <w:rPr>
          <w:rFonts w:ascii="Garamond" w:hAnsi="Garamond"/>
          <w:sz w:val="22"/>
          <w:szCs w:val="22"/>
        </w:rPr>
        <w:t xml:space="preserve">For each year and seasonal quartile, tributary-level natal origin estimates were aggregated into management units and normalized to sum to one across the basin, representing each unit's proportional contribution to the seasonal quartile. Summary statistics were then calculated across all years for each management unit, with Figure 3a displaying mean contributions by management unit (darker colors indicating higher values) and corresponding boxplots showing median and range values for each quartile, ordered from furthest upstream (top) to downstream (bottom) by watershed position. Cumulative distribution functions were constructed to examine relative run timing independent of stock abundance by aggregating natal origin distributions by management unit for each 3-day interval and comparing against full-season totals without normalization, allowing comparison of actual return numbers over time and showing the cumulative proportion of each stock's total seasonal contribution at each time point. To evaluate the stock-specific effect of the current implemented front-end closure, we evaluated the proportion of each stock's total return occurring within the current closure window (the first seasonal quartile in our dataset). The relative protection </w:t>
      </w:r>
      <w:r w:rsidRPr="00E20CE9">
        <w:rPr>
          <w:rFonts w:ascii="Garamond" w:hAnsi="Garamond"/>
          <w:sz w:val="22"/>
          <w:szCs w:val="22"/>
        </w:rPr>
        <w:lastRenderedPageBreak/>
        <w:t>across all years was used produce boxplots visualizing the variability in this protection over the dataset, again ordered from furthest upstream to furthest downstream.</w:t>
      </w:r>
    </w:p>
    <w:p w14:paraId="3C658E27" w14:textId="7FE23393"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w:t>
      </w:r>
      <w:r w:rsidR="002D12FE">
        <w:rPr>
          <w:rFonts w:ascii="Garamond" w:hAnsi="Garamond"/>
          <w:sz w:val="22"/>
          <w:szCs w:val="22"/>
        </w:rPr>
        <w:lastRenderedPageBreak/>
        <w:t xml:space="preserve">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proofErr w:type="gramStart"/>
      <w:r w:rsidR="00536536">
        <w:rPr>
          <w:rFonts w:ascii="Garamond" w:hAnsi="Garamond"/>
          <w:sz w:val="22"/>
          <w:szCs w:val="22"/>
        </w:rPr>
        <w:t xml:space="preserve">) </w:t>
      </w:r>
      <w:r w:rsidR="002D12FE">
        <w:rPr>
          <w:rFonts w:ascii="Garamond" w:hAnsi="Garamond"/>
          <w:sz w:val="22"/>
          <w:szCs w:val="22"/>
        </w:rPr>
        <w:t>,</w:t>
      </w:r>
      <w:proofErr w:type="gramEnd"/>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w:t>
      </w:r>
      <w:proofErr w:type="gramStart"/>
      <w:r w:rsidR="00536536">
        <w:rPr>
          <w:rFonts w:ascii="Garamond" w:hAnsi="Garamond"/>
          <w:sz w:val="22"/>
          <w:szCs w:val="22"/>
        </w:rPr>
        <w:t xml:space="preserve">%) </w:t>
      </w:r>
      <w:r w:rsidR="002D12FE">
        <w:rPr>
          <w:rFonts w:ascii="Garamond" w:hAnsi="Garamond"/>
          <w:sz w:val="22"/>
          <w:szCs w:val="22"/>
        </w:rPr>
        <w:t xml:space="preserve"> all</w:t>
      </w:r>
      <w:proofErr w:type="gramEnd"/>
      <w:r w:rsidR="002D12FE">
        <w:rPr>
          <w:rFonts w:ascii="Garamond" w:hAnsi="Garamond"/>
          <w:sz w:val="22"/>
          <w:szCs w:val="22"/>
        </w:rPr>
        <w:t xml:space="preserve"> reached their peak contribution during this period, consistent with late returns for stocks in the lower portion of the watershed. </w:t>
      </w:r>
    </w:p>
    <w:p w14:paraId="708701AB" w14:textId="162B0313"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724D0B">
        <w:rPr>
          <w:rFonts w:ascii="Garamond" w:hAnsi="Garamond"/>
          <w:sz w:val="22"/>
          <w:szCs w:val="22"/>
        </w:rPr>
        <w:t>, on average.</w:t>
      </w:r>
      <w:r w:rsidR="004A0003">
        <w:rPr>
          <w:rFonts w:ascii="Garamond" w:hAnsi="Garamond"/>
          <w:sz w:val="22"/>
          <w:szCs w:val="22"/>
        </w:rPr>
        <w:t xml:space="preserve"> </w:t>
      </w:r>
      <w:r w:rsidR="006D6AEE">
        <w:rPr>
          <w:rFonts w:ascii="Garamond" w:hAnsi="Garamond"/>
          <w:sz w:val="22"/>
          <w:szCs w:val="22"/>
        </w:rPr>
        <w:t xml:space="preserve">Some variability in this pattern does exist. In 2020, for example, a few of the middle Kuskokwim stocks (yellow or orange) appear to arrive after that of the lowest Kuskokwim stocks.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proofErr w:type="spellStart"/>
      <w:r w:rsidR="001419E1" w:rsidRPr="00AD7B82">
        <w:rPr>
          <w:rFonts w:ascii="Garamond" w:hAnsi="Garamond"/>
          <w:sz w:val="22"/>
          <w:szCs w:val="22"/>
        </w:rPr>
        <w:t>e</w:t>
      </w:r>
      <w:r w:rsidR="00470C70" w:rsidRPr="00AD7B82">
        <w:rPr>
          <w:rFonts w:ascii="Garamond" w:hAnsi="Garamond"/>
          <w:sz w:val="22"/>
          <w:szCs w:val="22"/>
        </w:rPr>
        <w:t>extended</w:t>
      </w:r>
      <w:proofErr w:type="spellEnd"/>
      <w:r w:rsidR="00470C70" w:rsidRPr="00AD7B82">
        <w:rPr>
          <w:rFonts w:ascii="Garamond" w:hAnsi="Garamond"/>
          <w:sz w:val="22"/>
          <w:szCs w:val="22"/>
        </w:rPr>
        <w:t>)</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A6E2EB5"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 xml:space="preserve">A pattern of early returning upper Kuskokwim stocks clearly affords higher protection to these stocks from a </w:t>
      </w:r>
      <w:proofErr w:type="gramStart"/>
      <w:r>
        <w:rPr>
          <w:rFonts w:ascii="Garamond" w:hAnsi="Garamond"/>
          <w:sz w:val="22"/>
          <w:szCs w:val="22"/>
        </w:rPr>
        <w:t>front end</w:t>
      </w:r>
      <w:proofErr w:type="gramEnd"/>
      <w:r>
        <w:rPr>
          <w:rFonts w:ascii="Garamond" w:hAnsi="Garamond"/>
          <w:sz w:val="22"/>
          <w:szCs w:val="22"/>
        </w:rPr>
        <w:t xml:space="preserve">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lastRenderedPageBreak/>
        <w:t>Hoholitna</w:t>
      </w:r>
      <w:proofErr w:type="spellEnd"/>
      <w:r w:rsidR="00966E61">
        <w:rPr>
          <w:rFonts w:ascii="Garamond" w:hAnsi="Garamond"/>
          <w:sz w:val="22"/>
          <w:szCs w:val="22"/>
        </w:rPr>
        <w:t xml:space="preserve"> River stocks, however, contain outliers of 22.1% and 18.4%, indicating that a </w:t>
      </w:r>
      <w:proofErr w:type="gramStart"/>
      <w:r w:rsidR="00966E61">
        <w:rPr>
          <w:rFonts w:ascii="Garamond" w:hAnsi="Garamond"/>
          <w:sz w:val="22"/>
          <w:szCs w:val="22"/>
        </w:rPr>
        <w:t>front end</w:t>
      </w:r>
      <w:proofErr w:type="gramEnd"/>
      <w:r w:rsidR="00966E61">
        <w:rPr>
          <w:rFonts w:ascii="Garamond" w:hAnsi="Garamond"/>
          <w:sz w:val="22"/>
          <w:szCs w:val="22"/>
        </w:rPr>
        <w:t xml:space="preserve"> closure may afford these stocks substantial protection in some years. </w:t>
      </w: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3D7CB943" w14:textId="7935EA4D" w:rsidR="006101C3" w:rsidRDefault="00D0546A" w:rsidP="006101C3">
      <w:pPr>
        <w:pStyle w:val="whitespace-normal"/>
        <w:spacing w:line="480" w:lineRule="auto"/>
        <w:ind w:firstLine="720"/>
        <w:rPr>
          <w:rFonts w:ascii="Garamond" w:hAnsi="Garamond"/>
          <w:sz w:val="22"/>
          <w:szCs w:val="22"/>
        </w:rPr>
      </w:pPr>
      <w:r w:rsidRPr="00D0546A">
        <w:rPr>
          <w:rFonts w:ascii="Garamond" w:hAnsi="Garamond"/>
          <w:sz w:val="22"/>
          <w:szCs w:val="22"/>
        </w:rPr>
        <w:t>Our analysis reveals consistent spatiotemporal patterns of Chinook salmon migration timing across the Kuskokwim River basin</w:t>
      </w:r>
      <w:r>
        <w:rPr>
          <w:rFonts w:ascii="Garamond" w:hAnsi="Garamond"/>
          <w:sz w:val="22"/>
          <w:szCs w:val="22"/>
        </w:rPr>
        <w:t xml:space="preserve"> </w:t>
      </w:r>
      <w:r w:rsidR="00F55974" w:rsidRPr="00717B12">
        <w:rPr>
          <w:rFonts w:ascii="Garamond" w:hAnsi="Garamond"/>
          <w:sz w:val="22"/>
          <w:szCs w:val="22"/>
        </w:rPr>
        <w:t xml:space="preserve">over several years and </w:t>
      </w:r>
      <w:commentRangeStart w:id="16"/>
      <w:r w:rsidR="00F55974" w:rsidRPr="00717B12">
        <w:rPr>
          <w:rFonts w:ascii="Garamond" w:hAnsi="Garamond"/>
          <w:sz w:val="22"/>
          <w:szCs w:val="22"/>
        </w:rPr>
        <w:t xml:space="preserve">at a finer spatial scale </w:t>
      </w:r>
      <w:commentRangeEnd w:id="16"/>
      <w:r w:rsidR="00966E61">
        <w:rPr>
          <w:rStyle w:val="CommentReference"/>
          <w:rFonts w:asciiTheme="minorHAnsi" w:eastAsiaTheme="minorHAnsi" w:hAnsiTheme="minorHAnsi" w:cstheme="minorBidi"/>
          <w:kern w:val="2"/>
          <w14:ligatures w14:val="standardContextual"/>
        </w:rPr>
        <w:commentReference w:id="16"/>
      </w:r>
      <w:r w:rsidR="00F55974" w:rsidRPr="00717B12">
        <w:rPr>
          <w:rFonts w:ascii="Garamond" w:hAnsi="Garamond"/>
          <w:sz w:val="22"/>
          <w:szCs w:val="22"/>
        </w:rPr>
        <w:t>than previously available</w:t>
      </w:r>
      <w:r w:rsidR="00966E61">
        <w:rPr>
          <w:rFonts w:ascii="Garamond" w:hAnsi="Garamond"/>
          <w:sz w:val="22"/>
          <w:szCs w:val="22"/>
        </w:rPr>
        <w:t xml:space="preserve">. </w:t>
      </w:r>
      <w:r w:rsidR="00FB3E37">
        <w:rPr>
          <w:rFonts w:ascii="Garamond" w:hAnsi="Garamond"/>
          <w:sz w:val="22"/>
          <w:szCs w:val="22"/>
        </w:rPr>
        <w:t>Although these</w:t>
      </w:r>
      <w:r w:rsidR="00717B12">
        <w:rPr>
          <w:rFonts w:ascii="Garamond" w:hAnsi="Garamond"/>
          <w:sz w:val="22"/>
          <w:szCs w:val="22"/>
        </w:rPr>
        <w:t xml:space="preserve"> pattern</w:t>
      </w:r>
      <w:r w:rsidR="00FB3E37">
        <w:rPr>
          <w:rFonts w:ascii="Garamond" w:hAnsi="Garamond"/>
          <w:sz w:val="22"/>
          <w:szCs w:val="22"/>
        </w:rPr>
        <w:t>s</w:t>
      </w:r>
      <w:r w:rsidR="00717B12">
        <w:rPr>
          <w:rFonts w:ascii="Garamond" w:hAnsi="Garamond"/>
          <w:sz w:val="22"/>
          <w:szCs w:val="22"/>
        </w:rPr>
        <w:t xml:space="preserve"> ha</w:t>
      </w:r>
      <w:r w:rsidR="00FB3E37">
        <w:rPr>
          <w:rFonts w:ascii="Garamond" w:hAnsi="Garamond"/>
          <w:sz w:val="22"/>
          <w:szCs w:val="22"/>
        </w:rPr>
        <w:t>ve</w:t>
      </w:r>
      <w:r w:rsidR="00717B12">
        <w:rPr>
          <w:rFonts w:ascii="Garamond" w:hAnsi="Garamond"/>
          <w:sz w:val="22"/>
          <w:szCs w:val="22"/>
        </w:rPr>
        <w:t xml:space="preserve"> been </w:t>
      </w:r>
      <w:r w:rsidR="00FB3E37">
        <w:rPr>
          <w:rFonts w:ascii="Garamond" w:hAnsi="Garamond"/>
          <w:sz w:val="22"/>
          <w:szCs w:val="22"/>
        </w:rPr>
        <w:t xml:space="preserve">suggested previously </w:t>
      </w:r>
      <w:r w:rsidR="00966E61">
        <w:rPr>
          <w:rFonts w:ascii="Garamond" w:hAnsi="Garamond"/>
          <w:sz w:val="22"/>
          <w:szCs w:val="22"/>
        </w:rPr>
        <w:t>the findings presented here demonstrate the consistency of which this</w:t>
      </w:r>
      <w:r w:rsidR="00FB3E37">
        <w:rPr>
          <w:rFonts w:ascii="Garamond" w:hAnsi="Garamond"/>
          <w:sz w:val="22"/>
          <w:szCs w:val="22"/>
        </w:rPr>
        <w:t xml:space="preserve"> ecological</w:t>
      </w:r>
      <w:r w:rsidR="00966E61">
        <w:rPr>
          <w:rFonts w:ascii="Garamond" w:hAnsi="Garamond"/>
          <w:sz w:val="22"/>
          <w:szCs w:val="22"/>
        </w:rPr>
        <w:t xml:space="preserve"> pattern plays out over several years </w:t>
      </w:r>
      <w:r w:rsidR="00FB3E37">
        <w:rPr>
          <w:rFonts w:ascii="Garamond" w:hAnsi="Garamond"/>
          <w:sz w:val="22"/>
          <w:szCs w:val="22"/>
        </w:rPr>
        <w:t xml:space="preserve">and in returns with variable run timing and duration. </w:t>
      </w:r>
      <w:r w:rsidR="008F2118" w:rsidRPr="008F2118">
        <w:rPr>
          <w:rFonts w:ascii="Garamond" w:hAnsi="Garamond"/>
          <w:sz w:val="22"/>
          <w:szCs w:val="22"/>
        </w:rPr>
        <w:t xml:space="preserve">Absent targeted management, upper Kuskokwim stocks remain among the most vulnerable to overharvest due to the timing of their returns. Importantly, because downstream dynamics reflect the aggregate behavior of upstream metapopulations, the health of these upper-basin stocks plays a disproportionate role in supporting stability and opportunity for downstream fisheries. In addition, these stocks are critical subsistence resources for upstream communities such as </w:t>
      </w:r>
      <w:proofErr w:type="spellStart"/>
      <w:r w:rsidR="008F2118" w:rsidRPr="008F2118">
        <w:rPr>
          <w:rFonts w:ascii="Garamond" w:hAnsi="Garamond"/>
          <w:sz w:val="22"/>
          <w:szCs w:val="22"/>
        </w:rPr>
        <w:t>Takotna</w:t>
      </w:r>
      <w:proofErr w:type="spellEnd"/>
      <w:r w:rsidR="008F2118" w:rsidRPr="008F2118">
        <w:rPr>
          <w:rFonts w:ascii="Garamond" w:hAnsi="Garamond"/>
          <w:sz w:val="22"/>
          <w:szCs w:val="22"/>
        </w:rPr>
        <w:t xml:space="preserve"> and McGrath. If overharvest occurs before salmon reach the upper watershed, these communities may face shortfalls in resource availability.</w:t>
      </w:r>
    </w:p>
    <w:p w14:paraId="7C80E096" w14:textId="77777777" w:rsidR="00FF19B1" w:rsidRDefault="00D0546A" w:rsidP="00FF19B1">
      <w:pPr>
        <w:pStyle w:val="whitespace-normal"/>
        <w:spacing w:line="480" w:lineRule="auto"/>
        <w:ind w:firstLine="720"/>
        <w:rPr>
          <w:rFonts w:ascii="Garamond" w:hAnsi="Garamond"/>
          <w:sz w:val="22"/>
          <w:szCs w:val="22"/>
        </w:rPr>
      </w:pPr>
      <w:r w:rsidRPr="00D0546A">
        <w:rPr>
          <w:rFonts w:ascii="Garamond" w:hAnsi="Garamond"/>
          <w:sz w:val="22"/>
          <w:szCs w:val="22"/>
        </w:rPr>
        <w:t>The current front-end closure demonstrates significant protective value for upper Kuskokwim stocks. On average, [X]% of upper watershed production occurs within the closure window, effectively allowing substantial escapement before harvest begins. This protection benefits both major contributors like [specific stocks] and smaller populations such as the North and East Fork Kuskokwim tributaries, which contribute critically to system biocomplexity and resilience despite their smaller numerical contribution to overall runs.</w:t>
      </w:r>
      <w:r>
        <w:rPr>
          <w:rFonts w:ascii="Garamond" w:hAnsi="Garamond"/>
          <w:sz w:val="22"/>
          <w:szCs w:val="22"/>
        </w:rPr>
        <w:t xml:space="preserve"> </w:t>
      </w:r>
      <w:r w:rsidRPr="00D0546A">
        <w:rPr>
          <w:rFonts w:ascii="Garamond" w:hAnsi="Garamond"/>
          <w:sz w:val="22"/>
          <w:szCs w:val="22"/>
        </w:rPr>
        <w:t>However, protection effectiveness varies substantially across years due to the interaction between fixed closure timing and dynamic run characteristics. Late-starting runs (e.g., 2017) result in proportionally less protection, while compressed runs (e.g., 2019) experience greater protection than extended runs (e.g., 2020) during the same closure window. This variability highlights a fundamental challenge: static management tools applied to dynamic ecological systems may provide inconsistent conservation outcomes.</w:t>
      </w:r>
    </w:p>
    <w:p w14:paraId="421419C8" w14:textId="4A238786" w:rsidR="00FF19B1" w:rsidRDefault="00E671EF" w:rsidP="00E671EF">
      <w:pPr>
        <w:pStyle w:val="whitespace-normal"/>
        <w:spacing w:line="480" w:lineRule="auto"/>
        <w:ind w:firstLine="720"/>
        <w:rPr>
          <w:rFonts w:ascii="Garamond" w:hAnsi="Garamond"/>
          <w:sz w:val="22"/>
          <w:szCs w:val="22"/>
        </w:rPr>
      </w:pPr>
      <w:r w:rsidRPr="00E671EF">
        <w:rPr>
          <w:rFonts w:ascii="Garamond" w:hAnsi="Garamond"/>
          <w:sz w:val="22"/>
          <w:szCs w:val="22"/>
        </w:rPr>
        <w:lastRenderedPageBreak/>
        <w:t>These results advance our understanding of Chinook salmon spatial ecology in the Kuskokwim River and contribute to broader insights into salmon dynamics in large river systems. While otolith-based chemical methods used in this study have not been explicitly validated for the Kuskokwim, they have demonstrated high assignment accuracy in other comparable systems and species (Cite cite). The spatial patterns revealed here highlight the importance of evaluating management strategies at appropriate spatial scales to identify interactions between stock-specific ecological behavior and regulatory frameworks. Strategies aiming to maintain ecosystem-scale resource availability should account for both the health of individual stocks and the broader metapopulation complex. By explicitly incorporating the spatiotemporal dynamics of metapopulations, managers may be better equipped to design conservation strategies that meet human resource needs while preserving the biocomplexity essential to healthy ecosystems.</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lastRenderedPageBreak/>
        <w:t xml:space="preserve">This has led to the use of </w:t>
      </w:r>
      <w:proofErr w:type="gramStart"/>
      <w:r>
        <w:rPr>
          <w:rFonts w:ascii="Garamond" w:hAnsi="Garamond"/>
          <w:sz w:val="22"/>
          <w:szCs w:val="22"/>
        </w:rPr>
        <w:t>front end</w:t>
      </w:r>
      <w:proofErr w:type="gramEnd"/>
      <w:r>
        <w:rPr>
          <w:rFonts w:ascii="Garamond" w:hAnsi="Garamond"/>
          <w:sz w:val="22"/>
          <w:szCs w:val="22"/>
        </w:rPr>
        <w:t xml:space="preserve">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w:t>
      </w:r>
      <w:r w:rsidRPr="006D1917">
        <w:rPr>
          <w:rFonts w:ascii="Garamond" w:hAnsi="Garamond"/>
          <w:sz w:val="22"/>
          <w:szCs w:val="22"/>
        </w:rPr>
        <w:lastRenderedPageBreak/>
        <w:t xml:space="preserve">the difficult task of designing management strategies which balancing ongoing harvest opportunities with the urgent need to rebuild salmon populations and strengthen their resilience to future perturbations. </w:t>
      </w:r>
    </w:p>
    <w:p w14:paraId="52A99D9F" w14:textId="77777777"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Weak or negative covariance among these stocks helps buffer the broader population 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lastRenderedPageBreak/>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7"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8"/>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8"/>
      <w:r>
        <w:rPr>
          <w:rStyle w:val="CommentReference"/>
        </w:rPr>
        <w:commentReference w:id="18"/>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w:t>
      </w:r>
      <w:r>
        <w:rPr>
          <w:rFonts w:ascii="Garamond" w:hAnsi="Garamond"/>
          <w:sz w:val="22"/>
          <w:szCs w:val="22"/>
        </w:rPr>
        <w:lastRenderedPageBreak/>
        <w:t xml:space="preserve">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10"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11" w:author="Benjamin J. Makhlouf" w:date="2025-07-28T07:42:00Z" w:initials="BM">
    <w:p w14:paraId="05C4AF8C" w14:textId="70B0AC0D" w:rsidR="009C079F" w:rsidRDefault="009C079F" w:rsidP="009C079F">
      <w:pPr>
        <w:pStyle w:val="CommentText"/>
      </w:pPr>
      <w:r>
        <w:rPr>
          <w:rStyle w:val="CommentReference"/>
        </w:rPr>
        <w:annotationRef/>
      </w:r>
      <w:r>
        <w:t xml:space="preserve">This is in one of Sean’s papers but I cannot find it </w:t>
      </w:r>
    </w:p>
  </w:comment>
  <w:comment w:id="12"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4"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6" w:author="Benjamin J. Makhlouf" w:date="2025-07-28T13:54:00Z" w:initials="BM">
    <w:p w14:paraId="036EDFB1" w14:textId="0A34DDE9" w:rsidR="00966E61" w:rsidRDefault="00966E61" w:rsidP="00966E61">
      <w:pPr>
        <w:pStyle w:val="CommentText"/>
      </w:pPr>
      <w:r>
        <w:rPr>
          <w:rStyle w:val="CommentReference"/>
        </w:rPr>
        <w:annotationRef/>
      </w:r>
      <w:r>
        <w:t xml:space="preserve">This might not be true for comparison to Telemetry </w:t>
      </w:r>
    </w:p>
  </w:comment>
  <w:comment w:id="18" w:author="Daniel Schindler" w:date="2025-06-27T11:54:00Z" w:initials="DS">
    <w:p w14:paraId="506CDC99" w14:textId="77777777"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05C4AF8C" w15:done="0"/>
  <w15:commentEx w15:paraId="78D2F929" w15:done="0"/>
  <w15:commentEx w15:paraId="1EF3F5E1" w15:done="0"/>
  <w15:commentEx w15:paraId="036EDFB1"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3CAE4ABD" w16cex:dateUtc="2025-07-28T14:42:00Z"/>
  <w16cex:commentExtensible w16cex:durableId="1D6CE52A" w16cex:dateUtc="2025-07-30T15:26:00Z"/>
  <w16cex:commentExtensible w16cex:durableId="4D2F7D90" w16cex:dateUtc="2025-07-30T17:53:00Z"/>
  <w16cex:commentExtensible w16cex:durableId="6836BCE2" w16cex:dateUtc="2025-07-28T20:54: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05C4AF8C" w16cid:durableId="3CAE4ABD"/>
  <w16cid:commentId w16cid:paraId="78D2F929" w16cid:durableId="1D6CE52A"/>
  <w16cid:commentId w16cid:paraId="1EF3F5E1" w16cid:durableId="4D2F7D90"/>
  <w16cid:commentId w16cid:paraId="036EDFB1" w16cid:durableId="6836BCE2"/>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A99F6" w14:textId="77777777" w:rsidR="00657118" w:rsidRDefault="00657118">
      <w:pPr>
        <w:spacing w:after="0" w:line="240" w:lineRule="auto"/>
      </w:pPr>
      <w:r>
        <w:separator/>
      </w:r>
    </w:p>
  </w:endnote>
  <w:endnote w:type="continuationSeparator" w:id="0">
    <w:p w14:paraId="4F6E38B4" w14:textId="77777777" w:rsidR="00657118" w:rsidRDefault="00657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46155" w14:textId="77777777" w:rsidR="00657118" w:rsidRDefault="00657118">
      <w:pPr>
        <w:spacing w:after="0" w:line="240" w:lineRule="auto"/>
      </w:pPr>
      <w:r>
        <w:separator/>
      </w:r>
    </w:p>
  </w:footnote>
  <w:footnote w:type="continuationSeparator" w:id="0">
    <w:p w14:paraId="33082BC7" w14:textId="77777777" w:rsidR="00657118" w:rsidRDefault="006571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566CD"/>
    <w:rsid w:val="00060FEB"/>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419E1"/>
    <w:rsid w:val="00143768"/>
    <w:rsid w:val="0015783A"/>
    <w:rsid w:val="00162958"/>
    <w:rsid w:val="0016395C"/>
    <w:rsid w:val="001679D4"/>
    <w:rsid w:val="00171632"/>
    <w:rsid w:val="001844EB"/>
    <w:rsid w:val="0019169F"/>
    <w:rsid w:val="00197965"/>
    <w:rsid w:val="001F2097"/>
    <w:rsid w:val="0020187E"/>
    <w:rsid w:val="00206F6C"/>
    <w:rsid w:val="002256A0"/>
    <w:rsid w:val="002323C1"/>
    <w:rsid w:val="002549E1"/>
    <w:rsid w:val="0025573D"/>
    <w:rsid w:val="002A3FE3"/>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9598A"/>
    <w:rsid w:val="0039711B"/>
    <w:rsid w:val="00397FF6"/>
    <w:rsid w:val="003A1EB0"/>
    <w:rsid w:val="003A53E2"/>
    <w:rsid w:val="003A58F7"/>
    <w:rsid w:val="003B0A46"/>
    <w:rsid w:val="003D0402"/>
    <w:rsid w:val="003D30C7"/>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C2230"/>
    <w:rsid w:val="004D6874"/>
    <w:rsid w:val="004E3592"/>
    <w:rsid w:val="004F04C2"/>
    <w:rsid w:val="00505979"/>
    <w:rsid w:val="00517577"/>
    <w:rsid w:val="005229F0"/>
    <w:rsid w:val="00530411"/>
    <w:rsid w:val="00536536"/>
    <w:rsid w:val="00537343"/>
    <w:rsid w:val="005416E6"/>
    <w:rsid w:val="00557194"/>
    <w:rsid w:val="005805EB"/>
    <w:rsid w:val="005A53C9"/>
    <w:rsid w:val="005B3AB3"/>
    <w:rsid w:val="005C58CB"/>
    <w:rsid w:val="005E6A59"/>
    <w:rsid w:val="005F3448"/>
    <w:rsid w:val="006101C3"/>
    <w:rsid w:val="00617B67"/>
    <w:rsid w:val="00625357"/>
    <w:rsid w:val="00631AAA"/>
    <w:rsid w:val="0063694A"/>
    <w:rsid w:val="00653AE8"/>
    <w:rsid w:val="00657118"/>
    <w:rsid w:val="006617C0"/>
    <w:rsid w:val="006762C3"/>
    <w:rsid w:val="00676513"/>
    <w:rsid w:val="00682611"/>
    <w:rsid w:val="00693A39"/>
    <w:rsid w:val="006B418B"/>
    <w:rsid w:val="006D6AEE"/>
    <w:rsid w:val="006E5473"/>
    <w:rsid w:val="007072E7"/>
    <w:rsid w:val="00711069"/>
    <w:rsid w:val="00717B12"/>
    <w:rsid w:val="00724D0B"/>
    <w:rsid w:val="007266BC"/>
    <w:rsid w:val="007555A4"/>
    <w:rsid w:val="007561E4"/>
    <w:rsid w:val="0076034D"/>
    <w:rsid w:val="00780305"/>
    <w:rsid w:val="007A1D0A"/>
    <w:rsid w:val="007B17D6"/>
    <w:rsid w:val="007C2267"/>
    <w:rsid w:val="007C6D95"/>
    <w:rsid w:val="007D1726"/>
    <w:rsid w:val="007F4A77"/>
    <w:rsid w:val="007F747D"/>
    <w:rsid w:val="007F75D5"/>
    <w:rsid w:val="00807290"/>
    <w:rsid w:val="00811477"/>
    <w:rsid w:val="00816626"/>
    <w:rsid w:val="00856168"/>
    <w:rsid w:val="00863C27"/>
    <w:rsid w:val="0087708A"/>
    <w:rsid w:val="0088327B"/>
    <w:rsid w:val="008872F5"/>
    <w:rsid w:val="00895FC7"/>
    <w:rsid w:val="008C378F"/>
    <w:rsid w:val="008D1422"/>
    <w:rsid w:val="008E3428"/>
    <w:rsid w:val="008F2118"/>
    <w:rsid w:val="0090107F"/>
    <w:rsid w:val="00907410"/>
    <w:rsid w:val="009076B8"/>
    <w:rsid w:val="009110AF"/>
    <w:rsid w:val="00932FBC"/>
    <w:rsid w:val="00966E61"/>
    <w:rsid w:val="00967DC4"/>
    <w:rsid w:val="0097261B"/>
    <w:rsid w:val="0097448D"/>
    <w:rsid w:val="009833DB"/>
    <w:rsid w:val="00983880"/>
    <w:rsid w:val="00986BAC"/>
    <w:rsid w:val="009879FD"/>
    <w:rsid w:val="009C079F"/>
    <w:rsid w:val="009C308C"/>
    <w:rsid w:val="009D66DA"/>
    <w:rsid w:val="009F3E36"/>
    <w:rsid w:val="009F7AF2"/>
    <w:rsid w:val="00A06CC6"/>
    <w:rsid w:val="00A13EDE"/>
    <w:rsid w:val="00A25870"/>
    <w:rsid w:val="00A26A50"/>
    <w:rsid w:val="00A36D27"/>
    <w:rsid w:val="00A44879"/>
    <w:rsid w:val="00A4712A"/>
    <w:rsid w:val="00AB074C"/>
    <w:rsid w:val="00AD1910"/>
    <w:rsid w:val="00AD484F"/>
    <w:rsid w:val="00AD7B82"/>
    <w:rsid w:val="00AF7B74"/>
    <w:rsid w:val="00B07AE4"/>
    <w:rsid w:val="00B13E93"/>
    <w:rsid w:val="00B27EC5"/>
    <w:rsid w:val="00B30111"/>
    <w:rsid w:val="00B40601"/>
    <w:rsid w:val="00B50583"/>
    <w:rsid w:val="00B74D8D"/>
    <w:rsid w:val="00B923D2"/>
    <w:rsid w:val="00BB27C2"/>
    <w:rsid w:val="00BB381E"/>
    <w:rsid w:val="00C10AF2"/>
    <w:rsid w:val="00C31CB4"/>
    <w:rsid w:val="00C32D99"/>
    <w:rsid w:val="00C50332"/>
    <w:rsid w:val="00C50733"/>
    <w:rsid w:val="00C6603A"/>
    <w:rsid w:val="00C67240"/>
    <w:rsid w:val="00C83BF2"/>
    <w:rsid w:val="00C95028"/>
    <w:rsid w:val="00C9741A"/>
    <w:rsid w:val="00C97C2C"/>
    <w:rsid w:val="00CA262D"/>
    <w:rsid w:val="00CA7EEC"/>
    <w:rsid w:val="00CB3C24"/>
    <w:rsid w:val="00CF03CC"/>
    <w:rsid w:val="00CF45A1"/>
    <w:rsid w:val="00D0546A"/>
    <w:rsid w:val="00D105F1"/>
    <w:rsid w:val="00D149EB"/>
    <w:rsid w:val="00D30A4B"/>
    <w:rsid w:val="00D43F43"/>
    <w:rsid w:val="00D53B0E"/>
    <w:rsid w:val="00D625F2"/>
    <w:rsid w:val="00DA7E79"/>
    <w:rsid w:val="00DC75BB"/>
    <w:rsid w:val="00DD0E6E"/>
    <w:rsid w:val="00DD7574"/>
    <w:rsid w:val="00DE33E0"/>
    <w:rsid w:val="00E20CE9"/>
    <w:rsid w:val="00E212FE"/>
    <w:rsid w:val="00E355B2"/>
    <w:rsid w:val="00E35FA9"/>
    <w:rsid w:val="00E454BB"/>
    <w:rsid w:val="00E671EF"/>
    <w:rsid w:val="00E86789"/>
    <w:rsid w:val="00E94ABC"/>
    <w:rsid w:val="00EB2EDF"/>
    <w:rsid w:val="00EE5153"/>
    <w:rsid w:val="00EE55A4"/>
    <w:rsid w:val="00EF1756"/>
    <w:rsid w:val="00EF5ED9"/>
    <w:rsid w:val="00EF6581"/>
    <w:rsid w:val="00EF730C"/>
    <w:rsid w:val="00F02538"/>
    <w:rsid w:val="00F06D5A"/>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1854</TotalTime>
  <Pages>14</Pages>
  <Words>20175</Words>
  <Characters>115001</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23</cp:revision>
  <dcterms:created xsi:type="dcterms:W3CDTF">2025-07-26T18:19:00Z</dcterms:created>
  <dcterms:modified xsi:type="dcterms:W3CDTF">2025-07-30T19:51:00Z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id="HtQRzn35"/&gt;&lt;style id="http://www.zotero.org/styles/journal-of-applied-ecology" hasBibliography="1" bibliographyStyleHasBeenSet="0"/&gt;&lt;prefs&gt;&lt;pref name="fieldType" value="Field"/&gt;&lt;/prefs&gt;&lt;/data&gt;</vt:lpwstr>
  </property>
</Properties>
</file>