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5130" w14:textId="77777777" w:rsidR="003525FA" w:rsidRPr="001A17C1" w:rsidRDefault="003525FA" w:rsidP="003525FA">
      <w:pPr>
        <w:suppressLineNumbers/>
        <w:jc w:val="center"/>
        <w:rPr>
          <w:rFonts w:ascii="Garamond" w:hAnsi="Garamond" w:cs="Times New Roman"/>
          <w:b/>
          <w:bCs/>
          <w:sz w:val="36"/>
          <w:szCs w:val="36"/>
        </w:rPr>
      </w:pPr>
      <w:r>
        <w:rPr>
          <w:rFonts w:ascii="Garamond" w:hAnsi="Garamond" w:cs="Times New Roman"/>
          <w:b/>
          <w:bCs/>
          <w:sz w:val="36"/>
          <w:szCs w:val="36"/>
        </w:rPr>
        <w:t>Strategic fisheries closure balances harvest opportunity and stock diversity in a large Alaska river basin.</w:t>
      </w:r>
    </w:p>
    <w:p w14:paraId="5ACD91D3" w14:textId="77777777" w:rsidR="003525FA" w:rsidRPr="001A17C1" w:rsidRDefault="003525FA" w:rsidP="003525FA">
      <w:pPr>
        <w:rPr>
          <w:rFonts w:ascii="Garamond" w:hAnsi="Garamond" w:cs="Times New Roman"/>
          <w:sz w:val="28"/>
          <w:szCs w:val="28"/>
        </w:rPr>
      </w:pPr>
    </w:p>
    <w:p w14:paraId="1B60415E" w14:textId="77777777" w:rsidR="003525FA" w:rsidRPr="001A17C1" w:rsidRDefault="003525FA" w:rsidP="003525FA">
      <w:pPr>
        <w:jc w:val="center"/>
        <w:rPr>
          <w:rFonts w:ascii="Garamond" w:hAnsi="Garamond" w:cs="Times New Roman"/>
          <w:sz w:val="28"/>
          <w:szCs w:val="28"/>
        </w:rPr>
      </w:pPr>
      <w:r>
        <w:rPr>
          <w:rFonts w:ascii="Garamond" w:hAnsi="Garamond" w:cs="Times New Roman"/>
          <w:sz w:val="28"/>
          <w:szCs w:val="28"/>
          <w:vertAlign w:val="superscript"/>
        </w:rPr>
        <w:t>1</w:t>
      </w:r>
      <w:r>
        <w:rPr>
          <w:rFonts w:ascii="Garamond" w:hAnsi="Garamond" w:cs="Times New Roman"/>
          <w:sz w:val="28"/>
          <w:szCs w:val="28"/>
        </w:rPr>
        <w:t xml:space="preserve">Ben Makhlouf, </w:t>
      </w:r>
      <w:r>
        <w:rPr>
          <w:rFonts w:ascii="Garamond" w:hAnsi="Garamond" w:cs="Times New Roman"/>
          <w:sz w:val="28"/>
          <w:szCs w:val="28"/>
          <w:vertAlign w:val="superscript"/>
        </w:rPr>
        <w:t>1</w:t>
      </w:r>
      <w:r>
        <w:rPr>
          <w:rFonts w:ascii="Garamond" w:hAnsi="Garamond" w:cs="Times New Roman"/>
          <w:sz w:val="28"/>
          <w:szCs w:val="28"/>
        </w:rPr>
        <w:t xml:space="preserve">Daniel E. Schindler, </w:t>
      </w:r>
      <w:r>
        <w:rPr>
          <w:rFonts w:ascii="Garamond" w:hAnsi="Garamond" w:cs="Times New Roman"/>
          <w:sz w:val="28"/>
          <w:szCs w:val="28"/>
          <w:vertAlign w:val="superscript"/>
        </w:rPr>
        <w:t>2</w:t>
      </w:r>
      <w:r>
        <w:rPr>
          <w:rFonts w:ascii="Garamond" w:hAnsi="Garamond" w:cs="Times New Roman"/>
          <w:sz w:val="28"/>
          <w:szCs w:val="28"/>
        </w:rPr>
        <w:t xml:space="preserve">Timothy J. Cline, </w:t>
      </w:r>
      <w:r>
        <w:rPr>
          <w:rFonts w:ascii="Garamond" w:hAnsi="Garamond" w:cs="Times New Roman"/>
          <w:sz w:val="28"/>
          <w:szCs w:val="28"/>
          <w:vertAlign w:val="superscript"/>
        </w:rPr>
        <w:t>3</w:t>
      </w:r>
      <w:r>
        <w:rPr>
          <w:rFonts w:ascii="Garamond" w:hAnsi="Garamond" w:cs="Times New Roman"/>
          <w:sz w:val="28"/>
          <w:szCs w:val="28"/>
        </w:rPr>
        <w:t>Diego Fernandez,</w:t>
      </w:r>
      <w:r>
        <w:rPr>
          <w:rFonts w:ascii="Garamond" w:hAnsi="Garamond" w:cs="Times New Roman"/>
          <w:sz w:val="28"/>
          <w:szCs w:val="28"/>
          <w:vertAlign w:val="superscript"/>
        </w:rPr>
        <w:t>4</w:t>
      </w:r>
      <w:r>
        <w:rPr>
          <w:rFonts w:ascii="Garamond" w:hAnsi="Garamond" w:cs="Times New Roman"/>
          <w:sz w:val="28"/>
          <w:szCs w:val="28"/>
        </w:rPr>
        <w:t xml:space="preserve">Janessa Esquible, </w:t>
      </w:r>
      <w:r>
        <w:rPr>
          <w:rFonts w:ascii="Garamond" w:hAnsi="Garamond" w:cs="Times New Roman"/>
          <w:sz w:val="28"/>
          <w:szCs w:val="28"/>
          <w:vertAlign w:val="superscript"/>
        </w:rPr>
        <w:t>5</w:t>
      </w:r>
      <w:r>
        <w:rPr>
          <w:rFonts w:ascii="Garamond" w:hAnsi="Garamond" w:cs="Times New Roman"/>
          <w:sz w:val="28"/>
          <w:szCs w:val="28"/>
        </w:rPr>
        <w:t xml:space="preserve">Avery Hoffman </w:t>
      </w:r>
    </w:p>
    <w:p w14:paraId="56B87456" w14:textId="77777777" w:rsidR="003525FA" w:rsidRPr="001A17C1" w:rsidRDefault="003525FA" w:rsidP="003525FA">
      <w:pPr>
        <w:jc w:val="center"/>
        <w:rPr>
          <w:rFonts w:ascii="Garamond" w:hAnsi="Garamond"/>
        </w:rPr>
      </w:pPr>
    </w:p>
    <w:p w14:paraId="7D53E220" w14:textId="77777777" w:rsidR="003525FA" w:rsidRPr="001A17C1" w:rsidRDefault="003525FA" w:rsidP="003525FA">
      <w:pPr>
        <w:jc w:val="center"/>
        <w:rPr>
          <w:rFonts w:ascii="Garamond" w:hAnsi="Garamond" w:cs="Times New Roman"/>
          <w:i/>
          <w:iCs/>
        </w:rPr>
      </w:pPr>
      <w:r>
        <w:rPr>
          <w:rFonts w:ascii="Garamond" w:hAnsi="Garamond" w:cs="Times New Roman"/>
          <w:i/>
          <w:iCs/>
          <w:vertAlign w:val="superscript"/>
        </w:rPr>
        <w:t>1</w:t>
      </w:r>
      <w:r>
        <w:rPr>
          <w:rFonts w:ascii="Garamond" w:hAnsi="Garamond" w:cs="Times New Roman"/>
          <w:i/>
          <w:iCs/>
        </w:rPr>
        <w:t xml:space="preserve">University of Washington School of Aquatic and Fisheries Sciences, </w:t>
      </w:r>
      <w:r>
        <w:rPr>
          <w:rFonts w:ascii="Garamond" w:hAnsi="Garamond" w:cs="Times New Roman"/>
          <w:i/>
          <w:iCs/>
          <w:vertAlign w:val="superscript"/>
        </w:rPr>
        <w:t>2</w:t>
      </w:r>
      <w:r>
        <w:rPr>
          <w:rFonts w:ascii="Garamond" w:hAnsi="Garamond" w:cs="Times New Roman"/>
          <w:i/>
          <w:iCs/>
        </w:rPr>
        <w:t>Montana State University Department of Ecology,</w:t>
      </w:r>
      <w:r>
        <w:rPr>
          <w:rFonts w:ascii="Garamond" w:hAnsi="Garamond" w:cs="Times New Roman"/>
          <w:i/>
          <w:iCs/>
          <w:vertAlign w:val="superscript"/>
        </w:rPr>
        <w:t>3</w:t>
      </w:r>
      <w:r>
        <w:rPr>
          <w:rFonts w:ascii="Garamond" w:hAnsi="Garamond" w:cs="Times New Roman"/>
          <w:i/>
          <w:iCs/>
        </w:rPr>
        <w:t xml:space="preserve">University of Utah Department of Geology, </w:t>
      </w:r>
      <w:r>
        <w:rPr>
          <w:rFonts w:ascii="Garamond" w:hAnsi="Garamond" w:cs="Times New Roman"/>
          <w:i/>
          <w:iCs/>
          <w:vertAlign w:val="superscript"/>
        </w:rPr>
        <w:t>4</w:t>
      </w:r>
      <w:r>
        <w:rPr>
          <w:rFonts w:ascii="Garamond" w:hAnsi="Garamond" w:cs="Times New Roman"/>
          <w:i/>
          <w:iCs/>
        </w:rPr>
        <w:t>Great Lakes Fishery Commission,</w:t>
      </w:r>
      <w:r>
        <w:rPr>
          <w:rFonts w:ascii="Garamond" w:hAnsi="Garamond" w:cs="Times New Roman"/>
          <w:i/>
          <w:iCs/>
          <w:vertAlign w:val="superscript"/>
        </w:rPr>
        <w:t>5</w:t>
      </w:r>
      <w:r>
        <w:rPr>
          <w:rFonts w:ascii="Garamond" w:hAnsi="Garamond" w:cs="Times New Roman"/>
          <w:i/>
          <w:iCs/>
        </w:rPr>
        <w:t>Orutsararmiut Native Council, Natural Resources Department</w:t>
      </w:r>
    </w:p>
    <w:p w14:paraId="1616F27E" w14:textId="77777777" w:rsidR="003525FA" w:rsidRPr="001A17C1" w:rsidRDefault="003525FA" w:rsidP="003525FA">
      <w:pPr>
        <w:rPr>
          <w:rFonts w:ascii="Garamond" w:hAnsi="Garamond" w:cs="Times New Roman"/>
        </w:rPr>
      </w:pPr>
    </w:p>
    <w:p w14:paraId="71D345F0" w14:textId="00177B00" w:rsidR="005323CA" w:rsidRDefault="003525FA" w:rsidP="005323CA">
      <w:pPr>
        <w:jc w:val="center"/>
        <w:rPr>
          <w:rFonts w:ascii="Garamond" w:hAnsi="Garamond" w:cs="Times New Roman"/>
        </w:rPr>
      </w:pPr>
      <w:r>
        <w:rPr>
          <w:rFonts w:ascii="Garamond" w:hAnsi="Garamond" w:cs="Times New Roman"/>
          <w:b/>
          <w:bCs/>
        </w:rPr>
        <w:t>Corresponding Author:</w:t>
      </w:r>
      <w:r>
        <w:rPr>
          <w:rFonts w:ascii="Garamond" w:hAnsi="Garamond" w:cs="Times New Roman"/>
        </w:rPr>
        <w:t xml:space="preserve"> Ben Makhlouf, </w:t>
      </w:r>
      <w:hyperlink r:id="rId8" w:history="1">
        <w:r w:rsidR="005323CA" w:rsidRPr="006F0069">
          <w:rPr>
            <w:rStyle w:val="Hyperlink"/>
            <w:rFonts w:ascii="Garamond" w:hAnsi="Garamond" w:cs="Times New Roman"/>
          </w:rPr>
          <w:t>bmak29@uw.edu</w:t>
        </w:r>
      </w:hyperlink>
    </w:p>
    <w:p w14:paraId="50920FF1" w14:textId="68B6B223" w:rsidR="005323CA" w:rsidRPr="001A17C1" w:rsidRDefault="005323CA" w:rsidP="00A844A4">
      <w:pPr>
        <w:jc w:val="center"/>
        <w:rPr>
          <w:rFonts w:ascii="Garamond" w:hAnsi="Garamond" w:cs="Times New Roman"/>
        </w:rPr>
      </w:pPr>
      <w:r w:rsidRPr="005323CA">
        <w:rPr>
          <w:rFonts w:ascii="Garamond" w:hAnsi="Garamond" w:cs="Times New Roman"/>
          <w:b/>
          <w:bCs/>
        </w:rPr>
        <w:t>Conflict of interest statement:</w:t>
      </w:r>
      <w:r>
        <w:rPr>
          <w:rFonts w:ascii="Garamond" w:hAnsi="Garamond" w:cs="Times New Roman"/>
        </w:rPr>
        <w:t xml:space="preserve"> The authors declare there is no conflict of interest </w:t>
      </w:r>
    </w:p>
    <w:p w14:paraId="2DE0C705" w14:textId="77777777" w:rsidR="003525FA" w:rsidRDefault="003525FA" w:rsidP="0017389D">
      <w:pPr>
        <w:suppressLineNumbers/>
        <w:jc w:val="center"/>
        <w:rPr>
          <w:rFonts w:ascii="Garamond" w:hAnsi="Garamond" w:cs="Times New Roman"/>
          <w:b/>
          <w:bCs/>
          <w:sz w:val="40"/>
          <w:szCs w:val="40"/>
        </w:rPr>
      </w:pPr>
    </w:p>
    <w:p w14:paraId="276639A8" w14:textId="77777777" w:rsidR="003525FA" w:rsidRDefault="003525FA" w:rsidP="0017389D">
      <w:pPr>
        <w:suppressLineNumbers/>
        <w:jc w:val="center"/>
        <w:rPr>
          <w:rFonts w:ascii="Garamond" w:hAnsi="Garamond" w:cs="Times New Roman"/>
          <w:b/>
          <w:bCs/>
          <w:sz w:val="40"/>
          <w:szCs w:val="40"/>
        </w:rPr>
      </w:pPr>
    </w:p>
    <w:p w14:paraId="46651501" w14:textId="77777777" w:rsidR="003525FA" w:rsidRDefault="003525FA" w:rsidP="0017389D">
      <w:pPr>
        <w:suppressLineNumbers/>
        <w:jc w:val="center"/>
        <w:rPr>
          <w:rFonts w:ascii="Garamond" w:hAnsi="Garamond" w:cs="Times New Roman"/>
          <w:b/>
          <w:bCs/>
          <w:sz w:val="40"/>
          <w:szCs w:val="40"/>
        </w:rPr>
      </w:pPr>
    </w:p>
    <w:p w14:paraId="4CF20524" w14:textId="77777777" w:rsidR="003525FA" w:rsidRDefault="003525FA" w:rsidP="0017389D">
      <w:pPr>
        <w:suppressLineNumbers/>
        <w:jc w:val="center"/>
        <w:rPr>
          <w:rFonts w:ascii="Garamond" w:hAnsi="Garamond" w:cs="Times New Roman"/>
          <w:b/>
          <w:bCs/>
          <w:sz w:val="40"/>
          <w:szCs w:val="40"/>
        </w:rPr>
      </w:pPr>
    </w:p>
    <w:p w14:paraId="658EE6B9" w14:textId="77777777" w:rsidR="003525FA" w:rsidRDefault="003525FA" w:rsidP="0017389D">
      <w:pPr>
        <w:suppressLineNumbers/>
        <w:jc w:val="center"/>
        <w:rPr>
          <w:rFonts w:ascii="Garamond" w:hAnsi="Garamond" w:cs="Times New Roman"/>
          <w:b/>
          <w:bCs/>
          <w:sz w:val="40"/>
          <w:szCs w:val="40"/>
        </w:rPr>
      </w:pPr>
    </w:p>
    <w:p w14:paraId="0B5F49C9" w14:textId="77777777" w:rsidR="003525FA" w:rsidRDefault="003525FA" w:rsidP="0017389D">
      <w:pPr>
        <w:suppressLineNumbers/>
        <w:jc w:val="center"/>
        <w:rPr>
          <w:rFonts w:ascii="Garamond" w:hAnsi="Garamond" w:cs="Times New Roman"/>
          <w:b/>
          <w:bCs/>
          <w:sz w:val="40"/>
          <w:szCs w:val="40"/>
        </w:rPr>
      </w:pPr>
    </w:p>
    <w:p w14:paraId="3DFE12E9" w14:textId="77777777" w:rsidR="003525FA" w:rsidRDefault="003525FA" w:rsidP="0017389D">
      <w:pPr>
        <w:suppressLineNumbers/>
        <w:jc w:val="center"/>
        <w:rPr>
          <w:rFonts w:ascii="Garamond" w:hAnsi="Garamond" w:cs="Times New Roman"/>
          <w:b/>
          <w:bCs/>
          <w:sz w:val="40"/>
          <w:szCs w:val="40"/>
        </w:rPr>
      </w:pPr>
    </w:p>
    <w:p w14:paraId="398E1809" w14:textId="787A2D25" w:rsidR="009A7B39" w:rsidRPr="0016395C" w:rsidRDefault="009A7B39" w:rsidP="006A2A72">
      <w:pPr>
        <w:suppressLineNumbers/>
        <w:rPr>
          <w:rFonts w:ascii="Garamond" w:hAnsi="Garamond"/>
          <w:b/>
          <w:bCs/>
          <w:sz w:val="20"/>
          <w:szCs w:val="20"/>
        </w:rPr>
      </w:pPr>
    </w:p>
    <w:p w14:paraId="57B09708" w14:textId="77777777" w:rsidR="003525FA" w:rsidRDefault="003525FA" w:rsidP="004712C9">
      <w:pPr>
        <w:suppressLineNumbers/>
        <w:rPr>
          <w:rFonts w:ascii="Garamond" w:hAnsi="Garamond" w:cs="Times New Roman"/>
          <w:b/>
          <w:bCs/>
          <w:u w:val="single"/>
        </w:rPr>
      </w:pPr>
    </w:p>
    <w:p w14:paraId="6A12FAB1" w14:textId="77777777" w:rsidR="003525FA" w:rsidRDefault="003525FA" w:rsidP="004712C9">
      <w:pPr>
        <w:suppressLineNumbers/>
        <w:rPr>
          <w:rFonts w:ascii="Garamond" w:hAnsi="Garamond" w:cs="Times New Roman"/>
          <w:b/>
          <w:bCs/>
          <w:u w:val="single"/>
        </w:rPr>
      </w:pPr>
    </w:p>
    <w:p w14:paraId="1E04B217" w14:textId="77777777" w:rsidR="003525FA" w:rsidRDefault="003525FA" w:rsidP="004712C9">
      <w:pPr>
        <w:suppressLineNumbers/>
        <w:rPr>
          <w:rFonts w:ascii="Garamond" w:hAnsi="Garamond" w:cs="Times New Roman"/>
          <w:b/>
          <w:bCs/>
          <w:u w:val="single"/>
        </w:rPr>
      </w:pPr>
    </w:p>
    <w:p w14:paraId="11C4E2DB" w14:textId="77777777" w:rsidR="00B26B57" w:rsidRDefault="00B26B57" w:rsidP="004712C9">
      <w:pPr>
        <w:suppressLineNumbers/>
        <w:rPr>
          <w:rFonts w:ascii="Garamond" w:hAnsi="Garamond" w:cs="Times New Roman"/>
          <w:b/>
          <w:bCs/>
          <w:u w:val="single"/>
        </w:rPr>
      </w:pPr>
    </w:p>
    <w:p w14:paraId="2F3E3570" w14:textId="77777777" w:rsidR="00B26B57" w:rsidRDefault="00B26B57" w:rsidP="004712C9">
      <w:pPr>
        <w:suppressLineNumbers/>
        <w:rPr>
          <w:rFonts w:ascii="Garamond" w:hAnsi="Garamond" w:cs="Times New Roman"/>
          <w:b/>
          <w:bCs/>
          <w:u w:val="single"/>
        </w:rPr>
      </w:pPr>
    </w:p>
    <w:p w14:paraId="1DB5BB82" w14:textId="77777777" w:rsidR="00B26B57" w:rsidRDefault="00B26B57" w:rsidP="004712C9">
      <w:pPr>
        <w:suppressLineNumbers/>
        <w:rPr>
          <w:rFonts w:ascii="Garamond" w:hAnsi="Garamond" w:cs="Times New Roman"/>
          <w:b/>
          <w:bCs/>
          <w:u w:val="single"/>
        </w:rPr>
      </w:pPr>
    </w:p>
    <w:p w14:paraId="75F3761F" w14:textId="39AC2FE2" w:rsidR="003717DB" w:rsidRPr="00665BC1" w:rsidRDefault="00E61436" w:rsidP="004712C9">
      <w:pPr>
        <w:suppressLineNumbers/>
        <w:rPr>
          <w:rFonts w:ascii="Garamond" w:hAnsi="Garamond" w:cs="Times New Roman"/>
          <w:b/>
          <w:bCs/>
          <w:u w:val="single"/>
        </w:rPr>
      </w:pPr>
      <w:r>
        <w:rPr>
          <w:rFonts w:ascii="Garamond" w:hAnsi="Garamond" w:cs="Times New Roman"/>
          <w:b/>
          <w:bCs/>
          <w:u w:val="single"/>
        </w:rPr>
        <w:t>Abstract:</w:t>
      </w:r>
    </w:p>
    <w:p w14:paraId="6CDB9F82" w14:textId="13308455" w:rsidR="00571049" w:rsidRPr="00571049" w:rsidRDefault="00571049" w:rsidP="00571049">
      <w:pPr>
        <w:spacing w:line="480" w:lineRule="auto"/>
        <w:rPr>
          <w:rFonts w:ascii="Garamond" w:hAnsi="Garamond"/>
          <w:sz w:val="22"/>
          <w:szCs w:val="22"/>
        </w:rPr>
      </w:pPr>
      <w:r w:rsidRPr="00571049">
        <w:rPr>
          <w:rFonts w:ascii="Garamond" w:hAnsi="Garamond"/>
          <w:sz w:val="22"/>
          <w:szCs w:val="22"/>
        </w:rPr>
        <w:t>Effective conservation of exploited species requires balancing harvest opportunities with the protection of biodiversity. In Pacific salmon, biodiversity among populations contributes to basin-wide resilience, yet spatiotemporal dynamics of adult migrating Chinook salmon remain poorly understood, creating uncertainty about management impacts. Declining abundance in western Alaska watersheds has led to restrictions in subsistence harvest and challenges for upstream communities. To balance stock protection with harvest opportunity, a front-end closure limits fishing early in the run to reduce exploitation of fish migrating to the upper watershed. To quantify stock-specific impacts of this strategy, we reconstruct spatiotemporal dynamics of return migration timing for Chinook salmon to the Kuskokwim River across six years using otolith isotope signatures. We demonstrate a consistent relationship between seasonal run timing and watershed origin, with earlier migrants contributing disproportionately to upper watershed regions. This pattern was consistent across years, though magnitude of contribution and run timing varied, highlighting interactions between the closure and ecological processes influencing efficacy. Simulated closure end dates provided greater protection for upper watershed stocks, though conservation–harvest tradeoffs varied.</w:t>
      </w:r>
    </w:p>
    <w:p w14:paraId="47893FEA" w14:textId="77777777" w:rsidR="00571049" w:rsidRDefault="00571049" w:rsidP="003525FA"/>
    <w:p w14:paraId="3E93BEF4" w14:textId="2CBF721B" w:rsidR="003525FA" w:rsidRPr="001A17C1" w:rsidRDefault="003525FA" w:rsidP="003525FA">
      <w:pPr>
        <w:rPr>
          <w:rFonts w:ascii="Garamond" w:hAnsi="Garamond" w:cs="Times New Roman"/>
        </w:rPr>
      </w:pPr>
      <w:r>
        <w:rPr>
          <w:rFonts w:ascii="Garamond" w:hAnsi="Garamond" w:cs="Times New Roman"/>
          <w:b/>
          <w:bCs/>
        </w:rPr>
        <w:t>Keywords</w:t>
      </w:r>
      <w:r>
        <w:rPr>
          <w:rFonts w:ascii="Garamond" w:hAnsi="Garamond" w:cs="Times New Roman"/>
        </w:rPr>
        <w:t>: Alaska, Biodiversity, Fisheries, Otolith, Salmon, Strontium, tradeoff</w:t>
      </w:r>
    </w:p>
    <w:p w14:paraId="3FD6F3F7" w14:textId="77777777" w:rsidR="007E3A31" w:rsidRDefault="007E3A31" w:rsidP="00BF42AB">
      <w:pPr>
        <w:suppressLineNumbers/>
        <w:spacing w:line="480" w:lineRule="auto"/>
        <w:rPr>
          <w:rFonts w:ascii="Garamond" w:hAnsi="Garamond" w:cs="Times New Roman"/>
        </w:rPr>
      </w:pPr>
    </w:p>
    <w:p w14:paraId="5566A155" w14:textId="77777777" w:rsidR="00571049" w:rsidRDefault="00571049" w:rsidP="00BF42AB">
      <w:pPr>
        <w:suppressLineNumbers/>
        <w:spacing w:line="480" w:lineRule="auto"/>
        <w:rPr>
          <w:rFonts w:ascii="Garamond" w:hAnsi="Garamond" w:cs="Times New Roman"/>
        </w:rPr>
      </w:pPr>
    </w:p>
    <w:p w14:paraId="6FC98385" w14:textId="77777777" w:rsidR="00571049" w:rsidRDefault="00571049" w:rsidP="00BF42AB">
      <w:pPr>
        <w:suppressLineNumbers/>
        <w:spacing w:line="480" w:lineRule="auto"/>
        <w:rPr>
          <w:rFonts w:ascii="Garamond" w:hAnsi="Garamond" w:cs="Times New Roman"/>
        </w:rPr>
      </w:pPr>
    </w:p>
    <w:p w14:paraId="0CB59415" w14:textId="77777777" w:rsidR="00571049" w:rsidRDefault="00571049" w:rsidP="00BF42AB">
      <w:pPr>
        <w:suppressLineNumbers/>
        <w:spacing w:line="480" w:lineRule="auto"/>
        <w:rPr>
          <w:rFonts w:ascii="Garamond" w:hAnsi="Garamond" w:cs="Times New Roman"/>
        </w:rPr>
      </w:pPr>
    </w:p>
    <w:p w14:paraId="52FE68BC" w14:textId="77777777" w:rsidR="00571049" w:rsidRDefault="00571049" w:rsidP="00BF42AB">
      <w:pPr>
        <w:suppressLineNumbers/>
        <w:spacing w:line="480" w:lineRule="auto"/>
        <w:rPr>
          <w:rFonts w:ascii="Garamond" w:hAnsi="Garamond" w:cs="Times New Roman"/>
        </w:rPr>
      </w:pPr>
    </w:p>
    <w:p w14:paraId="6FFB8AB4" w14:textId="77777777" w:rsidR="00571049" w:rsidRDefault="00571049" w:rsidP="00BF42AB">
      <w:pPr>
        <w:suppressLineNumbers/>
        <w:spacing w:line="480" w:lineRule="auto"/>
        <w:rPr>
          <w:rFonts w:ascii="Garamond" w:hAnsi="Garamond" w:cs="Times New Roman"/>
        </w:rPr>
      </w:pPr>
    </w:p>
    <w:p w14:paraId="09D9F601" w14:textId="77777777" w:rsidR="00571049" w:rsidRDefault="00571049" w:rsidP="00BF42AB">
      <w:pPr>
        <w:suppressLineNumbers/>
        <w:spacing w:line="480" w:lineRule="auto"/>
        <w:rPr>
          <w:rFonts w:ascii="Garamond" w:hAnsi="Garamond" w:cs="Times New Roman"/>
        </w:rPr>
      </w:pPr>
    </w:p>
    <w:p w14:paraId="58C68C67" w14:textId="4AAD3718" w:rsidR="00F552CD" w:rsidRPr="007C6331" w:rsidRDefault="00F552CD"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Introduction: </w:t>
      </w:r>
      <w:r>
        <w:rPr>
          <w:rFonts w:ascii="Garamond" w:hAnsi="Garamond" w:cs="Times New Roman"/>
          <w:sz w:val="28"/>
          <w:szCs w:val="28"/>
        </w:rPr>
        <w:t xml:space="preserve"> </w:t>
      </w:r>
    </w:p>
    <w:p w14:paraId="6DA4DC8E" w14:textId="72A46846" w:rsidR="00D86CD4" w:rsidRDefault="00507803" w:rsidP="00DB58D6">
      <w:pPr>
        <w:spacing w:line="480" w:lineRule="auto"/>
        <w:ind w:firstLine="720"/>
        <w:rPr>
          <w:rFonts w:ascii="Garamond" w:hAnsi="Garamond" w:cs="Times New Roman"/>
        </w:rPr>
      </w:pPr>
      <w:r>
        <w:rPr>
          <w:rFonts w:ascii="Garamond" w:hAnsi="Garamond"/>
        </w:rPr>
        <w:t xml:space="preserve">A key challenge in the management of harvested species is balancing the dual goals of providing adequate harvest opportunities while preserving biodiversity. </w:t>
      </w:r>
      <w:r>
        <w:rPr>
          <w:rFonts w:ascii="Garamond" w:hAnsi="Garamond" w:cs="Times New Roman"/>
        </w:rPr>
        <w:t xml:space="preserve"> In this context, biodiversity can be defined both by the number of species within an ecosystem and intrapopulation diversity among metapopulations of a single species </w:t>
      </w:r>
      <w:r>
        <w:rPr>
          <w:rFonts w:ascii="Garamond" w:hAnsi="Garamond" w:cs="Times New Roman"/>
        </w:rPr>
        <w:fldChar w:fldCharType="begin"/>
      </w:r>
      <w:r>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(Bolnick et al., 2011; Luck et al., 2003; Schindler et al., 2010)</w:t>
      </w:r>
      <w:r>
        <w:rPr>
          <w:rFonts w:ascii="Garamond" w:hAnsi="Garamond" w:cs="Times New Roman"/>
        </w:rPr>
        <w:fldChar w:fldCharType="end"/>
      </w:r>
      <w:r>
        <w:rPr>
          <w:rFonts w:ascii="Garamond" w:hAnsi="Garamond" w:cs="Times New Roman"/>
        </w:rPr>
        <w:t xml:space="preserve">. In either case, biodiversity stabilizes ecosystem level processes, bolsters resilience to environmental change, and increases the reliability of ecosystem services </w:t>
      </w:r>
      <w:r>
        <w:rPr>
          <w:rFonts w:ascii="Garamond" w:hAnsi="Garamond" w:cs="Times New Roman"/>
        </w:rPr>
        <w:fldChar w:fldCharType="begin"/>
      </w:r>
      <w:r>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Pr>
          <w:rFonts w:ascii="Garamond" w:hAnsi="Garamond" w:cs="Times New Roman"/>
        </w:rPr>
        <w:fldChar w:fldCharType="separate"/>
      </w:r>
      <w:r>
        <w:rPr>
          <w:rFonts w:ascii="Garamond" w:hAnsi="Garamond" w:cs="Times New Roman"/>
          <w:noProof/>
        </w:rPr>
        <w:t>( Schindler et al., 2015; Tilman et al., 2005)</w:t>
      </w:r>
      <w:r>
        <w:rPr>
          <w:rFonts w:ascii="Garamond" w:hAnsi="Garamond" w:cs="Times New Roman"/>
        </w:rPr>
        <w:fldChar w:fldCharType="end"/>
      </w:r>
      <w:r>
        <w:rPr>
          <w:rFonts w:ascii="Garamond" w:hAnsi="Garamond" w:cs="Times New Roman"/>
        </w:rPr>
        <w:t xml:space="preserve">. Designing strategies that explicitly protect biodiversity, however, requires a thorough understanding of the potential consequences of different strategies on both harvest and ecological processes as well as the tradeoffs between them. In many cases, such as in large and remote ecosystems, understanding these patterns at sufficient spatial or temporal scales remains a challenge, resulting in conservation and resource management strategies with uncertain outcomes. </w:t>
      </w:r>
    </w:p>
    <w:p w14:paraId="655019F9" w14:textId="77777777" w:rsidR="00FA76AC" w:rsidRPr="008605CB" w:rsidRDefault="00FA76AC" w:rsidP="00D04B7C">
      <w:pPr>
        <w:spacing w:line="480" w:lineRule="auto"/>
        <w:ind w:firstLine="720"/>
        <w:rPr>
          <w:rFonts w:ascii="Garamond" w:hAnsi="Garamond" w:cs="Times New Roman"/>
        </w:rPr>
      </w:pPr>
      <w:r>
        <w:rPr>
          <w:rFonts w:ascii="Garamond" w:hAnsi="Garamond" w:cs="Times New Roman"/>
        </w:rPr>
        <w:t>Pacific salmon (</w:t>
      </w:r>
      <w:r>
        <w:rPr>
          <w:rFonts w:ascii="Garamond" w:hAnsi="Garamond" w:cs="Times New Roman"/>
          <w:i/>
          <w:iCs/>
        </w:rPr>
        <w:t>Oncorhynchus spp.)</w:t>
      </w:r>
      <w:r>
        <w:rPr>
          <w:rFonts w:ascii="Garamond" w:hAnsi="Garamond" w:cs="Times New Roman"/>
        </w:rPr>
        <w:t xml:space="preserve"> returning to their natal watersheds often exhibit significant diversity in run timing and spatial distribution across large and complex river systems </w:t>
      </w:r>
      <w:r>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(Griffiths et al., 2014; Nesbitt &amp; Moore, 2016; Schindler et al., 2010)</w:t>
      </w:r>
      <w:r>
        <w:rPr>
          <w:rFonts w:ascii="Garamond" w:hAnsi="Garamond" w:cs="Times New Roman"/>
        </w:rPr>
        <w:fldChar w:fldCharType="end"/>
      </w:r>
      <w:r>
        <w:rPr>
          <w:rFonts w:ascii="Garamond" w:hAnsi="Garamond" w:cs="Times New Roman"/>
        </w:rPr>
        <w:t xml:space="preserve">. Populations of adult salmon migrating upstream within large river basins are often comprised of multiple distinct sub-stocks (or populations) which vary in their relative abundance and life-history, but which co-migrate within overlapping temporal windows. Downstream fisheries that harvest migrating individuals therefore risk overexploitation of vulnerable populations which commingle with more robust ones </w:t>
      </w:r>
      <w:r>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Pr>
          <w:rFonts w:ascii="Garamond" w:hAnsi="Garamond" w:cs="Times New Roman"/>
        </w:rPr>
        <w:fldChar w:fldCharType="separate"/>
      </w:r>
      <w:r>
        <w:rPr>
          <w:rFonts w:ascii="Garamond" w:hAnsi="Garamond" w:cs="Times New Roman"/>
          <w:noProof/>
        </w:rPr>
        <w:t>(Connors et al., 2020; Moore et al., 2021)</w:t>
      </w:r>
      <w:r>
        <w:rPr>
          <w:rFonts w:ascii="Garamond" w:hAnsi="Garamond" w:cs="Times New Roman"/>
        </w:rPr>
        <w:fldChar w:fldCharType="end"/>
      </w:r>
      <w:r>
        <w:rPr>
          <w:rFonts w:ascii="Garamond" w:hAnsi="Garamond" w:cs="Times New Roman"/>
        </w:rPr>
        <w:t xml:space="preserve">. Populations returning to the furthest upstream portions of the watershed face particular risk of overharvest given their extended migration </w:t>
      </w:r>
      <w:r>
        <w:rPr>
          <w:rFonts w:ascii="Garamond" w:hAnsi="Garamond"/>
        </w:rPr>
        <w:t xml:space="preserve">and sequential nature of large river salmon fisheries </w:t>
      </w:r>
      <w:r>
        <w:rPr>
          <w:rFonts w:ascii="Garamond" w:hAnsi="Garamond" w:cs="Times New Roman"/>
        </w:rPr>
        <w:fldChar w:fldCharType="begin"/>
      </w:r>
      <w:r>
        <w:rPr>
          <w:rFonts w:ascii="Garamond" w:hAnsi="Garamond" w:cs="Times New Roman"/>
        </w:rPr>
        <w: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Pr>
          <w:rFonts w:ascii="Cambria Math" w:hAnsi="Cambria Math" w:cs="Cambria Math"/>
        </w:rPr>
        <w:instrText>‐</w:instrText>
      </w:r>
      <w:r>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Pr>
          <w:rFonts w:ascii="Garamond" w:hAnsi="Garamond" w:cs="Times New Roman"/>
        </w:rPr>
        <w:fldChar w:fldCharType="separate"/>
      </w:r>
      <w:r>
        <w:rPr>
          <w:rFonts w:ascii="Garamond" w:hAnsi="Garamond" w:cs="Times New Roman"/>
          <w:noProof/>
        </w:rPr>
        <w:t>(e.g. Hamazaki, 2008)</w:t>
      </w:r>
      <w:r>
        <w:rPr>
          <w:rFonts w:ascii="Garamond" w:hAnsi="Garamond" w:cs="Times New Roman"/>
        </w:rPr>
        <w:fldChar w:fldCharType="end"/>
      </w:r>
      <w:r>
        <w:rPr>
          <w:rFonts w:ascii="Garamond" w:hAnsi="Garamond" w:cs="Times New Roman"/>
        </w:rPr>
        <w:t xml:space="preserve">. However, the timing, yield, and duration of </w:t>
      </w:r>
      <w:r>
        <w:rPr>
          <w:rFonts w:ascii="Garamond" w:hAnsi="Garamond" w:cs="Times New Roman"/>
        </w:rPr>
        <w:lastRenderedPageBreak/>
        <w:t xml:space="preserve">downstream fisheries are the result of the aggregate dynamics of these upstream components </w:t>
      </w:r>
      <w:r>
        <w:rPr>
          <w:rFonts w:ascii="Garamond" w:hAnsi="Garamond" w:cs="Times New Roman"/>
        </w:rPr>
        <w:fldChar w:fldCharType="begin"/>
      </w:r>
      <w:r>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Pr>
          <w:rFonts w:ascii="Garamond" w:hAnsi="Garamond" w:cs="Times New Roman"/>
        </w:rPr>
        <w:fldChar w:fldCharType="separate"/>
      </w:r>
      <w:r>
        <w:rPr>
          <w:rFonts w:ascii="Garamond" w:hAnsi="Garamond" w:cs="Times New Roman"/>
          <w:noProof/>
        </w:rPr>
        <w:t>(Nesbitt &amp; Moore, 2016)</w:t>
      </w:r>
      <w:r>
        <w:rPr>
          <w:rFonts w:ascii="Garamond" w:hAnsi="Garamond" w:cs="Times New Roman"/>
        </w:rPr>
        <w:fldChar w:fldCharType="end"/>
      </w:r>
      <w:r>
        <w:rPr>
          <w:rFonts w:ascii="Garamond" w:hAnsi="Garamond" w:cs="Times New Roman"/>
        </w:rPr>
        <w:t xml:space="preserve">. Further, maintaining life history diversity across the full stock complex contributes to ecosystem resilience by distributing population level risk across space and time </w:t>
      </w:r>
      <w:r>
        <w:rPr>
          <w:rFonts w:ascii="Garamond" w:hAnsi="Garamond" w:cs="Times New Roman"/>
        </w:rPr>
        <w:fldChar w:fldCharType="begin"/>
      </w:r>
      <w:r>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(Schindler et al., 2010)</w:t>
      </w:r>
      <w:r>
        <w:rPr>
          <w:rFonts w:ascii="Garamond" w:hAnsi="Garamond" w:cs="Times New Roman"/>
        </w:rPr>
        <w:fldChar w:fldCharType="end"/>
      </w:r>
      <w:r>
        <w:rPr>
          <w:rFonts w:ascii="Garamond" w:hAnsi="Garamond" w:cs="Times New Roman"/>
        </w:rPr>
        <w:t xml:space="preserve">. Designing strategies which explicitly consider and protect this biodiversity, including vulnerable upstream populations, therefore contributes to stabilizing downstream fishery resources. </w:t>
      </w:r>
    </w:p>
    <w:p w14:paraId="53256603" w14:textId="0F67A0FD" w:rsidR="00507803" w:rsidRPr="008605CB" w:rsidRDefault="00507803" w:rsidP="00FA76AC">
      <w:pPr>
        <w:spacing w:line="480" w:lineRule="auto"/>
        <w:ind w:firstLine="720"/>
        <w:rPr>
          <w:rFonts w:ascii="Garamond" w:hAnsi="Garamond" w:cs="Times New Roman"/>
        </w:rPr>
      </w:pPr>
      <w:r>
        <w:rPr>
          <w:rFonts w:ascii="Garamond" w:hAnsi="Garamond" w:cs="Times New Roman"/>
        </w:rPr>
        <w:t xml:space="preserve">western Alaska watersheds contain some of the last remaining pristine salmon habitat and have historically supported large returns of Pacific salmon. </w:t>
      </w:r>
      <w:r>
        <w:rPr>
          <w:rFonts w:ascii="Garamond" w:hAnsi="Garamond"/>
        </w:rPr>
        <w:t xml:space="preserve">The region’s three major river basins, the Yukon, Kuskokwim, and Nushagak, collectively produce approximately 80% of the world’s wild Chinook salmon, making western Alaska one of the most important remaining strongholds for the species globally </w:t>
      </w:r>
      <w:r>
        <w:rPr>
          <w:rFonts w:ascii="Garamond" w:hAnsi="Garamond" w:cs="Times New Roman"/>
        </w:rPr>
        <w:t>(</w:t>
      </w:r>
      <w:r>
        <w:rPr>
          <w:rFonts w:ascii="Garamond" w:hAnsi="Garamond" w:cs="Times New Roman"/>
          <w:i/>
          <w:iCs/>
          <w:color w:val="000000" w:themeColor="text1"/>
        </w:rPr>
        <w:t>Oncorhynchus tshawytscha</w:t>
      </w:r>
      <w:r>
        <w:rPr>
          <w:rFonts w:ascii="Garamond" w:hAnsi="Garamond" w:cs="Times New Roman"/>
          <w:color w:val="000000" w:themeColor="text1"/>
        </w:rPr>
        <w:t xml:space="preserve">). </w:t>
      </w:r>
      <w:r>
        <w:rPr>
          <w:rFonts w:ascii="Garamond" w:hAnsi="Garamond" w:cs="Times New Roman"/>
        </w:rPr>
        <w:t xml:space="preserve">However, several species of Pacific salmon, including Chinook salmon, have declined precipitously in recent years throughout western Alaska watersheds </w:t>
      </w:r>
      <w:r>
        <w:rPr>
          <w:rFonts w:ascii="Garamond" w:hAnsi="Garamond" w:cs="Times New Roman"/>
        </w:rPr>
        <w:fldChar w:fldCharType="begin"/>
      </w:r>
      <w:r>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Pr>
          <w:rFonts w:ascii="Garamond" w:hAnsi="Garamond" w:cs="Times New Roman"/>
        </w:rPr>
        <w:fldChar w:fldCharType="separate"/>
      </w:r>
      <w:r>
        <w:rPr>
          <w:rFonts w:ascii="Garamond" w:hAnsi="Garamond" w:cs="Times New Roman"/>
          <w:noProof/>
        </w:rPr>
        <w:t>(KRITFC, 2024; Lamborn et al., 2025a; Ohlberger et al., 2018)</w:t>
      </w:r>
      <w:r>
        <w:rPr>
          <w:rFonts w:ascii="Garamond" w:hAnsi="Garamond" w:cs="Times New Roman"/>
        </w:rPr>
        <w:fldChar w:fldCharType="end"/>
      </w:r>
      <w:r>
        <w:rPr>
          <w:rFonts w:ascii="Garamond" w:hAnsi="Garamond" w:cs="Times New Roman"/>
        </w:rPr>
        <w:t xml:space="preserve">, triggering a conservation crisis and leading to heavy restrictions on subsistence harvest </w:t>
      </w:r>
      <w:r>
        <w:rPr>
          <w:rFonts w:ascii="Garamond" w:hAnsi="Garamond" w:cs="Times New Roman"/>
        </w:rPr>
        <w:fldChar w:fldCharType="begin"/>
      </w:r>
      <w:r>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Pr>
          <w:rFonts w:ascii="Garamond" w:hAnsi="Garamond" w:cs="Times New Roman"/>
        </w:rPr>
        <w:fldChar w:fldCharType="separate"/>
      </w:r>
      <w:r>
        <w:rPr>
          <w:rFonts w:ascii="Garamond" w:hAnsi="Garamond" w:cs="Times New Roman"/>
          <w:noProof/>
        </w:rPr>
        <w:t>(Brown &amp; Godduhn, 2015; Lamborn et al., 2025b; Ohlberger et al., 2018)</w:t>
      </w:r>
      <w:r>
        <w:rPr>
          <w:rFonts w:ascii="Garamond" w:hAnsi="Garamond" w:cs="Times New Roman"/>
        </w:rPr>
        <w:fldChar w:fldCharType="end"/>
      </w:r>
      <w:r>
        <w:rPr>
          <w:rFonts w:ascii="Garamond" w:hAnsi="Garamond" w:cs="Times New Roman"/>
        </w:rPr>
        <w:t>. In the Kuskokwim River basin, a large (127,000 km</w:t>
      </w:r>
      <w:r>
        <w:rPr>
          <w:rFonts w:ascii="Garamond" w:hAnsi="Garamond" w:cs="Times New Roman"/>
          <w:vertAlign w:val="superscript"/>
        </w:rPr>
        <w:t>2</w:t>
      </w:r>
      <w:r>
        <w:rPr>
          <w:rFonts w:ascii="Garamond" w:hAnsi="Garamond" w:cs="Times New Roman"/>
        </w:rPr>
        <w:t xml:space="preserve">) free-flowing watershed in western Alaska, Chinook salmon populations support subsistence fishing opportunities for dozens of rural communities, comprised by a majority of Alaska Natives </w:t>
      </w:r>
      <w:r>
        <w:rPr>
          <w:rFonts w:ascii="Garamond" w:hAnsi="Garamond" w:cs="Times New Roman"/>
        </w:rPr>
        <w:fldChar w:fldCharType="begin"/>
      </w:r>
      <w:r>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Pr>
          <w:rFonts w:ascii="Garamond" w:hAnsi="Garamond" w:cs="Times New Roman"/>
        </w:rPr>
        <w:fldChar w:fldCharType="separate"/>
      </w:r>
      <w:r>
        <w:rPr>
          <w:rFonts w:ascii="Garamond" w:hAnsi="Garamond" w:cs="Times New Roman"/>
          <w:noProof/>
        </w:rPr>
        <w:t>(ADFG, 2025)</w:t>
      </w:r>
      <w:r>
        <w:rPr>
          <w:rFonts w:ascii="Garamond" w:hAnsi="Garamond" w:cs="Times New Roman"/>
        </w:rPr>
        <w:fldChar w:fldCharType="end"/>
      </w:r>
      <w:r>
        <w:rPr>
          <w:rFonts w:ascii="Garamond" w:hAnsi="Garamond" w:cs="Times New Roman"/>
        </w:rPr>
        <w:t xml:space="preserve">. Subsistence fisheries are the primary form of harvest in the watershed, and nearly every household participates in the fishery in some way. As a result, fishery restrictions have led to significant hardship in the basin, including food insecurity and cultural loss </w:t>
      </w:r>
      <w:r>
        <w:rPr>
          <w:rFonts w:ascii="Garamond" w:hAnsi="Garamond" w:cs="Times New Roman"/>
        </w:rPr>
        <w:fldChar w:fldCharType="begin"/>
      </w:r>
      <w:r>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(Brown &amp; Godduhn, 2015)</w:t>
      </w:r>
      <w:r>
        <w:rPr>
          <w:rFonts w:ascii="Garamond" w:hAnsi="Garamond" w:cs="Times New Roman"/>
        </w:rPr>
        <w:fldChar w:fldCharType="end"/>
      </w:r>
      <w:r>
        <w:rPr>
          <w:rFonts w:ascii="Garamond" w:hAnsi="Garamond" w:cs="Times New Roman"/>
        </w:rPr>
        <w:t xml:space="preserve">. Resource managers are therefore tasked with designing management strategies that allow for harvest opportunities while simultaneously rebuilding basin-wide abundance and maintaining population biodiversity across the watershed. </w:t>
      </w:r>
    </w:p>
    <w:p w14:paraId="50946457" w14:textId="659AF0A6" w:rsidR="00044401" w:rsidRPr="008605CB" w:rsidRDefault="00507803" w:rsidP="00C26378">
      <w:pPr>
        <w:spacing w:line="480" w:lineRule="auto"/>
        <w:ind w:firstLine="720"/>
        <w:rPr>
          <w:rFonts w:ascii="Garamond" w:hAnsi="Garamond" w:cs="Times New Roman"/>
        </w:rPr>
      </w:pPr>
      <w:r>
        <w:rPr>
          <w:rFonts w:ascii="Garamond" w:hAnsi="Garamond" w:cs="Times New Roman"/>
        </w:rPr>
        <w:lastRenderedPageBreak/>
        <w:tab/>
      </w:r>
      <w:r>
        <w:rPr>
          <w:rStyle w:val="Strong"/>
          <w:rFonts w:ascii="Garamond" w:hAnsi="Garamond" w:cs="Times New Roman"/>
          <w:b w:val="0"/>
          <w:bCs w:val="0"/>
        </w:rPr>
        <w:t>A current management approach implemented in the Kuskokwim River basin has been a front-end closure which prohibits fishing during a fixed temporal window from June 1</w:t>
      </w:r>
      <w:r>
        <w:rPr>
          <w:rStyle w:val="Strong"/>
          <w:rFonts w:ascii="Garamond" w:hAnsi="Garamond" w:cs="Times New Roman"/>
          <w:b w:val="0"/>
          <w:bCs w:val="0"/>
          <w:vertAlign w:val="superscript"/>
        </w:rPr>
        <w:t>st</w:t>
      </w:r>
      <w:r>
        <w:rPr>
          <w:rStyle w:val="Strong"/>
          <w:rFonts w:ascii="Garamond" w:hAnsi="Garamond" w:cs="Times New Roman"/>
          <w:b w:val="0"/>
          <w:bCs w:val="0"/>
        </w:rPr>
        <w:t xml:space="preserve"> to June 11</w:t>
      </w:r>
      <w:r>
        <w:rPr>
          <w:rStyle w:val="Strong"/>
          <w:rFonts w:ascii="Garamond" w:hAnsi="Garamond" w:cs="Times New Roman"/>
          <w:b w:val="0"/>
          <w:bCs w:val="0"/>
          <w:vertAlign w:val="superscript"/>
        </w:rPr>
        <w:t>th</w:t>
      </w:r>
      <w:r>
        <w:rPr>
          <w:rStyle w:val="Strong"/>
          <w:rFonts w:ascii="Garamond" w:hAnsi="Garamond" w:cs="Times New Roman"/>
          <w:b w:val="0"/>
          <w:bCs w:val="0"/>
        </w:rPr>
        <w:t xml:space="preserve">. </w:t>
      </w:r>
      <w:r>
        <w:rPr>
          <w:rFonts w:ascii="Garamond" w:hAnsi="Garamond" w:cs="Times New Roman"/>
        </w:rPr>
        <w:t xml:space="preserve">This strategy is designed to protect early migrating fish which are assumed to be returning to spawn in the furthest upstream regions of the Kuskokwim River. This assumption is bolstered by patterns observed in other systems </w:t>
      </w:r>
      <w:r>
        <w:rPr>
          <w:rFonts w:ascii="Garamond" w:hAnsi="Garamond" w:cs="Times New Roman"/>
        </w:rPr>
        <w:fldChar w:fldCharType="begin"/>
      </w:r>
      <w:r>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Pr>
          <w:rFonts w:ascii="Cambria Math" w:hAnsi="Cambria Math" w:cs="Cambria Math"/>
        </w:rPr>
        <w:instrText>‐</w:instrText>
      </w:r>
      <w:r>
        <w:rPr>
          <w:rFonts w:ascii="Garamond" w:hAnsi="Garamond" w:cs="Times New Roman"/>
        </w:rPr>
        <w:instrText>wide effects of body size, sex, spawning location, and year on the timing of spawning</w:instrText>
      </w:r>
      <w:r>
        <w:rPr>
          <w:rFonts w:ascii="Cambria Math" w:hAnsi="Cambria Math" w:cs="Cambria Math"/>
        </w:rPr>
        <w:instrText>‐</w:instrText>
      </w:r>
      <w:r>
        <w:rPr>
          <w:rFonts w:ascii="Garamond" w:hAnsi="Garamond" w:cs="Times New Roman"/>
        </w:rPr>
        <w:instrText>run migration into the Togiak River. Migration data and spawning fate were collected using radiotelemetry and analyzed with mixed effects models to account for among</w:instrText>
      </w:r>
      <w:r>
        <w:rPr>
          <w:rFonts w:ascii="Cambria Math" w:hAnsi="Cambria Math" w:cs="Cambria Math"/>
        </w:rPr>
        <w:instrText>‐</w:instrText>
      </w:r>
      <w:r>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Pr>
          <w:rFonts w:ascii="Garamond" w:hAnsi="Garamond" w:cs="Times New Roman"/>
        </w:rPr>
        <w:fldChar w:fldCharType="separate"/>
      </w:r>
      <w:r>
        <w:rPr>
          <w:rFonts w:ascii="Garamond" w:hAnsi="Garamond" w:cs="Times New Roman"/>
          <w:noProof/>
        </w:rPr>
        <w:t>(S. C. Clark et al., 2015)</w:t>
      </w:r>
      <w:r>
        <w:rPr>
          <w:rFonts w:ascii="Garamond" w:hAnsi="Garamond" w:cs="Times New Roman"/>
        </w:rPr>
        <w:fldChar w:fldCharType="end"/>
      </w:r>
      <w:r>
        <w:rPr>
          <w:rFonts w:ascii="Garamond" w:hAnsi="Garamond" w:cs="Times New Roman"/>
        </w:rPr>
        <w:t xml:space="preserve">, supported by telemetry data in the Kuskokwim </w:t>
      </w:r>
      <w:r>
        <w:rPr>
          <w:rFonts w:ascii="Garamond" w:hAnsi="Garamond" w:cs="Times New Roman"/>
        </w:rPr>
        <w:fldChar w:fldCharType="begin"/>
      </w:r>
      <w:r>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Pr>
          <w:rFonts w:ascii="Garamond" w:hAnsi="Garamond" w:cs="Times New Roman"/>
        </w:rPr>
        <w:fldChar w:fldCharType="separate"/>
      </w:r>
      <w:r>
        <w:rPr>
          <w:rFonts w:ascii="Garamond" w:hAnsi="Garamond" w:cs="Times New Roman"/>
          <w:noProof/>
        </w:rPr>
        <w:t>(J. N. Clark &amp; Smith, 2019; Head et al., 2017; Smith &amp; Liller, 2017a, 2017b)</w:t>
      </w:r>
      <w:r>
        <w:rPr>
          <w:rFonts w:ascii="Garamond" w:hAnsi="Garamond" w:cs="Times New Roman"/>
        </w:rPr>
        <w:fldChar w:fldCharType="end"/>
      </w:r>
      <w:r>
        <w:rPr>
          <w:rFonts w:ascii="Garamond" w:hAnsi="Garamond" w:cs="Times New Roman"/>
        </w:rPr>
        <w:t xml:space="preserve">, and further motivated by traditional and local knowledge held by Tribal citizens and stakeholders. By protecting upriver stocks, managers aim to support basin-wide escapement goals, provide more equitable harvest opportunities to upstream communities, and protect upper river stocks which are at heightened risk of overharvest but contribute disproportionately to stabilizing downstream fishery dynamics. However, the spatial ecology of Chinook salmon in the Kuskokwim River basin remains poorly understood at the watershed scale, and </w:t>
      </w:r>
      <w:r>
        <w:rPr>
          <w:rStyle w:val="Strong"/>
          <w:rFonts w:ascii="Garamond" w:hAnsi="Garamond" w:cs="Times New Roman"/>
          <w:b w:val="0"/>
          <w:bCs w:val="0"/>
        </w:rPr>
        <w:t>whether the</w:t>
      </w:r>
      <w:r>
        <w:rPr>
          <w:rFonts w:ascii="Garamond" w:hAnsi="Garamond" w:cs="Times New Roman"/>
        </w:rPr>
        <w:t xml:space="preserve"> interaction </w:t>
      </w:r>
      <w:r>
        <w:rPr>
          <w:rStyle w:val="Strong"/>
          <w:rFonts w:ascii="Garamond" w:hAnsi="Garamond" w:cs="Times New Roman"/>
          <w:b w:val="0"/>
          <w:bCs w:val="0"/>
        </w:rPr>
        <w:t>between</w:t>
      </w:r>
      <w:r>
        <w:rPr>
          <w:rFonts w:ascii="Garamond" w:hAnsi="Garamond" w:cs="Times New Roman"/>
        </w:rPr>
        <w:t xml:space="preserve"> population-specific migration patterns and the front-end closure has the potential to protect upstream stocks as </w:t>
      </w:r>
      <w:r>
        <w:rPr>
          <w:rStyle w:val="Strong"/>
          <w:rFonts w:ascii="Garamond" w:hAnsi="Garamond" w:cs="Times New Roman"/>
          <w:b w:val="0"/>
          <w:bCs w:val="0"/>
        </w:rPr>
        <w:t>intended</w:t>
      </w:r>
      <w:r>
        <w:rPr>
          <w:rFonts w:ascii="Garamond" w:hAnsi="Garamond" w:cs="Times New Roman"/>
          <w:b/>
          <w:bCs/>
        </w:rPr>
        <w:t xml:space="preserve"> </w:t>
      </w:r>
      <w:r>
        <w:rPr>
          <w:rFonts w:ascii="Garamond" w:hAnsi="Garamond" w:cs="Times New Roman"/>
        </w:rPr>
        <w:t>is not currently well known.</w:t>
      </w:r>
      <w:r>
        <w:rPr>
          <w:rFonts w:ascii="Garamond" w:hAnsi="Garamond" w:cs="Times New Roman"/>
          <w:b/>
          <w:bCs/>
        </w:rPr>
        <w:t xml:space="preserve"> </w:t>
      </w:r>
      <w:r>
        <w:rPr>
          <w:rFonts w:ascii="Garamond" w:hAnsi="Garamond" w:cs="Times New Roman"/>
        </w:rPr>
        <w:t xml:space="preserve"> </w:t>
      </w:r>
    </w:p>
    <w:p w14:paraId="4B48F71D" w14:textId="54AF7BEB" w:rsidR="00A72EBD" w:rsidRPr="008605CB" w:rsidRDefault="00A72EBD" w:rsidP="00A72EBD">
      <w:pPr>
        <w:spacing w:line="480" w:lineRule="auto"/>
        <w:ind w:firstLine="720"/>
        <w:rPr>
          <w:rFonts w:ascii="Garamond" w:hAnsi="Garamond" w:cs="Times New Roman"/>
          <w:b/>
          <w:bCs/>
        </w:rPr>
      </w:pPr>
      <w:r>
        <w:rPr>
          <w:rFonts w:ascii="Garamond" w:hAnsi="Garamond" w:cs="Times New Roman"/>
        </w:rPr>
        <w:t>Here, we use otolith chemistry from fish caught during a test fishery throughout the seasonal migration period over six years in the Kuskokwim River to reconstruct spatiotemporal patterns of Chinook salmon returns. The limited genetic structure of Chinook salmon in this region precludes using genetic approaches to quantify migration timing of different populations 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623E12CB" w:rsidR="009833DB" w:rsidRPr="007C6331" w:rsidRDefault="00467885"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lastRenderedPageBreak/>
        <w:t xml:space="preserve">Materials and Methods: </w:t>
      </w:r>
    </w:p>
    <w:p w14:paraId="2B9BE153" w14:textId="589B370C" w:rsidR="009833DB" w:rsidRPr="008605CB" w:rsidRDefault="007C6331" w:rsidP="009833DB">
      <w:pPr>
        <w:spacing w:line="480" w:lineRule="auto"/>
        <w:rPr>
          <w:rFonts w:ascii="Garamond" w:hAnsi="Garamond" w:cs="Times New Roman"/>
          <w:b/>
          <w:bCs/>
        </w:rPr>
      </w:pPr>
      <w:r>
        <w:rPr>
          <w:rFonts w:ascii="Garamond" w:hAnsi="Garamond" w:cs="Times New Roman"/>
          <w:b/>
          <w:bCs/>
        </w:rPr>
        <w:t>2.1 Otolith samples</w:t>
      </w:r>
    </w:p>
    <w:p w14:paraId="2C50ADFF" w14:textId="275DC3F3" w:rsidR="009C079F" w:rsidRPr="008605CB" w:rsidRDefault="003A1EB0" w:rsidP="009C079F">
      <w:pPr>
        <w:spacing w:line="480" w:lineRule="auto"/>
        <w:ind w:firstLine="720"/>
        <w:rPr>
          <w:rFonts w:ascii="Garamond" w:eastAsia="Times New Roman" w:hAnsi="Garamond" w:cs="Times New Roman"/>
          <w:kern w:val="0"/>
          <w14:ligatures w14:val="none"/>
        </w:rPr>
      </w:pPr>
      <w:r>
        <w:rPr>
          <w:rFonts w:ascii="Garamond" w:eastAsia="Times New Roman" w:hAnsi="Garamond" w:cs="Times New Roman"/>
          <w:kern w:val="0"/>
          <w14:ligatures w14:val="none"/>
        </w:rPr>
        <w:t xml:space="preserve">Chinook salmon otoliths were collected from 2017 to 2022 in the Alaska Department of Fish &amp; Game Bethel Test Fishery (BTF) near Bethel, Alaska in collaboration with the Orutsararmiut Native Council fisheries program. </w:t>
      </w:r>
      <w:r>
        <w:rPr>
          <w:rFonts w:ascii="Garamond" w:hAnsi="Garamond" w:cs="Times New Roman"/>
        </w:rPr>
        <w:t>The BTF was designed to enable in-season assessment of run timing and strength, based on catch-per-unit-effort (CPUE)</w:t>
      </w:r>
      <w:r>
        <w:rPr>
          <w:rStyle w:val="CommentReference"/>
        </w:rPr>
        <w:t>,</w:t>
      </w:r>
      <w:r>
        <w:rPr>
          <w:rFonts w:ascii="Garamond" w:hAnsi="Garamond" w:cs="Times New Roman"/>
        </w:rPr>
        <w:t xml:space="preserve"> to inform management decisions for fisheries throughout the river. Fish caught in this fishery are a representative sample of returning stocks throughout the basin above the test fishery location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(Lipka &amp; Elison, 2015)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Although this sample set does not capture fish which spawn below Bethel, nearly all Chinook salmon returning to the Kuskokwim River spawn above this location. Contributing partners collected approximately 500 otoliths annually from 2017-2022, ensuring sampling efforts over the full course of the run. From these, approximately 250 otoliths were selected for chemical analysis in proportion to the relative CPUE throughout the season. </w:t>
      </w:r>
    </w:p>
    <w:p w14:paraId="23BCDAEA" w14:textId="7F6D74E2"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Pr>
          <w:rFonts w:ascii="Garamond" w:hAnsi="Garamond" w:cs="Times New Roman"/>
        </w:rPr>
        <w:t xml:space="preserve">Otoliths were </w:t>
      </w:r>
      <w:r>
        <w:rPr>
          <w:rFonts w:ascii="Garamond" w:eastAsia="Times New Roman" w:hAnsi="Garamond" w:cs="Times New Roman"/>
          <w:kern w:val="0"/>
          <w14:ligatures w14:val="none"/>
        </w:rPr>
        <w:t xml:space="preserve">sectioned with a low-speed diamond-blade Isomet saw along the transverse plane, mounted on microscope slides, and polished to expose internal growth structures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(Donohoe &amp; Zimmerman, 2010; Zimmerman &amp; Reeves, 2002)</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(identified by the dark annuli check indicative of marine entry) </w:t>
      </w:r>
      <w:r>
        <w:rPr>
          <w:rFonts w:ascii="Garamond" w:hAnsi="Garamond" w:cs="Times New Roman"/>
        </w:rPr>
        <w:t xml:space="preserve">using a 53 </w:t>
      </w:r>
      <w:r>
        <w:rPr>
          <w:rFonts w:ascii="Garamond" w:hAnsi="Garamond" w:cs="Times New Roman"/>
        </w:rPr>
        <w:sym w:font="Symbol" w:char="F06D"/>
      </w:r>
      <w:r>
        <w:rPr>
          <w:rFonts w:ascii="Garamond" w:hAnsi="Garamond" w:cs="Times New Roman"/>
        </w:rPr>
        <w:t xml:space="preserve">m diameter beam and scanning at 2 </w:t>
      </w:r>
      <w:r>
        <w:rPr>
          <w:rFonts w:ascii="Garamond" w:hAnsi="Garamond" w:cs="Times New Roman"/>
        </w:rPr>
        <w:sym w:font="Symbol" w:char="F06D"/>
      </w:r>
      <w:r>
        <w:rPr>
          <w:rFonts w:ascii="Garamond" w:hAnsi="Garamond" w:cs="Times New Roman"/>
        </w:rPr>
        <w:t>m/second</w:t>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The resulting data represent a continuously integrated measurement of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from early development until marine entry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1998)","noteIndex":0},"citationItems":[{"id":"25Y35S3t/lIyU3UG4","uris":["http://zotero.org/users/8421274/items/IY3FLHLM"],"itemData":{"id":"dI01jIsp/qEdWN4pU","type":"article-journal","abstract":"Strontium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2015; Campana, 1999; Capo et al., 1998)</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From these data, the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value associated with the natal freshwater rearing period was extracted by examining patterns of change in </w:t>
      </w:r>
      <w:r>
        <w:rPr>
          <w:rFonts w:ascii="Garamond" w:eastAsia="Times New Roman" w:hAnsi="Garamond" w:cs="Times New Roman"/>
          <w:kern w:val="0"/>
          <w14:ligatures w14:val="none"/>
        </w:rPr>
        <w:lastRenderedPageBreak/>
        <w:t>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and Sr</w:t>
      </w:r>
      <w:r>
        <w:rPr>
          <w:rFonts w:ascii="Garamond" w:eastAsia="Times New Roman" w:hAnsi="Garamond" w:cs="Times New Roman"/>
          <w:kern w:val="0"/>
          <w:vertAlign w:val="superscript"/>
          <w14:ligatures w14:val="none"/>
        </w:rPr>
        <w:t>88</w:t>
      </w:r>
      <w:r>
        <w:rPr>
          <w:rFonts w:ascii="Garamond" w:eastAsia="Times New Roman" w:hAnsi="Garamond" w:cs="Times New Roman"/>
          <w:kern w:val="0"/>
          <w14:ligatures w14:val="none"/>
        </w:rPr>
        <w:t xml:space="preserve"> between the core and freshwater region, morphological features of the otolith visible along the ablation path, and known distances from the core to onset of the freshwater signal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 Chittaro et al., 2023)</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p>
    <w:p w14:paraId="7E3612D2" w14:textId="77777777" w:rsidR="00A10423" w:rsidRDefault="00A10423" w:rsidP="00B857E3">
      <w:pPr>
        <w:spacing w:line="480" w:lineRule="auto"/>
        <w:rPr>
          <w:rFonts w:ascii="Garamond" w:eastAsia="Times New Roman" w:hAnsi="Garamond" w:cs="Times New Roman"/>
          <w:b/>
          <w:bCs/>
          <w:kern w:val="0"/>
          <w14:ligatures w14:val="none"/>
        </w:rPr>
      </w:pPr>
    </w:p>
    <w:p w14:paraId="696145BD" w14:textId="1982FBC3" w:rsidR="00B857E3" w:rsidRPr="008605CB" w:rsidRDefault="007C6331" w:rsidP="00B857E3">
      <w:pPr>
        <w:spacing w:line="480" w:lineRule="auto"/>
        <w:rPr>
          <w:rFonts w:ascii="Garamond" w:eastAsia="Times New Roman" w:hAnsi="Garamond" w:cs="Times New Roman"/>
          <w:b/>
          <w:bCs/>
          <w:kern w:val="0"/>
          <w14:ligatures w14:val="none"/>
        </w:rPr>
      </w:pPr>
      <w:r>
        <w:rPr>
          <w:rFonts w:ascii="Garamond" w:eastAsia="Times New Roman" w:hAnsi="Garamond" w:cs="Times New Roman"/>
          <w:b/>
          <w:bCs/>
          <w:kern w:val="0"/>
          <w14:ligatures w14:val="none"/>
        </w:rPr>
        <w:t xml:space="preserve">2.2 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A strontium isoscape of the Kuskokwim River basin (Fig. 1) was constructed by French et al. (2020) in which spatial variation in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ratios across the river basin was modeled using spatial stream network modeling (SSNM) derived from water samples collected throughout the river basin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(French et al., 2020, N = 120)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The resulting isoscape includes estimates of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hAnsi="Garamond" w:cs="Times New Roman"/>
        </w:rPr>
        <w:t xml:space="preserve"> ratios and associated uncertainty for roughly every 1km of river length across the basin (Fig. 1)</w:t>
      </w:r>
      <w:r>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2016; Ver Hoef &amp; Peterson, 2010)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r>
        <w:rPr>
          <w:rFonts w:ascii="Garamond" w:hAnsi="Garamond" w:cs="Times New Roman"/>
        </w:rPr>
        <w:t xml:space="preserve">To prevent over-assignment to tributaries with exceptionally low prediction error, uncertainty values were constrained to 0.0006 and above. This threshold was selected by visually examining the histogram for a cutoff which adjusted the values for a small number of exceedingly low uncertainty tributaries (those near extensive sampling) while maintaining the general error distribution from the original SSN model. </w:t>
      </w:r>
    </w:p>
    <w:p w14:paraId="417575B8" w14:textId="3A681D44" w:rsidR="009833DB" w:rsidRPr="008605CB" w:rsidRDefault="002A3F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Posterior probability values were calculated for assigning all fish to potential tributary segments across the river basin using a geographically continuous Bayesian framework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This approach considers the relationship between extracted natal origin otolith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values as well as several variance generating processes including </w:t>
      </w:r>
      <w:r>
        <w:rPr>
          <w:rFonts w:ascii="Garamond" w:hAnsi="Garamond" w:cs="Times New Roman"/>
        </w:rPr>
        <w:t xml:space="preserve">analytical, within-population, and isoscape prediction errors. </w:t>
      </w:r>
      <w:r>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Pr>
          <w:rFonts w:ascii="Garamond" w:hAnsi="Garamond" w:cs="Times New Roman"/>
        </w:rPr>
        <w:t xml:space="preserve">Posterior probability values for each tributary (j) were then calculated using Bayes’ theorem </w:t>
      </w:r>
      <w:r>
        <w:rPr>
          <w:rFonts w:ascii="Garamond" w:hAnsi="Garamond" w:cs="Times New Roman"/>
        </w:rPr>
        <w:fldChar w:fldCharType="begin"/>
      </w:r>
      <w:r>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Wunder, 2010)</w:t>
      </w:r>
      <w:r>
        <w:rPr>
          <w:rFonts w:ascii="Garamond" w:hAnsi="Garamond" w:cs="Times New Roman"/>
        </w:rPr>
        <w:fldChar w:fldCharType="end"/>
      </w:r>
      <w:r>
        <w:rPr>
          <w:rFonts w:ascii="Garamond" w:hAnsi="Garamond" w:cs="Times New Roman"/>
        </w:rPr>
        <w:t>;</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Pr>
          <w:rFonts w:ascii="Garamond" w:hAnsi="Garamond" w:cs="Times New Roman"/>
        </w:rPr>
        <w:t xml:space="preserve">The probability of an individual assigning to tributary </w:t>
      </w:r>
      <w:r>
        <w:rPr>
          <w:rFonts w:ascii="Garamond" w:hAnsi="Garamond" w:cs="Times New Roman"/>
          <w:i/>
          <w:iCs/>
        </w:rPr>
        <w:t>j</w:t>
      </w:r>
      <w:r>
        <w:rPr>
          <w:rFonts w:ascii="Garamond" w:hAnsi="Garamond" w:cs="Times New Roman"/>
        </w:rPr>
        <w:t xml:space="preserve"> is defined as the product of the probability of the isotope ratio in the otolith of an individual (</w:t>
      </w:r>
      <w:r>
        <w:rPr>
          <w:rFonts w:ascii="Garamond" w:hAnsi="Garamond" w:cs="Times New Roman"/>
          <w:i/>
          <w:iCs/>
        </w:rPr>
        <w:t>o)</w:t>
      </w:r>
      <w:r>
        <w:rPr>
          <w:rFonts w:ascii="Garamond" w:hAnsi="Garamond" w:cs="Times New Roman"/>
        </w:rPr>
        <w:t xml:space="preserve"> given the isotope ratio in tributary </w:t>
      </w:r>
      <w:r>
        <w:rPr>
          <w:rFonts w:ascii="Garamond" w:hAnsi="Garamond" w:cs="Times New Roman"/>
          <w:i/>
          <w:iCs/>
        </w:rPr>
        <w:t xml:space="preserve">j </w:t>
      </w:r>
      <w:r>
        <w:rPr>
          <w:rFonts w:ascii="Garamond" w:hAnsi="Garamond" w:cs="Times New Roman"/>
        </w:rPr>
        <w:t>(</w:t>
      </w:r>
      <w:r>
        <w:rPr>
          <w:rFonts w:ascii="Garamond" w:hAnsi="Garamond" w:cs="Times New Roman"/>
          <w:i/>
          <w:iCs/>
        </w:rPr>
        <w:t>r_j</w:t>
      </w:r>
      <w:r>
        <w:rPr>
          <w:rFonts w:ascii="Garamond" w:hAnsi="Garamond" w:cs="Times New Roman"/>
        </w:rPr>
        <w:t>). The probability of the isotope ratio (</w:t>
      </w:r>
      <w:r>
        <w:rPr>
          <w:rFonts w:ascii="Garamond" w:hAnsi="Garamond" w:cs="Times New Roman"/>
          <w:i/>
          <w:iCs/>
        </w:rPr>
        <w:t>rj</w:t>
      </w:r>
      <w:r>
        <w:rPr>
          <w:rFonts w:ascii="Garamond" w:hAnsi="Garamond" w:cs="Times New Roman"/>
        </w:rPr>
        <w:t>) was assumed to be normally distributed with a mean represented by the otolith isotope ratio (</w:t>
      </w:r>
      <w:r>
        <w:rPr>
          <w:rFonts w:ascii="Garamond" w:hAnsi="Garamond" w:cs="Times New Roman"/>
          <w:i/>
          <w:iCs/>
        </w:rPr>
        <w:t>o</w:t>
      </w:r>
      <w:r>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14:ligatures w14:val="none"/>
        </w:rPr>
        <w:t xml:space="preserve">Several priors were included to limit assignments to areas within the river basin suitable for spawning Chinook salmon. </w:t>
      </w:r>
      <w:r>
        <w:rPr>
          <w:rFonts w:ascii="Garamond" w:hAnsi="Garamond" w:cs="Times New Roman"/>
        </w:rPr>
        <w:t xml:space="preserve">First, a </w:t>
      </w:r>
      <w:r>
        <w:rPr>
          <w:rFonts w:ascii="Garamond" w:eastAsia="Times New Roman" w:hAnsi="Garamond" w:cs="Times New Roman"/>
        </w:rPr>
        <w:t>stream order prior (</w:t>
      </w:r>
      <w:r>
        <w:rPr>
          <w:rFonts w:ascii="Garamond" w:eastAsia="Times New Roman" w:hAnsi="Garamond" w:cs="Times New Roman"/>
          <w:i/>
          <w:iCs/>
        </w:rPr>
        <w:t>PStreamOrder</w:t>
      </w:r>
      <w:r>
        <w:rPr>
          <w:rFonts w:ascii="Garamond" w:eastAsia="Times New Roman" w:hAnsi="Garamond" w:cs="Times New Roman"/>
        </w:rPr>
        <w:t>)</w:t>
      </w:r>
      <w:r>
        <w:rPr>
          <w:rFonts w:ascii="Garamond" w:hAnsi="Garamond" w:cs="Times New Roman"/>
        </w:rPr>
        <w:t xml:space="preserve"> was applied to limit assignments to tributaries with a stream order of three or greater, reflecting Chinook salmon’s known preference for spawning in larger streams </w:t>
      </w:r>
      <w:r>
        <w:rPr>
          <w:rFonts w:ascii="Garamond" w:hAnsi="Garamond" w:cs="Times New Roman"/>
        </w:rPr>
        <w:fldChar w:fldCharType="begin"/>
      </w:r>
      <w:r>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Pr>
          <w:rFonts w:ascii="Garamond" w:hAnsi="Garamond" w:cs="Times New Roman"/>
        </w:rPr>
        <w:fldChar w:fldCharType="separate"/>
      </w:r>
      <w:r>
        <w:rPr>
          <w:rFonts w:ascii="Garamond" w:hAnsi="Garamond" w:cs="Times New Roman"/>
          <w:noProof/>
        </w:rPr>
        <w:t>(Quinn, 2018)</w:t>
      </w:r>
      <w:r>
        <w:rPr>
          <w:rFonts w:ascii="Garamond" w:hAnsi="Garamond" w:cs="Times New Roman"/>
        </w:rPr>
        <w:fldChar w:fldCharType="end"/>
      </w:r>
      <w:r>
        <w:rPr>
          <w:rFonts w:ascii="Garamond" w:hAnsi="Garamond" w:cs="Times New Roman"/>
        </w:rPr>
        <w:t xml:space="preserve">. Reaches with a stream order of three or greater were included in assignments (assigned a prior value of one), while smaller tributaries were excluded (assigned a value of zero). </w:t>
      </w:r>
      <w:r>
        <w:rPr>
          <w:rFonts w:ascii="Garamond" w:eastAsia="Times New Roman" w:hAnsi="Garamond" w:cs="Times New Roman"/>
          <w:kern w:val="0"/>
          <w14:ligatures w14:val="none"/>
        </w:rPr>
        <w:t>Second, a habitat suitability prior (</w:t>
      </w:r>
      <w:r>
        <w:rPr>
          <w:rFonts w:ascii="Garamond" w:eastAsia="Times New Roman" w:hAnsi="Garamond" w:cs="Times New Roman"/>
          <w:i/>
          <w:iCs/>
          <w:kern w:val="0"/>
          <w14:ligatures w14:val="none"/>
        </w:rPr>
        <w:t>PHabitat</w:t>
      </w:r>
      <w:r>
        <w:rPr>
          <w:rFonts w:ascii="Garamond" w:eastAsia="Times New Roman" w:hAnsi="Garamond" w:cs="Times New Roman"/>
          <w:kern w:val="0"/>
          <w14:ligatures w14:val="none"/>
        </w:rPr>
        <w:t xml:space="preserve">) was used to exclude exceedingly slow or flat reaches determined to be unsuitable for spawning Chinook salmon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(Makhlouf et al.,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 xml:space="preserve">Finally, data were included on observed locations of Chinook spawners derived from USGS Arctic-Yukon-Kuskokwim (AYK) Chinook Salmon Intrinsic potential mapping, which synthesized several sources of data on observed Chinook salmon spawners into spatially referenced tributary data on the presence or absence of observations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(Falke &amp; Paul,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To avoid biasing regions without observations but with low sampling effort this prior was applied </w:t>
      </w:r>
      <w:r>
        <w:rPr>
          <w:rFonts w:ascii="Garamond" w:eastAsia="Times New Roman" w:hAnsi="Garamond" w:cs="Times New Roman"/>
          <w:kern w:val="0"/>
          <w14:ligatures w14:val="none"/>
        </w:rPr>
        <w:lastRenderedPageBreak/>
        <w:t>only to the two highest stream orders in the dataset (Stream order greater than five). From these tributaries, reaches identified as lacking observed Chinook spawning were assigned a value of zero.</w:t>
      </w:r>
      <w:r>
        <w:rPr>
          <w:rFonts w:ascii="Garamond" w:eastAsia="Times New Roman" w:hAnsi="Garamond" w:cs="Times New Roman"/>
          <w:kern w:val="0"/>
          <w:sz w:val="22"/>
          <w:szCs w:val="22"/>
          <w14:ligatures w14:val="none"/>
        </w:rPr>
        <w:t xml:space="preserve"> </w:t>
      </w:r>
    </w:p>
    <w:p w14:paraId="5E682EF5" w14:textId="34CBFFB4" w:rsidR="00814EE7" w:rsidRPr="008605CB" w:rsidRDefault="009110AF" w:rsidP="00814EE7">
      <w:pPr>
        <w:spacing w:line="480" w:lineRule="auto"/>
        <w:ind w:firstLine="720"/>
        <w:rPr>
          <w:rFonts w:ascii="Garamond" w:hAnsi="Garamond" w:cs="Times New Roman"/>
        </w:rPr>
      </w:pPr>
      <w:r>
        <w:rPr>
          <w:rFonts w:ascii="Garamond" w:hAnsi="Garamond" w:cs="Times New Roman"/>
        </w:rPr>
        <w:t xml:space="preserve">To estimate the spatial distribution of returns across a subset of the population, posterior probability values for all individuals in that subset were summed at each location. Before summing, only highly likely locations (the top 30% of posterior values) were retained, whereas all other values were assigned a value of zero </w:t>
      </w:r>
      <w:r>
        <w:rPr>
          <w:rFonts w:ascii="Garamond" w:hAnsi="Garamond" w:cs="Times New Roman"/>
        </w:rPr>
        <w:fldChar w:fldCharType="begin"/>
      </w:r>
      <w:r>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Vander Zanden et al., 2015)</w:t>
      </w:r>
      <w:r>
        <w:rPr>
          <w:rFonts w:ascii="Garamond" w:hAnsi="Garamond" w:cs="Times New Roman"/>
        </w:rPr>
        <w:fldChar w:fldCharType="end"/>
      </w:r>
      <w:r>
        <w:rPr>
          <w:rFonts w:ascii="Garamond" w:hAnsi="Garamond" w:cs="Times New Roman"/>
        </w:rPr>
        <w:t xml:space="preserve">. We produced these estimates for four predefined temporal quartiles of the salmon migration season based on capture date: Q1 (run start through June 11), Q2 (June 12-21), Q3 (June 22-July 1), and Q4 (July 2 onward). These dates were chosen to roughly split the full run into quartiles while allowing for direct comparison among years. The June 11 date was chosen specifically to match the end of the ‘front end closure’ of the subsistence fishery. Estimates were also produced for the full run in each year. </w:t>
      </w:r>
    </w:p>
    <w:p w14:paraId="38A831B5" w14:textId="54E3F2F0" w:rsidR="001D3E40" w:rsidRPr="008605CB" w:rsidRDefault="00E3555B" w:rsidP="00961F08">
      <w:pPr>
        <w:spacing w:line="480" w:lineRule="auto"/>
        <w:ind w:firstLine="720"/>
        <w:rPr>
          <w:rFonts w:ascii="Garamond" w:hAnsi="Garamond" w:cs="Times New Roman"/>
        </w:rPr>
      </w:pPr>
      <w:r>
        <w:rPr>
          <w:rFonts w:ascii="Garamond" w:hAnsi="Garamond" w:cs="Times New Roman"/>
        </w:rPr>
        <w:t>Several major tributaries were identified in the Kuskokwim River basin. From</w:t>
      </w:r>
      <w:r>
        <w:rPr>
          <w:rStyle w:val="CommentReference"/>
          <w:rFonts w:ascii="Garamond" w:hAnsi="Garamond" w:cs="Times New Roman"/>
          <w:sz w:val="24"/>
          <w:szCs w:val="24"/>
        </w:rPr>
        <w:t xml:space="preserve"> the furthest downstream connection of each of these tributaries to the mainstem Kuskokwim River, all upstream segments were identified and assigned to a common identifier based on the name of the major tributary. Areas of the basin which were not assigned a unit identifier (e.g. portions of the mainstem Kuskokwim) were grouped into regions of comparable size and spatial relevance to ensure complete basin coverage above the location of the test fishery (Fig. 2a). </w:t>
      </w:r>
      <w:r>
        <w:rPr>
          <w:rFonts w:ascii="Garamond" w:hAnsi="Garamond" w:cs="Times New Roman"/>
        </w:rPr>
        <w:t xml:space="preserve">To identify regions of the watershed that can be distinguished based on their isotopic composition, we performed k-means clustering of initial tributary groupings using the full range of </w:t>
      </w:r>
      <w:r>
        <w:rPr>
          <w:rFonts w:ascii="Garamond" w:hAnsi="Garamond" w:cs="Times New Roman"/>
          <w:vertAlign w:val="superscript"/>
        </w:rPr>
        <w:t>87</w:t>
      </w:r>
      <w:r>
        <w:rPr>
          <w:rFonts w:ascii="Garamond" w:hAnsi="Garamond" w:cs="Times New Roman"/>
        </w:rPr>
        <w:t>Sr/</w:t>
      </w:r>
      <w:r>
        <w:rPr>
          <w:rFonts w:ascii="Garamond" w:hAnsi="Garamond" w:cs="Times New Roman"/>
          <w:vertAlign w:val="superscript"/>
        </w:rPr>
        <w:t>86</w:t>
      </w:r>
      <w:r>
        <w:rPr>
          <w:rFonts w:ascii="Garamond" w:hAnsi="Garamond" w:cs="Times New Roman"/>
        </w:rPr>
        <w:t xml:space="preserve">Sr values found in each. We then evaluated the clustering results for a range of cluster numbers (n = 2-6) using the silhouette score, which measures cluster quality by comparing within-cluster versus between-cluster distances. From this metric we selected n = 6, which maintained a high silhouette score while providing finer isotopic </w:t>
      </w:r>
      <w:r>
        <w:rPr>
          <w:rFonts w:ascii="Garamond" w:hAnsi="Garamond" w:cs="Times New Roman"/>
        </w:rPr>
        <w:lastRenderedPageBreak/>
        <w:t xml:space="preserve">resolution across groups. The resulting regional groupings displayed a general pattern from upstream to downstream regions (Fig. 2b). However, 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 group five. </w:t>
      </w:r>
    </w:p>
    <w:p w14:paraId="168A5EB6" w14:textId="19CE2CEA" w:rsidR="007F747D" w:rsidRPr="008605CB" w:rsidRDefault="007C6331" w:rsidP="007F747D">
      <w:pPr>
        <w:spacing w:line="480" w:lineRule="auto"/>
        <w:rPr>
          <w:rFonts w:ascii="Garamond" w:hAnsi="Garamond" w:cs="Times New Roman"/>
          <w:b/>
          <w:bCs/>
        </w:rPr>
      </w:pPr>
      <w:r>
        <w:rPr>
          <w:rFonts w:ascii="Garamond" w:hAnsi="Garamond" w:cs="Times New Roman"/>
          <w:b/>
          <w:bCs/>
        </w:rPr>
        <w:t xml:space="preserve">2.3 Spatiotemporal Stock Contribution Analysis </w:t>
      </w:r>
    </w:p>
    <w:p w14:paraId="28D4A637" w14:textId="6ED1CD3A" w:rsidR="00961F08" w:rsidRPr="008605CB" w:rsidRDefault="00E352BB" w:rsidP="006B5AB0">
      <w:pPr>
        <w:spacing w:line="480" w:lineRule="auto"/>
        <w:ind w:firstLine="720"/>
        <w:rPr>
          <w:rFonts w:ascii="Garamond" w:hAnsi="Garamond" w:cs="Times New Roman"/>
        </w:rPr>
      </w:pPr>
      <w:r>
        <w:rPr>
          <w:rFonts w:ascii="Garamond" w:hAnsi="Garamond" w:cs="Times New Roman"/>
        </w:rPr>
        <w:t xml:space="preserve">For each year and seasonal quartile, tributary-level return estimates were aggregated into the six regional groups and normalized to sum to one across the basin, representing each group’s proportional contribution to that quartile. Summary statistics were then calculated across all years for each group (Fig. 3). Cumulative distribution functions were constructed to examine trends in relative run timing among regional groups independent of abundance and quartile cut-off dates. For each year, the full run was split into three-day intervals and the cumulative number of returners for each group was compared to its full season contribution. To directly compare relative run timing to the temporal distribution of the full run, we used daily CPUE data collected from the BTF to calculate the cumulative proportion of the full run’s CPUE remaining for each day. This value represents the maximum potential harvest available if harvest rates are proportional to CPUE. However, this value does not account for the preferred harvest timing without the closure implemented, which may not follow this pattern. Resulting data (Fig. 4) illustrate the proportion (from zero to one) of each group’s total cumulative contribution to the overall run at each three-day interval as well as the proportion of the total potential harvest remaining for each day. </w:t>
      </w:r>
    </w:p>
    <w:p w14:paraId="2E1403AA" w14:textId="1D1E6849" w:rsidR="00E35059" w:rsidRPr="00FC02BD" w:rsidRDefault="006E1BBC" w:rsidP="005C36CF">
      <w:pPr>
        <w:spacing w:line="480" w:lineRule="auto"/>
        <w:ind w:firstLine="720"/>
        <w:rPr>
          <w:rFonts w:ascii="Garamond" w:hAnsi="Garamond" w:cs="Times New Roman"/>
        </w:rPr>
      </w:pPr>
      <w:r>
        <w:rPr>
          <w:rFonts w:ascii="Garamond" w:hAnsi="Garamond"/>
        </w:rPr>
        <w:t xml:space="preserve">To assess the impact of the existing front-end closure, we quantified the share of each group’s total annual return that fell within the closure period (the first seasonal quartile, Q1 in our </w:t>
      </w:r>
      <w:r>
        <w:rPr>
          <w:rFonts w:ascii="Garamond" w:hAnsi="Garamond"/>
        </w:rPr>
        <w:lastRenderedPageBreak/>
        <w:t>dataset). This comparison illustrates the maximum degree of protection provided to each stock group by estimating the portion of its annual run excluded from harvest</w:t>
      </w:r>
      <w:r>
        <w:rPr>
          <w:rFonts w:ascii="Garamond" w:hAnsi="Garamond" w:cs="Times New Roman"/>
        </w:rPr>
        <w:t>. We then assessed the same metric but with a set of alternative closure durations by calculating proportional protection at three alternate end dates for the closure: June 8</w:t>
      </w:r>
      <w:r>
        <w:rPr>
          <w:rFonts w:ascii="Garamond" w:hAnsi="Garamond" w:cs="Times New Roman"/>
          <w:vertAlign w:val="superscript"/>
        </w:rPr>
        <w:t>th</w:t>
      </w:r>
      <w:r>
        <w:rPr>
          <w:rFonts w:ascii="Garamond" w:hAnsi="Garamond" w:cs="Times New Roman"/>
        </w:rPr>
        <w:t xml:space="preserve"> (three days before current closure end date), June 14</w:t>
      </w:r>
      <w:r>
        <w:rPr>
          <w:rFonts w:ascii="Garamond" w:hAnsi="Garamond" w:cs="Times New Roman"/>
          <w:vertAlign w:val="superscript"/>
        </w:rPr>
        <w:t>th</w:t>
      </w:r>
      <w:r>
        <w:rPr>
          <w:rFonts w:ascii="Garamond" w:hAnsi="Garamond" w:cs="Times New Roman"/>
        </w:rPr>
        <w:t xml:space="preserve"> (three days after current closure end date), and June 17</w:t>
      </w:r>
      <w:r>
        <w:rPr>
          <w:rFonts w:ascii="Garamond" w:hAnsi="Garamond" w:cs="Times New Roman"/>
          <w:vertAlign w:val="superscript"/>
        </w:rPr>
        <w:t>th</w:t>
      </w:r>
      <w:r>
        <w:rPr>
          <w:rFonts w:ascii="Garamond" w:hAnsi="Garamond" w:cs="Times New Roman"/>
        </w:rPr>
        <w:t xml:space="preserve"> (six days after current closure end date) (Fig. 5). For each scenario, we calculated the proportion of the total CPUE that occurred within the adjusted closure window and compared this value to the potential protection afforded to each group across all years (Fig. 6). Together, these results illustrate the tradeoff between increased protection under later closure end dates and the corresponding loss of potential harvest opportunity for stakeholders in the basin.</w:t>
      </w:r>
    </w:p>
    <w:p w14:paraId="1B967039" w14:textId="4D3077C3" w:rsidR="004A0003" w:rsidRPr="007C6331" w:rsidRDefault="0019169F" w:rsidP="007C6331">
      <w:pPr>
        <w:pStyle w:val="ListParagraph"/>
        <w:numPr>
          <w:ilvl w:val="0"/>
          <w:numId w:val="12"/>
        </w:numPr>
        <w:spacing w:line="480" w:lineRule="auto"/>
        <w:rPr>
          <w:rFonts w:ascii="Garamond" w:hAnsi="Garamond"/>
          <w:b/>
          <w:bCs/>
          <w:sz w:val="32"/>
          <w:szCs w:val="32"/>
        </w:rPr>
      </w:pPr>
      <w:r>
        <w:rPr>
          <w:rFonts w:ascii="Garamond" w:hAnsi="Garamond"/>
          <w:b/>
          <w:bCs/>
          <w:sz w:val="32"/>
          <w:szCs w:val="32"/>
        </w:rPr>
        <w:t>Results</w:t>
      </w:r>
    </w:p>
    <w:p w14:paraId="10DADB8B" w14:textId="699DD951" w:rsidR="00397FF6" w:rsidRPr="00FC02BD" w:rsidRDefault="007C6331" w:rsidP="007A07BC">
      <w:pPr>
        <w:spacing w:line="480" w:lineRule="auto"/>
        <w:rPr>
          <w:rFonts w:ascii="Garamond" w:hAnsi="Garamond" w:cs="Times New Roman"/>
          <w:b/>
          <w:bCs/>
          <w:sz w:val="28"/>
          <w:szCs w:val="28"/>
        </w:rPr>
      </w:pPr>
      <w:r>
        <w:rPr>
          <w:rFonts w:ascii="Garamond" w:hAnsi="Garamond" w:cs="Times New Roman"/>
          <w:b/>
          <w:bCs/>
          <w:sz w:val="28"/>
          <w:szCs w:val="28"/>
        </w:rPr>
        <w:t>3.1 Variation in stock return timing within season</w:t>
      </w:r>
    </w:p>
    <w:p w14:paraId="14441915" w14:textId="64E28138" w:rsidR="001740E9" w:rsidRPr="00FC02BD" w:rsidRDefault="00D625F2" w:rsidP="007A07BC">
      <w:pPr>
        <w:pStyle w:val="whitespace-normal"/>
        <w:spacing w:line="480" w:lineRule="auto"/>
        <w:rPr>
          <w:rFonts w:ascii="Garamond" w:hAnsi="Garamond"/>
        </w:rPr>
      </w:pPr>
      <w:r>
        <w:rPr>
          <w:b/>
          <w:bCs/>
          <w:sz w:val="22"/>
          <w:szCs w:val="22"/>
        </w:rPr>
        <w:tab/>
      </w:r>
      <w:r>
        <w:rPr>
          <w:rFonts w:ascii="Garamond" w:hAnsi="Garamond"/>
        </w:rPr>
        <w:t>Across all years of our dataset (2017-2022), returns to the six regional groups exhibited a general transition from the furthest upstream to the furthest downstream as the season progressed (Fig. 3). Notably, group one, which contains the North Fork and East Fork Kuskokwim River, consistently contributed little to all years and quartiles (max: 2.9%). Early season returns (Q1: start of run through June 11, Fig. 3a.) were represented primarily by high contributions from group two (median: 42.2%), with relatively low median contribution (20% or less) from all other groups. The second quartile (June 12</w:t>
      </w:r>
      <w:r>
        <w:rPr>
          <w:rFonts w:ascii="Garamond" w:hAnsi="Garamond"/>
          <w:vertAlign w:val="superscript"/>
        </w:rPr>
        <w:t>th</w:t>
      </w:r>
      <w:r>
        <w:rPr>
          <w:rFonts w:ascii="Garamond" w:hAnsi="Garamond"/>
        </w:rPr>
        <w:t xml:space="preserve"> – 21</w:t>
      </w:r>
      <w:r>
        <w:rPr>
          <w:rFonts w:ascii="Garamond" w:hAnsi="Garamond"/>
          <w:vertAlign w:val="superscript"/>
        </w:rPr>
        <w:t>st</w:t>
      </w:r>
      <w:r>
        <w:rPr>
          <w:rFonts w:ascii="Garamond" w:hAnsi="Garamond"/>
        </w:rPr>
        <w:t>, Fig. 3b.) exhibited a slight decrease in contribution from group two (31.0%), with increasing contribution from groups four and five (25.8% and 19.8%, respectively). This pattern largely held in the 3</w:t>
      </w:r>
      <w:r>
        <w:rPr>
          <w:rFonts w:ascii="Garamond" w:hAnsi="Garamond"/>
          <w:vertAlign w:val="superscript"/>
        </w:rPr>
        <w:t>rd</w:t>
      </w:r>
      <w:r>
        <w:rPr>
          <w:rFonts w:ascii="Garamond" w:hAnsi="Garamond"/>
        </w:rPr>
        <w:t xml:space="preserve"> quartile (June 22</w:t>
      </w:r>
      <w:r>
        <w:rPr>
          <w:rFonts w:ascii="Garamond" w:hAnsi="Garamond"/>
          <w:vertAlign w:val="superscript"/>
        </w:rPr>
        <w:t>nd</w:t>
      </w:r>
      <w:r>
        <w:rPr>
          <w:rFonts w:ascii="Garamond" w:hAnsi="Garamond"/>
        </w:rPr>
        <w:t xml:space="preserve">- July 1st, Fig. 3c.), with a further decrease in contribution from group two (21.6%) and an increased contribution from group four (30.1%). </w:t>
      </w:r>
      <w:r>
        <w:rPr>
          <w:rFonts w:ascii="Garamond" w:hAnsi="Garamond"/>
        </w:rPr>
        <w:lastRenderedPageBreak/>
        <w:t>Finally, the fourth quartile (July 2</w:t>
      </w:r>
      <w:r>
        <w:rPr>
          <w:rFonts w:ascii="Garamond" w:hAnsi="Garamond"/>
          <w:vertAlign w:val="superscript"/>
        </w:rPr>
        <w:t>nd</w:t>
      </w:r>
      <w:r>
        <w:rPr>
          <w:rFonts w:ascii="Garamond" w:hAnsi="Garamond"/>
        </w:rPr>
        <w:t xml:space="preserve"> onward, Fig. 3d.) exhibited a marked increase in median contribution from the furthest downstream group (group six, 17.9%), and contribution to this quartile was largely driven by groups four and five located in the bottom of the watershed (26.9% and 25.4%, respectively). </w:t>
      </w:r>
    </w:p>
    <w:p w14:paraId="54D0CEDA" w14:textId="00326516" w:rsidR="001740E9" w:rsidRPr="00FC02BD" w:rsidRDefault="00536536" w:rsidP="00665BC1">
      <w:pPr>
        <w:pStyle w:val="whitespace-normal"/>
        <w:spacing w:line="480" w:lineRule="auto"/>
        <w:ind w:firstLine="720"/>
        <w:rPr>
          <w:rFonts w:ascii="Garamond" w:hAnsi="Garamond"/>
          <w:b/>
          <w:bCs/>
        </w:rPr>
      </w:pPr>
      <w:r>
        <w:rPr>
          <w:rFonts w:ascii="Garamond" w:hAnsi="Garamond"/>
        </w:rPr>
        <w:t>Cumulative distribution plots (Fig. 4) illustrated variation in seasonal migration timing among regional groups independent of the total returning individuals within each group. In each year, upper watershed individuals arrived earlier in the season, whereas further downstream groups returned later. There was some variability in run timing among middle/lower watershed groups, however, a clear pattern in run timing between the upper and lower portions of the watershed was evident despite differences in the average migration timing and temporal distribution of the run (i.e. compressed vs. protracted run timing) (Fig. 4, gray solid line). The proportion of total CPUE remaining at the front-end closure date (dashed gray line, Fig. 4) varied substantially among years. In some years, nearly the entire run had yet to arrive by the closure date (e.g., 2017), whereas in others, almost 25% of the total return occurred before the closure end date.</w:t>
      </w:r>
    </w:p>
    <w:p w14:paraId="425125A7" w14:textId="7EB8F101" w:rsidR="00397FF6" w:rsidRPr="00FC02BD" w:rsidRDefault="007C6331" w:rsidP="006D6AEE">
      <w:pPr>
        <w:pStyle w:val="whitespace-normal"/>
        <w:spacing w:line="480" w:lineRule="auto"/>
        <w:rPr>
          <w:rFonts w:ascii="Garamond" w:hAnsi="Garamond"/>
        </w:rPr>
      </w:pPr>
      <w:r>
        <w:rPr>
          <w:rFonts w:ascii="Garamond" w:hAnsi="Garamond"/>
          <w:b/>
          <w:bCs/>
        </w:rPr>
        <w:t xml:space="preserve">3.2 Front-end closure protections </w:t>
      </w:r>
    </w:p>
    <w:p w14:paraId="3E0FDA39" w14:textId="099448FA" w:rsidR="00A54B4A" w:rsidRPr="00FC02BD" w:rsidRDefault="00E67672" w:rsidP="00D516D1">
      <w:pPr>
        <w:pStyle w:val="whitespace-normal"/>
        <w:spacing w:line="480" w:lineRule="auto"/>
        <w:ind w:firstLine="720"/>
        <w:rPr>
          <w:rFonts w:ascii="Garamond" w:hAnsi="Garamond"/>
        </w:rPr>
      </w:pPr>
      <w:r>
        <w:rPr>
          <w:rFonts w:ascii="Garamond" w:hAnsi="Garamond"/>
        </w:rPr>
        <w:t xml:space="preserve">Early returning upper Kuskokwim populations were afforded higher proportional protection through the implementation of a front-end closure management strategy (Fig. 5). On average, group one, comprised of the furthest upstream populations, received 22.6% of its total contribution within the front-end closure window, followed by group two at 13.5%. In contrast, populations in further downstream areas received considerably less protection, with less than 10% protection afforded to groups three through six on average. These downstream groups also displayed a much narrower range of protection values across all years of our dataset: proportional protection ranged from </w:t>
      </w:r>
      <w:r>
        <w:rPr>
          <w:rFonts w:ascii="Garamond" w:hAnsi="Garamond"/>
        </w:rPr>
        <w:lastRenderedPageBreak/>
        <w:t xml:space="preserve">1.0%–14% for groups four through six and 1.7%–19% for group three. In contrast, upstream groups displayed a much larger range of protection across our dataset, with group two ranging from 2.4%–29.4% and group one ranging from 3%–52% of the overall return protected by the front-end closure. </w:t>
      </w:r>
    </w:p>
    <w:p w14:paraId="2A9EA7B8" w14:textId="4D587EBE" w:rsidR="00AB779D" w:rsidRPr="00D0678D" w:rsidRDefault="00BA542C" w:rsidP="00D0678D">
      <w:pPr>
        <w:pStyle w:val="whitespace-normal"/>
        <w:spacing w:line="480" w:lineRule="auto"/>
        <w:ind w:firstLine="720"/>
        <w:rPr>
          <w:rFonts w:ascii="Garamond" w:hAnsi="Garamond"/>
        </w:rPr>
      </w:pPr>
      <w:r>
        <w:rPr>
          <w:rFonts w:ascii="Garamond" w:hAnsi="Garamond"/>
        </w:rPr>
        <w:t xml:space="preserve">Varying the duration of the front-end closure did not change the overall pattern of higher protection afforded to upstream populations. However, an earlier closure date (June 8th) markedly decreased both the median and range of protection for upstream groups; median protection for groups one and two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one and two saw an increase of </w:t>
      </w:r>
      <w:bookmarkStart w:id="0" w:name="_Hlk213834610"/>
      <w:r>
        <w:rPr>
          <w:rFonts w:ascii="Garamond" w:hAnsi="Garamond"/>
        </w:rPr>
        <w:t xml:space="preserve">17.4% and 9.1% in median protection, respectively, by extending the front-end closure three days and the same groups saw a 32.3% and 21.3% </w:t>
      </w:r>
      <w:bookmarkEnd w:id="0"/>
      <w:r>
        <w:rPr>
          <w:rFonts w:ascii="Garamond" w:hAnsi="Garamond"/>
        </w:rPr>
        <w:t>increase in protection by extending the front-end closure six days past the current closure date. Importantly, the minimum protection values in the three-day extension scenario were similar to the results of the currently implemented closure. For a closure ending on June 14</w:t>
      </w:r>
      <w:r>
        <w:rPr>
          <w:rFonts w:ascii="Garamond" w:hAnsi="Garamond"/>
          <w:vertAlign w:val="superscript"/>
        </w:rPr>
        <w:t>th</w:t>
      </w:r>
      <w:r>
        <w:rPr>
          <w:rFonts w:ascii="Garamond" w:hAnsi="Garamond"/>
        </w:rPr>
        <w:t>, the lowest protection afforded to groups one and two was 7.8% and 4.4%, respectively, which are only 4.4% and 2.0% increases over the original closure date. By extending the closure by six days (June 17</w:t>
      </w:r>
      <w:r>
        <w:rPr>
          <w:rFonts w:ascii="Garamond" w:hAnsi="Garamond"/>
          <w:vertAlign w:val="superscript"/>
        </w:rPr>
        <w:t>th</w:t>
      </w:r>
      <w:r>
        <w:rPr>
          <w:rFonts w:ascii="Garamond" w:hAnsi="Garamond"/>
        </w:rPr>
        <w:t xml:space="preserve">), minimum protection values increased more prominently to 21.9% and 14.9% for groups one and two. While a longer front-end closure provides greater protection to stocks across the basin, it also increases the share of the total return that cannot be harvested. Under the current closure duration, an average of 12% of the total CPUE fell within the closure period. Shortening the closure reduces this loss to less than 5% but offers very little protection for upstream stocks (Fig. 5). Extending the closure, by contrast, substantially </w:t>
      </w:r>
      <w:r>
        <w:rPr>
          <w:rFonts w:ascii="Garamond" w:hAnsi="Garamond"/>
        </w:rPr>
        <w:lastRenderedPageBreak/>
        <w:t>increases protection for several groups; however, an average of 17% and 24% of the total potential harvest fell within the front-end closure with a three or six-day extension to the current end date.</w:t>
      </w:r>
      <w:r>
        <w:t xml:space="preserve"> </w:t>
      </w:r>
    </w:p>
    <w:p w14:paraId="31EF3EFC" w14:textId="3BB8BE79" w:rsidR="006A798F" w:rsidRPr="00FC02BD" w:rsidRDefault="000854BE" w:rsidP="007C6331">
      <w:pPr>
        <w:pStyle w:val="whitespace-normal"/>
        <w:numPr>
          <w:ilvl w:val="0"/>
          <w:numId w:val="12"/>
        </w:numPr>
        <w:spacing w:line="480" w:lineRule="auto"/>
        <w:rPr>
          <w:rFonts w:ascii="Garamond" w:hAnsi="Garamond"/>
          <w:b/>
          <w:bCs/>
          <w:sz w:val="32"/>
          <w:szCs w:val="32"/>
          <w:u w:val="single"/>
        </w:rPr>
      </w:pPr>
      <w:r>
        <w:rPr>
          <w:rFonts w:ascii="Garamond" w:hAnsi="Garamond"/>
          <w:b/>
          <w:bCs/>
          <w:sz w:val="32"/>
          <w:szCs w:val="32"/>
          <w:u w:val="single"/>
        </w:rPr>
        <w:t>Discussion</w:t>
      </w:r>
    </w:p>
    <w:p w14:paraId="7E471F36" w14:textId="4D5A62F6" w:rsidR="00E67672" w:rsidRPr="00FC02BD" w:rsidRDefault="004504D1" w:rsidP="00E67672">
      <w:pPr>
        <w:pStyle w:val="whitespace-normal"/>
        <w:spacing w:line="480" w:lineRule="auto"/>
        <w:ind w:firstLine="720"/>
        <w:rPr>
          <w:rFonts w:ascii="Garamond" w:hAnsi="Garamond"/>
        </w:rPr>
      </w:pPr>
      <w:r>
        <w:rPr>
          <w:rFonts w:ascii="Garamond" w:hAnsi="Garamond"/>
        </w:rPr>
        <w:t>The results presented here illustrate the most recent and comprehensive basin-wide quantification of the spatiotemporal patterns of Chinook salmon migrating into the Kuskokwim River. Our data corroborate previously observed relationships between run timing and watershed position of spawning habitat, wherein the earliest returning fish contribute to watersheds in the uppermost portions and the latest returning fish return to the furthest downstream portions of the watershed. This relationship was consistent throughout our multi-year dataset, emphasizing the consistency of this pattern across several generations despite variation in the overall migration timing and abundance.</w:t>
      </w:r>
    </w:p>
    <w:p w14:paraId="476F8195" w14:textId="282A7158" w:rsidR="00450ED3" w:rsidRPr="00A76A53" w:rsidRDefault="00EE2B9C" w:rsidP="00A76A53">
      <w:pPr>
        <w:pStyle w:val="whitespace-normal"/>
        <w:spacing w:line="480" w:lineRule="auto"/>
        <w:ind w:firstLine="720"/>
        <w:rPr>
          <w:rStyle w:val="Strong"/>
          <w:rFonts w:ascii="Garamond" w:eastAsiaTheme="majorEastAsia" w:hAnsi="Garamond"/>
          <w:b w:val="0"/>
          <w:bCs w:val="0"/>
        </w:rPr>
      </w:pPr>
      <w:r>
        <w:rPr>
          <w:rFonts w:ascii="Garamond" w:hAnsi="Garamond"/>
        </w:rPr>
        <w:t>A clear pattern of early-returning upriver populations supports the front-end closure’s objective of protecting these fish from downriver harvest and providing more equitable harvest opportunities</w:t>
      </w:r>
      <w:r>
        <w:rPr>
          <w:rStyle w:val="CommentReference"/>
          <w:rFonts w:asciiTheme="minorHAnsi" w:eastAsiaTheme="minorHAnsi" w:hAnsiTheme="minorHAnsi" w:cstheme="minorBidi"/>
          <w:kern w:val="2"/>
          <w14:ligatures w14:val="standardContextual"/>
        </w:rPr>
        <w:t xml:space="preserve"> </w:t>
      </w:r>
      <w:r>
        <w:rPr>
          <w:rFonts w:ascii="Garamond" w:hAnsi="Garamond"/>
        </w:rPr>
        <w:t xml:space="preserve">in the upper watershed. Upper Kuskokwim groups contributed substantially to early-season migrants (i.e. group two); however, the furthest upstream populations (group one) consistently represented only a small portion of total basin-wide returns in our dataset. Despite this variation in abundance, individuals in both upper watershed groups returned early in the migration season. As such, the front-end closure strategy as it is currently implemented provides harvest protection to upper watershed populations regardless of their overall abundance. For relatively small stocks such as those found in group one, this strategy may be particularly important for preserving biodiversity by preventing overharvest very early in the season when they may be co-migrating with much more abundant populations such as those in group two. Protecting these populations, despite </w:t>
      </w:r>
      <w:r>
        <w:rPr>
          <w:rFonts w:ascii="Garamond" w:hAnsi="Garamond"/>
        </w:rPr>
        <w:lastRenderedPageBreak/>
        <w:t xml:space="preserve">relatively low returns, </w:t>
      </w:r>
      <w:r>
        <w:rPr>
          <w:rStyle w:val="Strong"/>
          <w:rFonts w:ascii="Garamond" w:eastAsiaTheme="majorEastAsia" w:hAnsi="Garamond"/>
          <w:b w:val="0"/>
          <w:bCs w:val="0"/>
        </w:rPr>
        <w:t xml:space="preserve">contributes to maintaining basin-wide biodiversity and may contribute to adaptive capacity at the basin scale as less dominant sub-stocks can become more productive over longer time frames </w:t>
      </w:r>
      <w:r>
        <w:rPr>
          <w:rStyle w:val="Strong"/>
          <w:rFonts w:ascii="Garamond" w:eastAsiaTheme="majorEastAsia" w:hAnsi="Garamond"/>
          <w:b w:val="0"/>
          <w:bCs w:val="0"/>
        </w:rPr>
        <w:fldChar w:fldCharType="begin"/>
      </w:r>
      <w:r>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Style w:val="Strong"/>
          <w:rFonts w:ascii="Garamond" w:eastAsiaTheme="majorEastAsia" w:hAnsi="Garamond"/>
          <w:b w:val="0"/>
          <w:bCs w:val="0"/>
        </w:rPr>
        <w:fldChar w:fldCharType="separate"/>
      </w:r>
      <w:r>
        <w:rPr>
          <w:rStyle w:val="Strong"/>
          <w:rFonts w:ascii="Garamond" w:eastAsiaTheme="majorEastAsia" w:hAnsi="Garamond"/>
          <w:b w:val="0"/>
          <w:bCs w:val="0"/>
          <w:noProof/>
        </w:rPr>
        <w:t>(Hilborn et al., 2003; Schindler et al., 2010)</w:t>
      </w:r>
      <w:r>
        <w:rPr>
          <w:rStyle w:val="Strong"/>
          <w:rFonts w:ascii="Garamond" w:eastAsiaTheme="majorEastAsia" w:hAnsi="Garamond"/>
          <w:b w:val="0"/>
          <w:bCs w:val="0"/>
        </w:rPr>
        <w:fldChar w:fldCharType="end"/>
      </w:r>
      <w:r>
        <w:rPr>
          <w:rStyle w:val="Strong"/>
          <w:rFonts w:ascii="Garamond" w:eastAsiaTheme="majorEastAsia" w:hAnsi="Garamond"/>
          <w:b w:val="0"/>
          <w:bCs w:val="0"/>
        </w:rPr>
        <w:t xml:space="preserve">. </w:t>
      </w:r>
    </w:p>
    <w:p w14:paraId="690B8EFD" w14:textId="4D392B3F" w:rsidR="009C3FA5" w:rsidRPr="00BA542C" w:rsidRDefault="005312E0" w:rsidP="009C3FA5">
      <w:pPr>
        <w:pStyle w:val="whitespace-normal"/>
        <w:spacing w:line="480" w:lineRule="auto"/>
        <w:ind w:firstLine="720"/>
      </w:pPr>
      <w:r>
        <w:rPr>
          <w:rFonts w:ascii="Garamond" w:hAnsi="Garamond"/>
        </w:rPr>
        <w:t xml:space="preserve">Despite a consistent overall relationship between watershed position and migration timing, we observed substantial interannual variability in both the proportional contributions of regional groups to the total run and the proportional protection afforded by the front-end closure strategy. Variability in spatial patterns of production aligns with well-documented variability in salmon life histories and previously observed shifts in habitat use across annual timescales </w:t>
      </w:r>
      <w:r>
        <w:rPr>
          <w:rFonts w:ascii="Garamond" w:hAnsi="Garamond"/>
        </w:rPr>
        <w:fldChar w:fldCharType="begin"/>
      </w:r>
      <w:r>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rPr>
        <w:fldChar w:fldCharType="separate"/>
      </w:r>
      <w:r>
        <w:rPr>
          <w:rFonts w:ascii="Garamond" w:hAnsi="Garamond"/>
          <w:noProof/>
        </w:rPr>
        <w:t>(Brennan et al., 2019; Schindler et al., 2010)</w:t>
      </w:r>
      <w:r>
        <w:rPr>
          <w:rFonts w:ascii="Garamond" w:hAnsi="Garamond"/>
        </w:rPr>
        <w:fldChar w:fldCharType="end"/>
      </w:r>
      <w:r>
        <w:rPr>
          <w:rFonts w:ascii="Garamond" w:hAnsi="Garamond"/>
        </w:rPr>
        <w:t xml:space="preserve">. However, variability in the efficacy of the front-end closure also likely reflects the interaction between run dynamics and management strategies that operate on a fixed calendar date. Because the closure is implemented on a fixed schedule, interannual variation in migration timing means that the proportion of the run occurring within the closure window depends on both the timing (early vs. late) and duration (compressed vs. protracted) of the overall migration. Late return timing or extended run duration may result in less proportional contribution within the closure window as compared to earlier returning and less protracted run timing. As a result, both the amount and distribution of populations afforded protection depend on this interaction. When combined with natural variability in basin-wide production patterns, this may introduce substantial variability in the population-specific effect of the front-end closure. These results suggest a potential limitation of a fixed date closure and highlight the difficulty of managing for a dynamic ecosystem with fixed-duration management. A more dynamic closure which is responsive to predicted or observed run dynamics may provide more consistent protection to upstream populations. Improvement of run timing forecasts </w:t>
      </w:r>
      <w:r>
        <w:rPr>
          <w:rFonts w:ascii="Garamond" w:hAnsi="Garamond"/>
        </w:rPr>
        <w:fldChar w:fldCharType="begin"/>
      </w:r>
      <w:r>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Pr>
          <w:rFonts w:ascii="Garamond" w:hAnsi="Garamond"/>
        </w:rPr>
        <w:fldChar w:fldCharType="separate"/>
      </w:r>
      <w:r>
        <w:rPr>
          <w:rFonts w:ascii="Garamond" w:hAnsi="Garamond"/>
          <w:noProof/>
        </w:rPr>
        <w:t>(e.g. Mundy, 1982; Staton et al., 2017)</w:t>
      </w:r>
      <w:r>
        <w:rPr>
          <w:rFonts w:ascii="Garamond" w:hAnsi="Garamond"/>
        </w:rPr>
        <w:fldChar w:fldCharType="end"/>
      </w:r>
      <w:r>
        <w:rPr>
          <w:rFonts w:ascii="Garamond" w:hAnsi="Garamond"/>
        </w:rPr>
        <w:t xml:space="preserve"> might allow for variable front-end closure timing among years; however, until such reliable forecasting methods are </w:t>
      </w:r>
      <w:r>
        <w:rPr>
          <w:rFonts w:ascii="Garamond" w:hAnsi="Garamond"/>
        </w:rPr>
        <w:lastRenderedPageBreak/>
        <w:t>developed for the Kuskokwim River, the static approach currently employed here appears to perform relatively well at protecting the upriver stocks that are the primary focus of conservation.</w:t>
      </w:r>
      <w:r>
        <w:t xml:space="preserve"> </w:t>
      </w:r>
    </w:p>
    <w:p w14:paraId="21594D6A" w14:textId="7324AE74" w:rsidR="009C3FA5" w:rsidRPr="00FC02BD" w:rsidRDefault="009C3FA5" w:rsidP="00C162F5">
      <w:pPr>
        <w:pStyle w:val="whitespace-normal"/>
        <w:spacing w:line="480" w:lineRule="auto"/>
        <w:ind w:firstLine="720"/>
        <w:rPr>
          <w:rFonts w:ascii="Garamond" w:hAnsi="Garamond"/>
        </w:rPr>
      </w:pPr>
      <w:r>
        <w:rPr>
          <w:rFonts w:ascii="Garamond" w:hAnsi="Garamond"/>
        </w:rPr>
        <w:t xml:space="preserve">Simulated changes to the front-end closure duration increased the average protection afforded to several regional groups, with a six-day extension from the current end date resulting in increased protection to regional groups one and two by 32.3% and 21.3%. However, increasing the duration of the closure did not result in high protection in all years. In both the three and six-day extension scenarios, several years of data displayed moderately low protection in years where the average run timing was relatively late, reiterating the challenge of estimating the population specific impacts even with a longer duration closure window. In addition, management decisions must consider the dual goals of maintaining both biodiversity and harvest opportunity. As currently implemented, the front-end closure on the Kuskokwim resulted in 12% of the total potential harvest falling within the closure window. Although the three-day and six-day extensions did improve both the minimum and average protection afforded to upper watershed groups, they also resulted in an additional 6% and 14% of the potential harvest falling within the closure window. </w:t>
      </w:r>
    </w:p>
    <w:p w14:paraId="5003A478" w14:textId="593AF0CD" w:rsidR="003F1234" w:rsidRPr="00FC02BD" w:rsidRDefault="00C57048" w:rsidP="00F83731">
      <w:pPr>
        <w:pStyle w:val="NormalWeb"/>
        <w:spacing w:line="480" w:lineRule="auto"/>
        <w:ind w:firstLine="720"/>
        <w:rPr>
          <w:rFonts w:ascii="Garamond" w:hAnsi="Garamond"/>
        </w:rPr>
      </w:pPr>
      <w:r>
        <w:rPr>
          <w:rFonts w:ascii="Garamond" w:hAnsi="Garamond"/>
        </w:rPr>
        <w:t xml:space="preserve">Protecting upper Kuskokwim stocks through a front-end closure appears to be an effective strategy for maintaining biodiversity in the upper watershed while supporting basin-wide escapement goals and harvest opportunities. 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 For example, a closure which protects a large proportion of upstream stocks by prohibiting harvest on a significant portion of the run may concentrate fishing pressure on later returning stocks. As a result, this shift in the temporal distribution of fishing pressure may impact weak downstream stocks as compared to the same </w:t>
      </w:r>
      <w:r>
        <w:rPr>
          <w:rFonts w:ascii="Garamond" w:hAnsi="Garamond"/>
        </w:rPr>
        <w:lastRenderedPageBreak/>
        <w:t xml:space="preserve">harvest pressure distributed across the full migration window, thereby degrading biodiversity. Further, the timing of the front-end closure coincides with the preferred and traditional timing of fishing for many communities in the lower Kuskokwim. An extended duration of this closure has the potential to further disrupt traditional fishing opportunities for these communities and cause further hardship to subsistence communities in the basin. The efficacy of management strategies such as front-end closures must therefore be evaluated in the context of ecosystem, fishery, and cultural dynamics to fully understand their role in maintaining basin-wide biodiversity. </w:t>
      </w:r>
    </w:p>
    <w:p w14:paraId="3B62F4AB" w14:textId="5DE9E9DE" w:rsidR="00D04B7C" w:rsidRDefault="00E46D9E" w:rsidP="007B1069">
      <w:pPr>
        <w:pStyle w:val="whitespace-normal"/>
        <w:spacing w:line="480" w:lineRule="auto"/>
        <w:ind w:firstLine="720"/>
        <w:rPr>
          <w:rFonts w:ascii="Garamond" w:hAnsi="Garamond"/>
        </w:rPr>
      </w:pPr>
      <w:r>
        <w:rPr>
          <w:rFonts w:ascii="Garamond" w:hAnsi="Garamond"/>
        </w:rPr>
        <w:t xml:space="preserve">The accuracy of otolith-based methods has not been explicitly validated in the Kuskokwim River basin; however, they have demonstrated high assignment accuracy for Pacific salmon in similar Alaska watersheds </w:t>
      </w:r>
      <w:r>
        <w:rPr>
          <w:rFonts w:ascii="Garamond" w:hAnsi="Garamond"/>
        </w:rPr>
        <w:fldChar w:fldCharType="begin"/>
      </w:r>
      <w:r>
        <w:rPr>
          <w:rFonts w:ascii="Garamond" w:hAnsi="Garamond"/>
        </w:rPr>
        <w:instrText xml:space="preserve"> ADDIN ZOTERO_ITEM CSL_CITATION {"citationID":"tvE9voRc","properties":{"formattedCitation":"(Brennan et al., 2015)","plainCitation":"(Brennan et al., 2015)","noteIndex":0},"citationItems":[{"id":"25Y35S3t/lIyU3UG4","uris":["http://zotero.org/users/8421274/items/IY3FLHLM"],"itemData":{"id":"qdfHghSJ/KSW9LWYv","type":"article-journal","abstract":"Strontium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Pr>
          <w:rFonts w:ascii="Garamond" w:hAnsi="Garamond"/>
        </w:rPr>
        <w:fldChar w:fldCharType="separate"/>
      </w:r>
      <w:r>
        <w:rPr>
          <w:rFonts w:ascii="Garamond" w:hAnsi="Garamond"/>
          <w:noProof/>
        </w:rPr>
        <w:t>(Brennan et al., 2015)</w:t>
      </w:r>
      <w:r>
        <w:rPr>
          <w:rFonts w:ascii="Garamond" w:hAnsi="Garamond"/>
        </w:rPr>
        <w:fldChar w:fldCharType="end"/>
      </w:r>
      <w:r>
        <w:rPr>
          <w:rFonts w:ascii="Garamond" w:hAnsi="Garamond"/>
        </w:rPr>
        <w:t xml:space="preserve">, and our results replicate ecological patterns which have been observed in other contexts in the basin. Although these methods present some limitations for in-season management (i.e. turnaround time), </w:t>
      </w:r>
      <w:r>
        <w:rPr>
          <w:rStyle w:val="Strong"/>
          <w:rFonts w:ascii="Garamond" w:eastAsiaTheme="majorEastAsia" w:hAnsi="Garamond"/>
          <w:b w:val="0"/>
          <w:bCs w:val="0"/>
        </w:rPr>
        <w:t xml:space="preserve">tools that enable reconstruction of population specific spatiotemporal patterns in remote ecosystems allow for an explicit consideration of existing intrapopulation variability into management and conservation. </w:t>
      </w:r>
      <w:r>
        <w:rPr>
          <w:rStyle w:val="Strong"/>
          <w:rFonts w:ascii="Garamond" w:eastAsiaTheme="majorEastAsia" w:hAnsi="Garamond"/>
        </w:rPr>
        <w:t xml:space="preserve"> </w:t>
      </w:r>
      <w:r>
        <w:rPr>
          <w:rFonts w:ascii="Garamond" w:hAnsi="Garamond"/>
        </w:rPr>
        <w:t xml:space="preserve">The data presented here demonstrate this application for population-specific run timing of salmon in the Kuskokwim River basin; however, this principle can be applied to </w:t>
      </w:r>
      <w:r>
        <w:rPr>
          <w:rStyle w:val="Strong"/>
          <w:rFonts w:ascii="Garamond" w:eastAsiaTheme="majorEastAsia" w:hAnsi="Garamond"/>
          <w:b w:val="0"/>
          <w:bCs w:val="0"/>
        </w:rPr>
        <w:t>multiple dimensions of inter- and intra-species variation which contribute to system-wide biodiversity.</w:t>
      </w:r>
      <w:r>
        <w:rPr>
          <w:rStyle w:val="Strong"/>
          <w:rFonts w:ascii="Garamond" w:eastAsiaTheme="majorEastAsia" w:hAnsi="Garamond"/>
        </w:rPr>
        <w:t xml:space="preserve"> </w:t>
      </w:r>
      <w:r>
        <w:rPr>
          <w:rStyle w:val="Strong"/>
          <w:rFonts w:ascii="Garamond" w:eastAsiaTheme="majorEastAsia" w:hAnsi="Garamond"/>
          <w:b w:val="0"/>
          <w:bCs w:val="0"/>
        </w:rPr>
        <w:t>D</w:t>
      </w:r>
      <w:r>
        <w:rPr>
          <w:rFonts w:ascii="Garamond" w:hAnsi="Garamond"/>
        </w:rPr>
        <w:t>eveloping methods that explicitly consider this diversity and deploying them to better understand tradeoffs between conservation and exploitation strategies is an important step toward designing management frameworks that provide ecosystem services while safeguarding their reliability and the communities they support.</w:t>
      </w:r>
    </w:p>
    <w:p w14:paraId="14DF7D46" w14:textId="77777777" w:rsidR="003525FA" w:rsidRPr="001A17C1" w:rsidRDefault="003525FA" w:rsidP="003525FA">
      <w:pPr>
        <w:rPr>
          <w:rFonts w:ascii="Garamond" w:hAnsi="Garamond" w:cs="Times New Roman"/>
          <w:b/>
          <w:bCs/>
        </w:rPr>
      </w:pPr>
      <w:r>
        <w:rPr>
          <w:rFonts w:ascii="Garamond" w:hAnsi="Garamond" w:cs="Times New Roman"/>
          <w:b/>
          <w:bCs/>
        </w:rPr>
        <w:t xml:space="preserve">Acknowledgments: </w:t>
      </w:r>
    </w:p>
    <w:p w14:paraId="5CD5A49E" w14:textId="77777777" w:rsidR="003525FA" w:rsidRPr="001A17C1" w:rsidRDefault="003525FA" w:rsidP="003525FA">
      <w:pPr>
        <w:ind w:firstLine="720"/>
        <w:rPr>
          <w:rFonts w:ascii="Garamond" w:hAnsi="Garamond" w:cs="Times New Roman"/>
        </w:rPr>
      </w:pPr>
      <w:r>
        <w:rPr>
          <w:rFonts w:ascii="Garamond" w:hAnsi="Garamond" w:cs="Times New Roman"/>
        </w:rPr>
        <w:t xml:space="preserve">We thank the Alaska Department of Fish &amp; Game, particularly Sean Larson and Zachary Liller for coordinating otolith sampling at the Bethel Test Fishery and for feedback on the study design and manuscript. Funding for this work was provided by the Arctic-Yukon-Kuskokwim </w:t>
      </w:r>
      <w:r>
        <w:rPr>
          <w:rFonts w:ascii="Garamond" w:hAnsi="Garamond" w:cs="Times New Roman"/>
        </w:rPr>
        <w:lastRenderedPageBreak/>
        <w:t xml:space="preserve">Sustainable Salmon Initiative. Joseph Spaeder of the AYK-SSI also provided feedback on the study design. We also thank the local community members who supported otolith removal and collection as well as the ONC fisheries program staff members who helped support data collection and distributed sampled fish to elders, disabled, and widowed community members. This work was made possible by the efforts of Dr. Sean Brennan, who was instrumental in the collection of these datasets and was motivated to push forward on the boundaries of using isotope-based methods to explore ecological processes in Alaska salmon. </w:t>
      </w:r>
    </w:p>
    <w:p w14:paraId="524398E2" w14:textId="77777777" w:rsidR="00A844A4" w:rsidRDefault="00A844A4" w:rsidP="00A844A4">
      <w:pPr>
        <w:jc w:val="center"/>
        <w:rPr>
          <w:rFonts w:ascii="Garamond" w:hAnsi="Garamond" w:cs="Times New Roman"/>
          <w:b/>
          <w:bCs/>
        </w:rPr>
      </w:pPr>
    </w:p>
    <w:p w14:paraId="787BC2FF" w14:textId="31681551" w:rsidR="00A844A4" w:rsidRPr="001A17C1" w:rsidRDefault="00A844A4" w:rsidP="00A844A4">
      <w:pPr>
        <w:rPr>
          <w:rFonts w:ascii="Garamond" w:hAnsi="Garamond" w:cs="Times New Roman"/>
        </w:rPr>
      </w:pPr>
      <w:r>
        <w:rPr>
          <w:rFonts w:ascii="Garamond" w:hAnsi="Garamond" w:cs="Times New Roman"/>
          <w:b/>
          <w:bCs/>
        </w:rPr>
        <w:t>Author Contribution Statement:</w:t>
      </w:r>
      <w:r>
        <w:rPr>
          <w:rFonts w:ascii="Garamond" w:hAnsi="Garamond" w:cs="Times New Roman"/>
        </w:rPr>
        <w:t xml:space="preserve"> Ben Makhlouf performed data analysis and wrote the manuscript, Daniel E. Schindler directed the project and analysis, secured funding, and helped to develop the manuscript. Timothy J. Cline contributed to analysis and code development, Diego Fernandez performed laboratory microchemical analysis, Janessa Esquible directed otolith dataset collection, Avery Hoffman directed the field sampling program as part of the Bethel Test Fishery. All co-authors reviewed the final manuscript. </w:t>
      </w:r>
    </w:p>
    <w:p w14:paraId="438A18FD" w14:textId="77777777" w:rsidR="00C2778F" w:rsidRDefault="00C2778F" w:rsidP="00C2778F">
      <w:pPr>
        <w:jc w:val="center"/>
        <w:rPr>
          <w:rFonts w:ascii="Garamond" w:hAnsi="Garamond" w:cs="Times New Roman"/>
          <w:b/>
          <w:bCs/>
        </w:rPr>
      </w:pPr>
    </w:p>
    <w:p w14:paraId="3ADBB868" w14:textId="77EC6921" w:rsidR="00C2778F" w:rsidRPr="001A17C1" w:rsidRDefault="00C2778F" w:rsidP="00C2778F">
      <w:pPr>
        <w:rPr>
          <w:rFonts w:ascii="Garamond" w:hAnsi="Garamond" w:cs="Times New Roman"/>
        </w:rPr>
      </w:pPr>
      <w:r>
        <w:rPr>
          <w:rFonts w:ascii="Garamond" w:hAnsi="Garamond" w:cs="Times New Roman"/>
          <w:b/>
          <w:bCs/>
        </w:rPr>
        <w:t>Data Availability Statement:</w:t>
      </w:r>
      <w:r>
        <w:rPr>
          <w:rFonts w:ascii="Garamond" w:hAnsi="Garamond" w:cs="Times New Roman"/>
        </w:rPr>
        <w:t xml:space="preserve"> Data will be available in an open Dryad repository: http://datadryad.org/share/LINK_NOT_FOR_PUBLICATION/Sqv1RJ19OMW_MkxaOOWTsS7DT1q5Y4gE-pqzVPn5HJo</w:t>
      </w:r>
    </w:p>
    <w:p w14:paraId="29347CE7" w14:textId="77777777" w:rsidR="003525FA" w:rsidRPr="007B1069" w:rsidRDefault="003525FA" w:rsidP="003525FA">
      <w:pPr>
        <w:pStyle w:val="whitespace-normal"/>
        <w:spacing w:line="480" w:lineRule="auto"/>
        <w:rPr>
          <w:rFonts w:ascii="Garamond" w:eastAsiaTheme="majorEastAsia" w:hAnsi="Garamond"/>
          <w:b/>
          <w:bCs/>
        </w:rPr>
      </w:pPr>
    </w:p>
    <w:p w14:paraId="66FE2C7D" w14:textId="406C547B" w:rsidR="005D0EF1" w:rsidRPr="00BA542C" w:rsidRDefault="005D0EF1" w:rsidP="005D0EF1">
      <w:pPr>
        <w:pStyle w:val="whitespace-normal"/>
        <w:spacing w:line="480" w:lineRule="auto"/>
        <w:rPr>
          <w:b/>
          <w:bCs/>
        </w:rPr>
      </w:pPr>
      <w:r>
        <w:rPr>
          <w:b/>
          <w:bCs/>
        </w:rPr>
        <w:t xml:space="preserve">References </w:t>
      </w:r>
    </w:p>
    <w:p w14:paraId="6B50868A" w14:textId="77777777" w:rsidR="00983667" w:rsidRPr="00983667" w:rsidRDefault="00836381" w:rsidP="00983667">
      <w:pPr>
        <w:pStyle w:val="Bibliography"/>
        <w:rPr>
          <w:rFonts w:ascii="Garamond" w:hAnsi="Garamond"/>
        </w:rPr>
      </w:pPr>
      <w:r>
        <w:rPr>
          <w:rFonts w:ascii="Garamond" w:hAnsi="Garamond"/>
        </w:rPr>
        <w:fldChar w:fldCharType="begin"/>
      </w:r>
      <w:r>
        <w:rPr>
          <w:rFonts w:ascii="Garamond" w:hAnsi="Garamond"/>
        </w:rPr>
        <w:instrText xml:space="preserve"> ADDIN ZOTERO_BIBL {"uncited":[],"omitted":[],"custom":[]} CSL_BIBLIOGRAPHY </w:instrText>
      </w:r>
      <w:r>
        <w:rPr>
          <w:rFonts w:ascii="Garamond" w:hAnsi="Garamond"/>
        </w:rPr>
        <w:fldChar w:fldCharType="separate"/>
      </w:r>
      <w:r>
        <w:rPr>
          <w:rFonts w:ascii="Garamond" w:hAnsi="Garamond"/>
        </w:rPr>
        <w:t xml:space="preserve">ADFG. (2025). </w:t>
      </w:r>
      <w:r>
        <w:rPr>
          <w:rFonts w:ascii="Garamond" w:hAnsi="Garamond"/>
          <w:i/>
          <w:iCs/>
        </w:rPr>
        <w:t>Kuskokwim River Area: Subsistence Fishing</w:t>
      </w:r>
      <w:r>
        <w:rPr>
          <w:rFonts w:ascii="Garamond" w:hAnsi="Garamond"/>
        </w:rPr>
        <w:t>. https://www.adfg.alaska.gov/index.cfm?adfg=ByAreaSubsistenceKuskokwim.fishingInfo</w:t>
      </w:r>
    </w:p>
    <w:p w14:paraId="0B463E98" w14:textId="77777777" w:rsidR="00983667" w:rsidRPr="00983667" w:rsidRDefault="00983667" w:rsidP="00983667">
      <w:pPr>
        <w:pStyle w:val="Bibliography"/>
        <w:rPr>
          <w:rFonts w:ascii="Garamond" w:hAnsi="Garamond"/>
        </w:rPr>
      </w:pPr>
      <w:r>
        <w:rPr>
          <w:rFonts w:ascii="Garamond" w:hAnsi="Garamond"/>
        </w:rPr>
        <w:t xml:space="preserve">Bolnick, D. I., Amarasekare, P., Araújo, M. S., Bürger, R., Levine, J. M., Novak, M., Rudolf, V. H. W., Schreiber, S. J., Urban, M. C., &amp; Vasseur, D. A. (2011). Why intraspecific trait variation matters in community ecology. </w:t>
      </w:r>
      <w:r>
        <w:rPr>
          <w:rFonts w:ascii="Garamond" w:hAnsi="Garamond"/>
          <w:i/>
          <w:iCs/>
        </w:rPr>
        <w:t>Trends in Ecology &amp; Evolution</w:t>
      </w:r>
      <w:r>
        <w:rPr>
          <w:rFonts w:ascii="Garamond" w:hAnsi="Garamond"/>
        </w:rPr>
        <w:t xml:space="preserve">, </w:t>
      </w:r>
      <w:r>
        <w:rPr>
          <w:rFonts w:ascii="Garamond" w:hAnsi="Garamond"/>
          <w:i/>
          <w:iCs/>
        </w:rPr>
        <w:t>26</w:t>
      </w:r>
      <w:r>
        <w:rPr>
          <w:rFonts w:ascii="Garamond" w:hAnsi="Garamond"/>
        </w:rPr>
        <w:t>(4), 183–192. https://doi.org/10.1016/j.tree.2011.01.009</w:t>
      </w:r>
    </w:p>
    <w:p w14:paraId="20DBF442" w14:textId="77777777" w:rsidR="00983667" w:rsidRPr="00983667" w:rsidRDefault="00983667" w:rsidP="00983667">
      <w:pPr>
        <w:pStyle w:val="Bibliography"/>
        <w:rPr>
          <w:rFonts w:ascii="Garamond" w:hAnsi="Garamond"/>
        </w:rPr>
      </w:pPr>
      <w:r>
        <w:rPr>
          <w:rFonts w:ascii="Garamond" w:hAnsi="Garamond"/>
        </w:rPr>
        <w:t xml:space="preserve">Brennan, S. R., &amp; Schindler, D. E. (2017). Linking otolith microchemistry and dendritic isoscapes to map heterogeneous production of fish across river basins. </w:t>
      </w:r>
      <w:r>
        <w:rPr>
          <w:rFonts w:ascii="Garamond" w:hAnsi="Garamond"/>
          <w:i/>
          <w:iCs/>
        </w:rPr>
        <w:t>Ecological Applications</w:t>
      </w:r>
      <w:r>
        <w:rPr>
          <w:rFonts w:ascii="Garamond" w:hAnsi="Garamond"/>
        </w:rPr>
        <w:t xml:space="preserve">, </w:t>
      </w:r>
      <w:r>
        <w:rPr>
          <w:rFonts w:ascii="Garamond" w:hAnsi="Garamond"/>
          <w:i/>
          <w:iCs/>
        </w:rPr>
        <w:t>27</w:t>
      </w:r>
      <w:r>
        <w:rPr>
          <w:rFonts w:ascii="Garamond" w:hAnsi="Garamond"/>
        </w:rPr>
        <w:t>(2), 363–377. https://doi.org/10.1002/eap.1474</w:t>
      </w:r>
    </w:p>
    <w:p w14:paraId="313653CE" w14:textId="77777777" w:rsidR="00983667" w:rsidRPr="00983667" w:rsidRDefault="00983667" w:rsidP="00983667">
      <w:pPr>
        <w:pStyle w:val="Bibliography"/>
        <w:rPr>
          <w:rFonts w:ascii="Garamond" w:hAnsi="Garamond"/>
        </w:rPr>
      </w:pPr>
      <w:r>
        <w:rPr>
          <w:rFonts w:ascii="Garamond" w:hAnsi="Garamond"/>
        </w:rPr>
        <w:lastRenderedPageBreak/>
        <w:t xml:space="preserve">Brennan, S. R., Schindler, D. E., Cline, T. J., Walsworth, T. E., Buck, G., &amp; Fernandez, D. P. (2019). Shifting habitat mosaics and fish production across river basins. </w:t>
      </w:r>
      <w:r>
        <w:rPr>
          <w:rFonts w:ascii="Garamond" w:hAnsi="Garamond"/>
          <w:i/>
          <w:iCs/>
        </w:rPr>
        <w:t>Science</w:t>
      </w:r>
      <w:r>
        <w:rPr>
          <w:rFonts w:ascii="Garamond" w:hAnsi="Garamond"/>
        </w:rPr>
        <w:t xml:space="preserve">, </w:t>
      </w:r>
      <w:r>
        <w:rPr>
          <w:rFonts w:ascii="Garamond" w:hAnsi="Garamond"/>
          <w:i/>
          <w:iCs/>
        </w:rPr>
        <w:t>364</w:t>
      </w:r>
      <w:r>
        <w:rPr>
          <w:rFonts w:ascii="Garamond" w:hAnsi="Garamond"/>
        </w:rPr>
        <w:t>(6442), 783–786. https://doi.org/10.1126/science.aav4313</w:t>
      </w:r>
    </w:p>
    <w:p w14:paraId="0C39D8C9" w14:textId="77777777" w:rsidR="00983667" w:rsidRPr="00983667" w:rsidRDefault="00983667" w:rsidP="00983667">
      <w:pPr>
        <w:pStyle w:val="Bibliography"/>
        <w:rPr>
          <w:rFonts w:ascii="Garamond" w:hAnsi="Garamond"/>
        </w:rPr>
      </w:pPr>
      <w:r>
        <w:rPr>
          <w:rFonts w:ascii="Garamond" w:hAnsi="Garamond"/>
        </w:rPr>
        <w:t xml:space="preserve">Brennan, S. R., Torgersen, C. E., Hollenbeck, J. P., Fernandez, D. P., Jensen, C. K., &amp; Schindler, D. E. (2016). Dendritic network models: Improving isoscapes and quantifying influence of landscape and in-stream processes on strontium isotopes in rivers. </w:t>
      </w:r>
      <w:r>
        <w:rPr>
          <w:rFonts w:ascii="Garamond" w:hAnsi="Garamond"/>
          <w:i/>
          <w:iCs/>
        </w:rPr>
        <w:t>Geophysical Research Letters</w:t>
      </w:r>
      <w:r>
        <w:rPr>
          <w:rFonts w:ascii="Garamond" w:hAnsi="Garamond"/>
        </w:rPr>
        <w:t xml:space="preserve">, </w:t>
      </w:r>
      <w:r>
        <w:rPr>
          <w:rFonts w:ascii="Garamond" w:hAnsi="Garamond"/>
          <w:i/>
          <w:iCs/>
        </w:rPr>
        <w:t>43</w:t>
      </w:r>
      <w:r>
        <w:rPr>
          <w:rFonts w:ascii="Garamond" w:hAnsi="Garamond"/>
        </w:rPr>
        <w:t>(10), 5043–5051. https://doi.org/10.1002/2016GL068904</w:t>
      </w:r>
    </w:p>
    <w:p w14:paraId="223E4D6B" w14:textId="77777777" w:rsidR="00983667" w:rsidRPr="00983667" w:rsidRDefault="00983667" w:rsidP="00983667">
      <w:pPr>
        <w:pStyle w:val="Bibliography"/>
        <w:rPr>
          <w:rFonts w:ascii="Garamond" w:hAnsi="Garamond"/>
        </w:rPr>
      </w:pPr>
      <w:r>
        <w:rPr>
          <w:rFonts w:ascii="Garamond" w:hAnsi="Garamond"/>
        </w:rPr>
        <w:t xml:space="preserve">Brennan, S. R., Zimmerman, C. E., Fernandez, D. P., Cerling, T. E., McPhee, M. V., &amp; Wooller, M. J. (2015). Strontium isotopes delineate fine-scale natal origins and migration histories of Pacific salmon. </w:t>
      </w:r>
      <w:r>
        <w:rPr>
          <w:rFonts w:ascii="Garamond" w:hAnsi="Garamond"/>
          <w:i/>
          <w:iCs/>
        </w:rPr>
        <w:t>Science Advances</w:t>
      </w:r>
      <w:r>
        <w:rPr>
          <w:rFonts w:ascii="Garamond" w:hAnsi="Garamond"/>
        </w:rPr>
        <w:t xml:space="preserve">, </w:t>
      </w:r>
      <w:r>
        <w:rPr>
          <w:rFonts w:ascii="Garamond" w:hAnsi="Garamond"/>
          <w:i/>
          <w:iCs/>
        </w:rPr>
        <w:t>1</w:t>
      </w:r>
      <w:r>
        <w:rPr>
          <w:rFonts w:ascii="Garamond" w:hAnsi="Garamond"/>
        </w:rPr>
        <w:t>(4), e1400124. https://doi.org/10.1126/sciadv.1400124</w:t>
      </w:r>
    </w:p>
    <w:p w14:paraId="4B2CD6C4" w14:textId="77777777" w:rsidR="00983667" w:rsidRPr="00983667" w:rsidRDefault="00983667" w:rsidP="00983667">
      <w:pPr>
        <w:pStyle w:val="Bibliography"/>
        <w:rPr>
          <w:rFonts w:ascii="Garamond" w:hAnsi="Garamond"/>
        </w:rPr>
      </w:pPr>
      <w:r>
        <w:rPr>
          <w:rFonts w:ascii="Garamond" w:hAnsi="Garamond"/>
        </w:rPr>
        <w:t xml:space="preserve">Brown, C. L., &amp; Godduhn, A. (2015). </w:t>
      </w:r>
      <w:r>
        <w:rPr>
          <w:rFonts w:ascii="Garamond" w:hAnsi="Garamond"/>
          <w:i/>
          <w:iCs/>
        </w:rPr>
        <w:t>Socioeconomic effects of declining salmon runs on the Yukon River</w:t>
      </w:r>
      <w:r>
        <w:rPr>
          <w:rFonts w:ascii="Garamond" w:hAnsi="Garamond"/>
        </w:rPr>
        <w:t>.</w:t>
      </w:r>
    </w:p>
    <w:p w14:paraId="1237EF54" w14:textId="77777777" w:rsidR="00983667" w:rsidRPr="00983667" w:rsidRDefault="00983667" w:rsidP="00983667">
      <w:pPr>
        <w:pStyle w:val="Bibliography"/>
        <w:rPr>
          <w:rFonts w:ascii="Garamond" w:hAnsi="Garamond"/>
        </w:rPr>
      </w:pPr>
      <w:r>
        <w:rPr>
          <w:rFonts w:ascii="Garamond" w:hAnsi="Garamond"/>
        </w:rPr>
        <w:t xml:space="preserve">Campana, S. (1999). Chemistry and composition of fish otoliths:pathways, mechanisms and applications. </w:t>
      </w:r>
      <w:r>
        <w:rPr>
          <w:rFonts w:ascii="Garamond" w:hAnsi="Garamond"/>
          <w:i/>
          <w:iCs/>
        </w:rPr>
        <w:t>Marine Ecology Progress Series</w:t>
      </w:r>
      <w:r>
        <w:rPr>
          <w:rFonts w:ascii="Garamond" w:hAnsi="Garamond"/>
        </w:rPr>
        <w:t xml:space="preserve">, </w:t>
      </w:r>
      <w:r>
        <w:rPr>
          <w:rFonts w:ascii="Garamond" w:hAnsi="Garamond"/>
          <w:i/>
          <w:iCs/>
        </w:rPr>
        <w:t>188</w:t>
      </w:r>
      <w:r>
        <w:rPr>
          <w:rFonts w:ascii="Garamond" w:hAnsi="Garamond"/>
        </w:rPr>
        <w:t>, 263–297. https://doi.org/10.3354/meps188263</w:t>
      </w:r>
    </w:p>
    <w:p w14:paraId="06E51FFE" w14:textId="77777777" w:rsidR="00983667" w:rsidRPr="00983667" w:rsidRDefault="00983667" w:rsidP="00983667">
      <w:pPr>
        <w:pStyle w:val="Bibliography"/>
        <w:rPr>
          <w:rFonts w:ascii="Garamond" w:hAnsi="Garamond"/>
        </w:rPr>
      </w:pPr>
      <w:r>
        <w:rPr>
          <w:rFonts w:ascii="Garamond" w:hAnsi="Garamond"/>
        </w:rPr>
        <w:t xml:space="preserve">Capo, R. C., Stewart, B. W., &amp; Chadwick, O. A. (1998). Strontium isotopes as tracers of ecosystem processes: Theory and methods. </w:t>
      </w:r>
      <w:r>
        <w:rPr>
          <w:rFonts w:ascii="Garamond" w:hAnsi="Garamond"/>
          <w:i/>
          <w:iCs/>
        </w:rPr>
        <w:t>Geoderma</w:t>
      </w:r>
      <w:r>
        <w:rPr>
          <w:rFonts w:ascii="Garamond" w:hAnsi="Garamond"/>
        </w:rPr>
        <w:t xml:space="preserve">, </w:t>
      </w:r>
      <w:r>
        <w:rPr>
          <w:rFonts w:ascii="Garamond" w:hAnsi="Garamond"/>
          <w:i/>
          <w:iCs/>
        </w:rPr>
        <w:t>82</w:t>
      </w:r>
      <w:r>
        <w:rPr>
          <w:rFonts w:ascii="Garamond" w:hAnsi="Garamond"/>
        </w:rPr>
        <w:t>(1), 197–225. https://doi.org/10.1016/S0016-7061(97)00102-X</w:t>
      </w:r>
    </w:p>
    <w:p w14:paraId="1F0908C6" w14:textId="77777777" w:rsidR="00983667" w:rsidRPr="00983667" w:rsidRDefault="00983667" w:rsidP="00983667">
      <w:pPr>
        <w:pStyle w:val="Bibliography"/>
        <w:rPr>
          <w:rFonts w:ascii="Garamond" w:hAnsi="Garamond"/>
        </w:rPr>
      </w:pPr>
      <w:r>
        <w:rPr>
          <w:rFonts w:ascii="Garamond" w:hAnsi="Garamond"/>
        </w:rPr>
        <w:t xml:space="preserve">Chittaro, P., Hegg, J., Fuhrman, A., Robichaux, D., Doung, R., Beckman, B., Fisher, C., Vervoort, J., &amp; Kennedy, B. (2023). The incorporation of environmentally derived 87Sr/86Sr and Sr/Ca in early otolith formation of Chinook salmon. </w:t>
      </w:r>
      <w:r>
        <w:rPr>
          <w:rFonts w:ascii="Garamond" w:hAnsi="Garamond"/>
          <w:i/>
          <w:iCs/>
        </w:rPr>
        <w:t>Ecology of Freshwater Fish</w:t>
      </w:r>
      <w:r>
        <w:rPr>
          <w:rFonts w:ascii="Garamond" w:hAnsi="Garamond"/>
        </w:rPr>
        <w:t xml:space="preserve">, </w:t>
      </w:r>
      <w:r>
        <w:rPr>
          <w:rFonts w:ascii="Garamond" w:hAnsi="Garamond"/>
          <w:i/>
          <w:iCs/>
        </w:rPr>
        <w:t>32</w:t>
      </w:r>
      <w:r>
        <w:rPr>
          <w:rFonts w:ascii="Garamond" w:hAnsi="Garamond"/>
        </w:rPr>
        <w:t>(1), 107–119. https://doi.org/10.1111/eff.12673</w:t>
      </w:r>
    </w:p>
    <w:p w14:paraId="38A261EE" w14:textId="77777777" w:rsidR="00983667" w:rsidRPr="00983667" w:rsidRDefault="00983667" w:rsidP="00983667">
      <w:pPr>
        <w:pStyle w:val="Bibliography"/>
        <w:rPr>
          <w:rFonts w:ascii="Garamond" w:hAnsi="Garamond"/>
        </w:rPr>
      </w:pPr>
      <w:r>
        <w:rPr>
          <w:rFonts w:ascii="Garamond" w:hAnsi="Garamond"/>
        </w:rPr>
        <w:t xml:space="preserve">Clark, J. N., &amp; Smith, N. J. (2019). </w:t>
      </w:r>
      <w:r>
        <w:rPr>
          <w:rFonts w:ascii="Garamond" w:hAnsi="Garamond"/>
          <w:i/>
          <w:iCs/>
        </w:rPr>
        <w:t>Inriver Abundance of Kuskokwim River Chinook Salmon, 2017</w:t>
      </w:r>
      <w:r>
        <w:rPr>
          <w:rFonts w:ascii="Garamond" w:hAnsi="Garamond"/>
        </w:rPr>
        <w:t xml:space="preserve">. </w:t>
      </w:r>
      <w:r>
        <w:rPr>
          <w:rFonts w:ascii="Garamond" w:hAnsi="Garamond"/>
          <w:i/>
          <w:iCs/>
        </w:rPr>
        <w:t>Alaska Department of Fish and Game, Fishery Data Series No. 19-21, Anchorage.</w:t>
      </w:r>
    </w:p>
    <w:p w14:paraId="4893C4AC" w14:textId="77777777" w:rsidR="00983667" w:rsidRPr="00983667" w:rsidRDefault="00983667" w:rsidP="00983667">
      <w:pPr>
        <w:pStyle w:val="Bibliography"/>
        <w:rPr>
          <w:rFonts w:ascii="Garamond" w:hAnsi="Garamond"/>
        </w:rPr>
      </w:pPr>
      <w:r>
        <w:rPr>
          <w:rFonts w:ascii="Garamond" w:hAnsi="Garamond"/>
        </w:rPr>
        <w:lastRenderedPageBreak/>
        <w:t xml:space="preserve">Clark, S. C., Tanner, T. L., Sethi, S. A., Bentley, K. T., &amp; Schindler, D. E. (2015). Migration Timing of Adult Chinook Salmon into the Togiak River, Alaska, Watershed: Is There Evidence for Stock Structure? </w:t>
      </w:r>
      <w:r>
        <w:rPr>
          <w:rFonts w:ascii="Garamond" w:hAnsi="Garamond"/>
          <w:i/>
          <w:iCs/>
        </w:rPr>
        <w:t>Transactions of the American Fisheries Society</w:t>
      </w:r>
      <w:r>
        <w:rPr>
          <w:rFonts w:ascii="Garamond" w:hAnsi="Garamond"/>
        </w:rPr>
        <w:t xml:space="preserve">, </w:t>
      </w:r>
      <w:r>
        <w:rPr>
          <w:rFonts w:ascii="Garamond" w:hAnsi="Garamond"/>
          <w:i/>
          <w:iCs/>
        </w:rPr>
        <w:t>144</w:t>
      </w:r>
      <w:r>
        <w:rPr>
          <w:rFonts w:ascii="Garamond" w:hAnsi="Garamond"/>
        </w:rPr>
        <w:t>(4), 829–836. https://doi.org/10.1080/00028487.2015.1031281</w:t>
      </w:r>
    </w:p>
    <w:p w14:paraId="67ECD2D3" w14:textId="77777777" w:rsidR="00983667" w:rsidRPr="00983667" w:rsidRDefault="00983667" w:rsidP="00983667">
      <w:pPr>
        <w:pStyle w:val="Bibliography"/>
        <w:rPr>
          <w:rFonts w:ascii="Garamond" w:hAnsi="Garamond"/>
        </w:rPr>
      </w:pPr>
      <w:r>
        <w:rPr>
          <w:rFonts w:ascii="Garamond" w:hAnsi="Garamond"/>
        </w:rPr>
        <w:t xml:space="preserve">Cline, T. J., Schindler, D. E., &amp; Hilborn, R. (2017). Fisheries portfolio diversification and turnover buffer Alaskan fishing communities from abrupt resource and market changes. </w:t>
      </w:r>
      <w:r>
        <w:rPr>
          <w:rFonts w:ascii="Garamond" w:hAnsi="Garamond"/>
          <w:i/>
          <w:iCs/>
        </w:rPr>
        <w:t>Nature Communications</w:t>
      </w:r>
      <w:r>
        <w:rPr>
          <w:rFonts w:ascii="Garamond" w:hAnsi="Garamond"/>
        </w:rPr>
        <w:t xml:space="preserve">, </w:t>
      </w:r>
      <w:r>
        <w:rPr>
          <w:rFonts w:ascii="Garamond" w:hAnsi="Garamond"/>
          <w:i/>
          <w:iCs/>
        </w:rPr>
        <w:t>8</w:t>
      </w:r>
      <w:r>
        <w:rPr>
          <w:rFonts w:ascii="Garamond" w:hAnsi="Garamond"/>
        </w:rPr>
        <w:t>(1), Article 1. https://doi.org/10.1038/ncomms14042</w:t>
      </w:r>
    </w:p>
    <w:p w14:paraId="0360C86A" w14:textId="77777777" w:rsidR="00983667" w:rsidRPr="00983667" w:rsidRDefault="00983667" w:rsidP="00983667">
      <w:pPr>
        <w:pStyle w:val="Bibliography"/>
        <w:rPr>
          <w:rFonts w:ascii="Garamond" w:hAnsi="Garamond"/>
        </w:rPr>
      </w:pPr>
      <w:r>
        <w:rPr>
          <w:rFonts w:ascii="Garamond" w:hAnsi="Garamond"/>
        </w:rPr>
        <w:t xml:space="preserve">Connors, B. M., Staton, B., Coggins, L., Walters, C., Jones, M., Gwinn, D., Catalano, M., &amp; Fleischman, S. (2020). Incorporating harvest–population diversity trade-offs into harvest policy analyses of salmon management in large river basins. </w:t>
      </w:r>
      <w:r>
        <w:rPr>
          <w:rFonts w:ascii="Garamond" w:hAnsi="Garamond"/>
          <w:i/>
          <w:iCs/>
        </w:rPr>
        <w:t>Canadian Journal of Fisheries and Aquatic Sciences</w:t>
      </w:r>
      <w:r>
        <w:rPr>
          <w:rFonts w:ascii="Garamond" w:hAnsi="Garamond"/>
        </w:rPr>
        <w:t xml:space="preserve">, </w:t>
      </w:r>
      <w:r>
        <w:rPr>
          <w:rFonts w:ascii="Garamond" w:hAnsi="Garamond"/>
          <w:i/>
          <w:iCs/>
        </w:rPr>
        <w:t>77</w:t>
      </w:r>
      <w:r>
        <w:rPr>
          <w:rFonts w:ascii="Garamond" w:hAnsi="Garamond"/>
        </w:rPr>
        <w:t>(6), 1076–1089. https://doi.org/10.1139/cjfas-2019-0282</w:t>
      </w:r>
    </w:p>
    <w:p w14:paraId="32F5433B" w14:textId="77777777" w:rsidR="00983667" w:rsidRPr="00983667" w:rsidRDefault="00983667" w:rsidP="00983667">
      <w:pPr>
        <w:pStyle w:val="Bibliography"/>
        <w:rPr>
          <w:rFonts w:ascii="Garamond" w:hAnsi="Garamond"/>
        </w:rPr>
      </w:pPr>
      <w:r>
        <w:rPr>
          <w:rFonts w:ascii="Garamond" w:hAnsi="Garamond"/>
        </w:rPr>
        <w:t xml:space="preserve">Donohoe, C. J., &amp; Zimmerman, C. E. (2010). A method of mounting multiple otoliths for beam-based microchemical analyses. </w:t>
      </w:r>
      <w:r>
        <w:rPr>
          <w:rFonts w:ascii="Garamond" w:hAnsi="Garamond"/>
          <w:i/>
          <w:iCs/>
        </w:rPr>
        <w:t>Environmental Biology of Fishes</w:t>
      </w:r>
      <w:r>
        <w:rPr>
          <w:rFonts w:ascii="Garamond" w:hAnsi="Garamond"/>
        </w:rPr>
        <w:t xml:space="preserve">, </w:t>
      </w:r>
      <w:r>
        <w:rPr>
          <w:rFonts w:ascii="Garamond" w:hAnsi="Garamond"/>
          <w:i/>
          <w:iCs/>
        </w:rPr>
        <w:t>89</w:t>
      </w:r>
      <w:r>
        <w:rPr>
          <w:rFonts w:ascii="Garamond" w:hAnsi="Garamond"/>
        </w:rPr>
        <w:t>(3), 473–477. https://doi.org/10.1007/s10641-010-9680-3</w:t>
      </w:r>
    </w:p>
    <w:p w14:paraId="0620F52B" w14:textId="77777777" w:rsidR="00983667" w:rsidRPr="00983667" w:rsidRDefault="00983667" w:rsidP="00983667">
      <w:pPr>
        <w:pStyle w:val="Bibliography"/>
        <w:rPr>
          <w:rFonts w:ascii="Garamond" w:hAnsi="Garamond"/>
        </w:rPr>
      </w:pPr>
      <w:r>
        <w:rPr>
          <w:rFonts w:ascii="Garamond" w:hAnsi="Garamond"/>
        </w:rPr>
        <w:t xml:space="preserve">Falke, &amp; Paul. (2025). </w:t>
      </w:r>
      <w:r>
        <w:rPr>
          <w:rFonts w:ascii="Garamond" w:hAnsi="Garamond"/>
          <w:i/>
          <w:iCs/>
        </w:rPr>
        <w:t>Stream Attributes and Habitat Intrinsic Potential Model Results to examine Freshwater Habitat Potential for Chinook Salmon in the Yukon and Kuskokwim River Basins, Alaska</w:t>
      </w:r>
      <w:r>
        <w:rPr>
          <w:rFonts w:ascii="Garamond" w:hAnsi="Garamond"/>
        </w:rPr>
        <w:t xml:space="preserve"> [Csv,xml,shp]. U.S. Geological Survey. https://doi.org/10.5066/P95AV4JO</w:t>
      </w:r>
    </w:p>
    <w:p w14:paraId="396A3815" w14:textId="77777777" w:rsidR="00983667" w:rsidRPr="00983667" w:rsidRDefault="00983667" w:rsidP="00983667">
      <w:pPr>
        <w:pStyle w:val="Bibliography"/>
        <w:rPr>
          <w:rFonts w:ascii="Garamond" w:hAnsi="Garamond"/>
        </w:rPr>
      </w:pPr>
      <w:r>
        <w:rPr>
          <w:rFonts w:ascii="Garamond" w:hAnsi="Garamond"/>
        </w:rPr>
        <w:t xml:space="preserve">French, D. W., Schindler, D. E., Brennan, S. R., &amp; Whited, D. (2020). Headwater Catchments Govern Biogeochemistry in America’s Largest Free-Flowing River Network. </w:t>
      </w:r>
      <w:r>
        <w:rPr>
          <w:rFonts w:ascii="Garamond" w:hAnsi="Garamond"/>
          <w:i/>
          <w:iCs/>
        </w:rPr>
        <w:t>Journal of Geophysical Research: Biogeosciences</w:t>
      </w:r>
      <w:r>
        <w:rPr>
          <w:rFonts w:ascii="Garamond" w:hAnsi="Garamond"/>
        </w:rPr>
        <w:t xml:space="preserve">, </w:t>
      </w:r>
      <w:r>
        <w:rPr>
          <w:rFonts w:ascii="Garamond" w:hAnsi="Garamond"/>
          <w:i/>
          <w:iCs/>
        </w:rPr>
        <w:t>125</w:t>
      </w:r>
      <w:r>
        <w:rPr>
          <w:rFonts w:ascii="Garamond" w:hAnsi="Garamond"/>
        </w:rPr>
        <w:t>(12), e2020JG005851. https://doi.org/10.1029/2020JG005851</w:t>
      </w:r>
    </w:p>
    <w:p w14:paraId="3AF63FB7" w14:textId="77777777" w:rsidR="00983667" w:rsidRPr="00983667" w:rsidRDefault="00983667" w:rsidP="00983667">
      <w:pPr>
        <w:pStyle w:val="Bibliography"/>
        <w:rPr>
          <w:rFonts w:ascii="Garamond" w:hAnsi="Garamond"/>
        </w:rPr>
      </w:pPr>
      <w:r>
        <w:rPr>
          <w:rFonts w:ascii="Garamond" w:hAnsi="Garamond"/>
        </w:rPr>
        <w:t xml:space="preserve">Griffiths, J. R., Schindler, D. E., Armstrong, J. B., Scheuerell, M. D., Whited, D. C., Clark, R. A., Hilborn, R., Holt, C. A., Lindley, S. T., Stanford, J. A., &amp; Volk, E. C. (2014). Performance of </w:t>
      </w:r>
      <w:r>
        <w:rPr>
          <w:rFonts w:ascii="Garamond" w:hAnsi="Garamond"/>
        </w:rPr>
        <w:lastRenderedPageBreak/>
        <w:t xml:space="preserve">salmon fishery portfolios across western North America. </w:t>
      </w:r>
      <w:r>
        <w:rPr>
          <w:rFonts w:ascii="Garamond" w:hAnsi="Garamond"/>
          <w:i/>
          <w:iCs/>
        </w:rPr>
        <w:t>Biological Conservation</w:t>
      </w:r>
      <w:r>
        <w:rPr>
          <w:rFonts w:ascii="Garamond" w:hAnsi="Garamond"/>
        </w:rPr>
        <w:t xml:space="preserve">, </w:t>
      </w:r>
      <w:r>
        <w:rPr>
          <w:rFonts w:ascii="Garamond" w:hAnsi="Garamond"/>
          <w:i/>
          <w:iCs/>
        </w:rPr>
        <w:t>51</w:t>
      </w:r>
      <w:r>
        <w:rPr>
          <w:rFonts w:ascii="Garamond" w:hAnsi="Garamond"/>
        </w:rPr>
        <w:t>(6), 1554–1563. https://doi.org/10.1111/1365-2664.12341</w:t>
      </w:r>
    </w:p>
    <w:p w14:paraId="13F73144" w14:textId="77777777" w:rsidR="00983667" w:rsidRPr="00983667" w:rsidRDefault="00983667" w:rsidP="00983667">
      <w:pPr>
        <w:pStyle w:val="Bibliography"/>
        <w:rPr>
          <w:rFonts w:ascii="Garamond" w:hAnsi="Garamond"/>
        </w:rPr>
      </w:pPr>
      <w:r>
        <w:rPr>
          <w:rFonts w:ascii="Garamond" w:hAnsi="Garamond"/>
        </w:rPr>
        <w:t xml:space="preserve">Hamazaki, T. (2008). “When people argue about fish, the fish disappear.” </w:t>
      </w:r>
      <w:r>
        <w:rPr>
          <w:rFonts w:ascii="Garamond" w:hAnsi="Garamond"/>
          <w:i/>
          <w:iCs/>
        </w:rPr>
        <w:t>Fisheries</w:t>
      </w:r>
      <w:r>
        <w:rPr>
          <w:rFonts w:ascii="Garamond" w:hAnsi="Garamond"/>
        </w:rPr>
        <w:t xml:space="preserve">, </w:t>
      </w:r>
      <w:r>
        <w:rPr>
          <w:rFonts w:ascii="Garamond" w:hAnsi="Garamond"/>
          <w:i/>
          <w:iCs/>
        </w:rPr>
        <w:t>33</w:t>
      </w:r>
      <w:r>
        <w:rPr>
          <w:rFonts w:ascii="Garamond" w:hAnsi="Garamond"/>
        </w:rPr>
        <w:t>(10), 495–501. https://doi.org/10.1577/1548-8446-33.10.495</w:t>
      </w:r>
    </w:p>
    <w:p w14:paraId="0D29B2C1" w14:textId="77777777" w:rsidR="00983667" w:rsidRPr="00983667" w:rsidRDefault="00983667" w:rsidP="00983667">
      <w:pPr>
        <w:pStyle w:val="Bibliography"/>
        <w:rPr>
          <w:rFonts w:ascii="Garamond" w:hAnsi="Garamond"/>
        </w:rPr>
      </w:pPr>
      <w:r>
        <w:rPr>
          <w:rFonts w:ascii="Garamond" w:hAnsi="Garamond"/>
        </w:rPr>
        <w:t xml:space="preserve">Head, J. M., Smith, N. J., &amp; Liller, Z. W. (2017). </w:t>
      </w:r>
      <w:r>
        <w:rPr>
          <w:rFonts w:ascii="Garamond" w:hAnsi="Garamond"/>
          <w:i/>
          <w:iCs/>
        </w:rPr>
        <w:t>Inriver abundance of Kuskokwim River Chinook salmon, 2014.</w:t>
      </w:r>
      <w:r>
        <w:rPr>
          <w:rFonts w:ascii="Garamond" w:hAnsi="Garamond"/>
        </w:rPr>
        <w:t xml:space="preserve"> (Alaska Department of Fish and Game, Fishery Data Series No. 17-23, Anchorage.).</w:t>
      </w:r>
    </w:p>
    <w:p w14:paraId="13BB60AC" w14:textId="77777777" w:rsidR="00983667" w:rsidRPr="00983667" w:rsidRDefault="00983667" w:rsidP="00983667">
      <w:pPr>
        <w:pStyle w:val="Bibliography"/>
        <w:rPr>
          <w:rFonts w:ascii="Garamond" w:hAnsi="Garamond"/>
        </w:rPr>
      </w:pPr>
      <w:r>
        <w:rPr>
          <w:rFonts w:ascii="Garamond" w:hAnsi="Garamond"/>
        </w:rPr>
        <w:t xml:space="preserve">Hilborn, R., Quinn, T. P., Schindler, D. E., &amp; Rogers, D. E. (2003). Biocomplexity and fisheries sustainability. </w:t>
      </w:r>
      <w:r>
        <w:rPr>
          <w:rFonts w:ascii="Garamond" w:hAnsi="Garamond"/>
          <w:i/>
          <w:iCs/>
        </w:rPr>
        <w:t>Proceedings of the National Academy of Sciences</w:t>
      </w:r>
      <w:r>
        <w:rPr>
          <w:rFonts w:ascii="Garamond" w:hAnsi="Garamond"/>
        </w:rPr>
        <w:t xml:space="preserve">, </w:t>
      </w:r>
      <w:r>
        <w:rPr>
          <w:rFonts w:ascii="Garamond" w:hAnsi="Garamond"/>
          <w:i/>
          <w:iCs/>
        </w:rPr>
        <w:t>100</w:t>
      </w:r>
      <w:r>
        <w:rPr>
          <w:rFonts w:ascii="Garamond" w:hAnsi="Garamond"/>
        </w:rPr>
        <w:t>(11), 6564–6568. https://doi.org/10.1073/pnas.1037274100</w:t>
      </w:r>
    </w:p>
    <w:p w14:paraId="16784FB3" w14:textId="77777777" w:rsidR="00983667" w:rsidRPr="00983667" w:rsidRDefault="00983667" w:rsidP="00983667">
      <w:pPr>
        <w:pStyle w:val="Bibliography"/>
        <w:rPr>
          <w:rFonts w:ascii="Garamond" w:hAnsi="Garamond"/>
        </w:rPr>
      </w:pPr>
      <w:r>
        <w:rPr>
          <w:rFonts w:ascii="Garamond" w:hAnsi="Garamond"/>
        </w:rPr>
        <w:t xml:space="preserve">KRITFC. (2024). </w:t>
      </w:r>
      <w:r>
        <w:rPr>
          <w:rFonts w:ascii="Garamond" w:hAnsi="Garamond"/>
          <w:i/>
          <w:iCs/>
        </w:rPr>
        <w:t>Kuskokwim River Salmon Situation Report</w:t>
      </w:r>
      <w:r>
        <w:rPr>
          <w:rFonts w:ascii="Garamond" w:hAnsi="Garamond"/>
        </w:rPr>
        <w:t>. https://static1.squarespace.com/static/5afdc3d5e74940913f78773d/t/66e4bb2dfcc5d24880434ff7/1726266166559/2023+Kusko+Situation+Report_4.19.24+final.pdf</w:t>
      </w:r>
    </w:p>
    <w:p w14:paraId="209635C2" w14:textId="77777777" w:rsidR="00983667" w:rsidRPr="00983667" w:rsidRDefault="00983667" w:rsidP="00983667">
      <w:pPr>
        <w:pStyle w:val="Bibliography"/>
        <w:rPr>
          <w:rFonts w:ascii="Garamond" w:hAnsi="Garamond"/>
        </w:rPr>
      </w:pPr>
      <w:r>
        <w:rPr>
          <w:rFonts w:ascii="Garamond" w:hAnsi="Garamond"/>
        </w:rPr>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Pr>
          <w:rFonts w:ascii="Garamond" w:hAnsi="Garamond"/>
          <w:i/>
          <w:iCs/>
        </w:rPr>
        <w:t>Fish and Fisheries</w:t>
      </w:r>
      <w:r>
        <w:rPr>
          <w:rFonts w:ascii="Garamond" w:hAnsi="Garamond"/>
        </w:rPr>
        <w:t xml:space="preserve">, </w:t>
      </w:r>
      <w:r>
        <w:rPr>
          <w:rFonts w:ascii="Garamond" w:hAnsi="Garamond"/>
          <w:i/>
          <w:iCs/>
        </w:rPr>
        <w:t>26</w:t>
      </w:r>
      <w:r>
        <w:rPr>
          <w:rFonts w:ascii="Garamond" w:hAnsi="Garamond"/>
        </w:rPr>
        <w:t>(4), 520–532. https://doi.org/10.1111/faf.12895</w:t>
      </w:r>
    </w:p>
    <w:p w14:paraId="36BA41A0" w14:textId="77777777" w:rsidR="00983667" w:rsidRPr="00983667" w:rsidRDefault="00983667" w:rsidP="00983667">
      <w:pPr>
        <w:pStyle w:val="Bibliography"/>
        <w:rPr>
          <w:rFonts w:ascii="Garamond" w:hAnsi="Garamond"/>
        </w:rPr>
      </w:pPr>
      <w:r>
        <w:rPr>
          <w:rFonts w:ascii="Garamond" w:hAnsi="Garamond"/>
        </w:rPr>
        <w:t xml:space="preserve">Lipka, C., &amp; Elison, T. (2015). </w:t>
      </w:r>
      <w:r>
        <w:rPr>
          <w:rFonts w:ascii="Garamond" w:hAnsi="Garamond"/>
          <w:i/>
          <w:iCs/>
        </w:rPr>
        <w:t>Characterization of the 2012 and 2013 salmon runs in the Kuskokwim River based on the test fishery at Bethel.</w:t>
      </w:r>
      <w:r>
        <w:rPr>
          <w:rFonts w:ascii="Garamond" w:hAnsi="Garamond"/>
        </w:rPr>
        <w:t xml:space="preserve"> (Fishery Data Series No. 16-06 Anchorage). Alaska Department of Fish and Game.</w:t>
      </w:r>
    </w:p>
    <w:p w14:paraId="227478FC" w14:textId="77777777" w:rsidR="00983667" w:rsidRPr="00983667" w:rsidRDefault="00983667" w:rsidP="00983667">
      <w:pPr>
        <w:pStyle w:val="Bibliography"/>
        <w:rPr>
          <w:rFonts w:ascii="Garamond" w:hAnsi="Garamond"/>
        </w:rPr>
      </w:pPr>
      <w:r>
        <w:rPr>
          <w:rFonts w:ascii="Garamond" w:hAnsi="Garamond"/>
        </w:rPr>
        <w:t xml:space="preserve">Luck, G., Daily, G., &amp; Ehrlich, P. (2003). Population diversity and ecosystem services. </w:t>
      </w:r>
      <w:r>
        <w:rPr>
          <w:rFonts w:ascii="Garamond" w:hAnsi="Garamond"/>
          <w:i/>
          <w:iCs/>
        </w:rPr>
        <w:t>Trends in Ecology &amp; Evolution</w:t>
      </w:r>
      <w:r>
        <w:rPr>
          <w:rFonts w:ascii="Garamond" w:hAnsi="Garamond"/>
        </w:rPr>
        <w:t xml:space="preserve">, </w:t>
      </w:r>
      <w:r>
        <w:rPr>
          <w:rFonts w:ascii="Garamond" w:hAnsi="Garamond"/>
          <w:i/>
          <w:iCs/>
        </w:rPr>
        <w:t>18</w:t>
      </w:r>
      <w:r>
        <w:rPr>
          <w:rFonts w:ascii="Garamond" w:hAnsi="Garamond"/>
        </w:rPr>
        <w:t>, 331–336. https://doi.org/10.1016/S0169-5347(03)00100-9</w:t>
      </w:r>
    </w:p>
    <w:p w14:paraId="69521790" w14:textId="77777777" w:rsidR="00983667" w:rsidRPr="00983667" w:rsidRDefault="00983667" w:rsidP="00983667">
      <w:pPr>
        <w:pStyle w:val="Bibliography"/>
        <w:rPr>
          <w:rFonts w:ascii="Garamond" w:hAnsi="Garamond"/>
        </w:rPr>
      </w:pPr>
      <w:r>
        <w:rPr>
          <w:rFonts w:ascii="Garamond" w:hAnsi="Garamond"/>
        </w:rPr>
        <w:t xml:space="preserve">Makhlouf, B., Cline, T. J., Fernandez, D., Seeb, L., Lee, E., Gilk-Baumer, S., Whited, D., Zimmerman, C. E., &amp; Schindler, D. E. (2025). Combining genetic and isotope frameworks </w:t>
      </w:r>
      <w:r>
        <w:rPr>
          <w:rFonts w:ascii="Garamond" w:hAnsi="Garamond"/>
        </w:rPr>
        <w:lastRenderedPageBreak/>
        <w:t xml:space="preserve">improves reconstruction of fish provenance across riverscapes. </w:t>
      </w:r>
      <w:r>
        <w:rPr>
          <w:rFonts w:ascii="Garamond" w:hAnsi="Garamond"/>
          <w:i/>
          <w:iCs/>
        </w:rPr>
        <w:t>Limnology and Oceanography Letters</w:t>
      </w:r>
      <w:r>
        <w:rPr>
          <w:rFonts w:ascii="Garamond" w:hAnsi="Garamond"/>
        </w:rPr>
        <w:t xml:space="preserve">, </w:t>
      </w:r>
      <w:r>
        <w:rPr>
          <w:rFonts w:ascii="Garamond" w:hAnsi="Garamond"/>
          <w:i/>
          <w:iCs/>
        </w:rPr>
        <w:t>n/a</w:t>
      </w:r>
      <w:r>
        <w:rPr>
          <w:rFonts w:ascii="Garamond" w:hAnsi="Garamond"/>
        </w:rPr>
        <w:t>(n/a). https://doi.org/10.1002/lol2.70025</w:t>
      </w:r>
    </w:p>
    <w:p w14:paraId="0D5EDC1D" w14:textId="77777777" w:rsidR="00983667" w:rsidRPr="00983667" w:rsidRDefault="00983667" w:rsidP="00983667">
      <w:pPr>
        <w:pStyle w:val="Bibliography"/>
        <w:rPr>
          <w:rFonts w:ascii="Garamond" w:hAnsi="Garamond"/>
        </w:rPr>
      </w:pPr>
      <w:r>
        <w:rPr>
          <w:rFonts w:ascii="Garamond" w:hAnsi="Garamond"/>
        </w:rPr>
        <w:t xml:space="preserve">Moore, J. W., Connors, B. M., &amp; Hodgson, E. E. (2021). Conservation risks and portfolio effects in mixed-stock fisheries. </w:t>
      </w:r>
      <w:r>
        <w:rPr>
          <w:rFonts w:ascii="Garamond" w:hAnsi="Garamond"/>
          <w:i/>
          <w:iCs/>
        </w:rPr>
        <w:t>Fish and Fisheries</w:t>
      </w:r>
      <w:r>
        <w:rPr>
          <w:rFonts w:ascii="Garamond" w:hAnsi="Garamond"/>
        </w:rPr>
        <w:t xml:space="preserve">, </w:t>
      </w:r>
      <w:r>
        <w:rPr>
          <w:rFonts w:ascii="Garamond" w:hAnsi="Garamond"/>
          <w:i/>
          <w:iCs/>
        </w:rPr>
        <w:t>22</w:t>
      </w:r>
      <w:r>
        <w:rPr>
          <w:rFonts w:ascii="Garamond" w:hAnsi="Garamond"/>
        </w:rPr>
        <w:t>(5), 1024–1040. https://doi.org/10.1111/faf.12567</w:t>
      </w:r>
    </w:p>
    <w:p w14:paraId="0B2EEE20" w14:textId="77777777" w:rsidR="00983667" w:rsidRPr="00983667" w:rsidRDefault="00983667" w:rsidP="00983667">
      <w:pPr>
        <w:pStyle w:val="Bibliography"/>
        <w:rPr>
          <w:rFonts w:ascii="Garamond" w:hAnsi="Garamond"/>
        </w:rPr>
      </w:pPr>
      <w:r>
        <w:rPr>
          <w:rFonts w:ascii="Garamond" w:hAnsi="Garamond"/>
        </w:rPr>
        <w:t xml:space="preserve">Mundy, P. R. (1982). Computation of Migratory Timing Statistics for Adult Chinook Salmon in the Yukon River, Alaska, and Their Relevance to Fisheries Management. </w:t>
      </w:r>
      <w:r>
        <w:rPr>
          <w:rFonts w:ascii="Garamond" w:hAnsi="Garamond"/>
          <w:i/>
          <w:iCs/>
        </w:rPr>
        <w:t>North American Journal of Fisheries Management</w:t>
      </w:r>
      <w:r>
        <w:rPr>
          <w:rFonts w:ascii="Garamond" w:hAnsi="Garamond"/>
        </w:rPr>
        <w:t xml:space="preserve">, </w:t>
      </w:r>
      <w:r>
        <w:rPr>
          <w:rFonts w:ascii="Garamond" w:hAnsi="Garamond"/>
          <w:i/>
          <w:iCs/>
        </w:rPr>
        <w:t>2</w:t>
      </w:r>
      <w:r>
        <w:rPr>
          <w:rFonts w:ascii="Garamond" w:hAnsi="Garamond"/>
        </w:rPr>
        <w:t>(4), 359–370. https://doi.org/10.1577/1548-8659(1982)2%253C359:COMTSF%253E2.0.CO;2</w:t>
      </w:r>
    </w:p>
    <w:p w14:paraId="2271EDD6" w14:textId="77777777" w:rsidR="00983667" w:rsidRPr="00983667" w:rsidRDefault="00983667" w:rsidP="00983667">
      <w:pPr>
        <w:pStyle w:val="Bibliography"/>
        <w:rPr>
          <w:rFonts w:ascii="Garamond" w:hAnsi="Garamond"/>
        </w:rPr>
      </w:pPr>
      <w:r>
        <w:rPr>
          <w:rFonts w:ascii="Garamond" w:hAnsi="Garamond"/>
        </w:rPr>
        <w:t xml:space="preserve">Nesbitt, H. K., &amp; Moore, J. W. (2016). Species and population diversity in Pacific salmon fisheries underpin indigenous food security. </w:t>
      </w:r>
      <w:r>
        <w:rPr>
          <w:rFonts w:ascii="Garamond" w:hAnsi="Garamond"/>
          <w:i/>
          <w:iCs/>
        </w:rPr>
        <w:t>Journal of Applied Ecology</w:t>
      </w:r>
      <w:r>
        <w:rPr>
          <w:rFonts w:ascii="Garamond" w:hAnsi="Garamond"/>
        </w:rPr>
        <w:t xml:space="preserve">, </w:t>
      </w:r>
      <w:r>
        <w:rPr>
          <w:rFonts w:ascii="Garamond" w:hAnsi="Garamond"/>
          <w:i/>
          <w:iCs/>
        </w:rPr>
        <w:t>53</w:t>
      </w:r>
      <w:r>
        <w:rPr>
          <w:rFonts w:ascii="Garamond" w:hAnsi="Garamond"/>
        </w:rPr>
        <w:t>(5), 1489–1499. https://doi.org/10.1111/1365-2664.12717</w:t>
      </w:r>
    </w:p>
    <w:p w14:paraId="07BDE4AA" w14:textId="77777777" w:rsidR="00983667" w:rsidRPr="00983667" w:rsidRDefault="00983667" w:rsidP="00983667">
      <w:pPr>
        <w:pStyle w:val="Bibliography"/>
        <w:rPr>
          <w:rFonts w:ascii="Garamond" w:hAnsi="Garamond"/>
        </w:rPr>
      </w:pPr>
      <w:r>
        <w:rPr>
          <w:rFonts w:ascii="Garamond" w:hAnsi="Garamond"/>
        </w:rPr>
        <w:t xml:space="preserve">Ohlberger, J., Ward, E. J., Schindler, D. E., &amp; Lewis, B. (2018). Demographic changes in Chinook salmon across the Northeast Pacific Ocean. </w:t>
      </w:r>
      <w:r>
        <w:rPr>
          <w:rFonts w:ascii="Garamond" w:hAnsi="Garamond"/>
          <w:i/>
          <w:iCs/>
        </w:rPr>
        <w:t>Fish and Fisheries</w:t>
      </w:r>
      <w:r>
        <w:rPr>
          <w:rFonts w:ascii="Garamond" w:hAnsi="Garamond"/>
        </w:rPr>
        <w:t xml:space="preserve">, </w:t>
      </w:r>
      <w:r>
        <w:rPr>
          <w:rFonts w:ascii="Garamond" w:hAnsi="Garamond"/>
          <w:i/>
          <w:iCs/>
        </w:rPr>
        <w:t>19</w:t>
      </w:r>
      <w:r>
        <w:rPr>
          <w:rFonts w:ascii="Garamond" w:hAnsi="Garamond"/>
        </w:rPr>
        <w:t>(3), 533–546. https://doi.org/10.1111/faf.12272</w:t>
      </w:r>
    </w:p>
    <w:p w14:paraId="1AFA10E5" w14:textId="77777777" w:rsidR="00983667" w:rsidRPr="00983667" w:rsidRDefault="00983667" w:rsidP="00983667">
      <w:pPr>
        <w:pStyle w:val="Bibliography"/>
        <w:rPr>
          <w:rFonts w:ascii="Garamond" w:hAnsi="Garamond"/>
        </w:rPr>
      </w:pPr>
      <w:r>
        <w:rPr>
          <w:rFonts w:ascii="Garamond" w:hAnsi="Garamond"/>
        </w:rPr>
        <w:t xml:space="preserve">Quinn, T. P. (2018). </w:t>
      </w:r>
      <w:r>
        <w:rPr>
          <w:rFonts w:ascii="Garamond" w:hAnsi="Garamond"/>
          <w:i/>
          <w:iCs/>
        </w:rPr>
        <w:t>The Behavior and Ecology of Pacific Salmon and Trout</w:t>
      </w:r>
      <w:r>
        <w:rPr>
          <w:rFonts w:ascii="Garamond" w:hAnsi="Garamond"/>
        </w:rPr>
        <w:t>. American Fisheries Society, University of Washington Press.</w:t>
      </w:r>
    </w:p>
    <w:p w14:paraId="0666F172" w14:textId="77777777" w:rsidR="00983667" w:rsidRPr="00983667" w:rsidRDefault="00983667" w:rsidP="00983667">
      <w:pPr>
        <w:pStyle w:val="Bibliography"/>
        <w:rPr>
          <w:rFonts w:ascii="Garamond" w:hAnsi="Garamond"/>
        </w:rPr>
      </w:pPr>
      <w:r>
        <w:rPr>
          <w:rFonts w:ascii="Garamond" w:hAnsi="Garamond"/>
        </w:rPr>
        <w:t xml:space="preserve">Schindler, D. E., Armstrong, J. B., &amp; Reed, T. E. (2015). The portfolio concept in ecology and evolution. </w:t>
      </w:r>
      <w:r>
        <w:rPr>
          <w:rFonts w:ascii="Garamond" w:hAnsi="Garamond"/>
          <w:i/>
          <w:iCs/>
        </w:rPr>
        <w:t>Frontiers in Ecology and the Environment</w:t>
      </w:r>
      <w:r>
        <w:rPr>
          <w:rFonts w:ascii="Garamond" w:hAnsi="Garamond"/>
        </w:rPr>
        <w:t xml:space="preserve">, </w:t>
      </w:r>
      <w:r>
        <w:rPr>
          <w:rFonts w:ascii="Garamond" w:hAnsi="Garamond"/>
          <w:i/>
          <w:iCs/>
        </w:rPr>
        <w:t>13</w:t>
      </w:r>
      <w:r>
        <w:rPr>
          <w:rFonts w:ascii="Garamond" w:hAnsi="Garamond"/>
        </w:rPr>
        <w:t>(5), 257–263.</w:t>
      </w:r>
    </w:p>
    <w:p w14:paraId="36494422" w14:textId="77777777" w:rsidR="00983667" w:rsidRPr="00983667" w:rsidRDefault="00983667" w:rsidP="00983667">
      <w:pPr>
        <w:pStyle w:val="Bibliography"/>
        <w:rPr>
          <w:rFonts w:ascii="Garamond" w:hAnsi="Garamond"/>
        </w:rPr>
      </w:pPr>
      <w:r>
        <w:rPr>
          <w:rFonts w:ascii="Garamond" w:hAnsi="Garamond"/>
        </w:rPr>
        <w:t xml:space="preserve">Schindler, D. E., Hilborn, R., Chasco, B., Boatright, C. P., Quinn, T. P., Rogers, L. A., &amp; Webster, M. S. (2010). Population diversity and the portfolio effect in an exploited species. </w:t>
      </w:r>
      <w:r>
        <w:rPr>
          <w:rFonts w:ascii="Garamond" w:hAnsi="Garamond"/>
          <w:i/>
          <w:iCs/>
        </w:rPr>
        <w:t>Nature</w:t>
      </w:r>
      <w:r>
        <w:rPr>
          <w:rFonts w:ascii="Garamond" w:hAnsi="Garamond"/>
        </w:rPr>
        <w:t xml:space="preserve">, </w:t>
      </w:r>
      <w:r>
        <w:rPr>
          <w:rFonts w:ascii="Garamond" w:hAnsi="Garamond"/>
          <w:i/>
          <w:iCs/>
        </w:rPr>
        <w:t>465</w:t>
      </w:r>
      <w:r>
        <w:rPr>
          <w:rFonts w:ascii="Garamond" w:hAnsi="Garamond"/>
        </w:rPr>
        <w:t>(7298). https://doi-org.prox.lib.ncsu.edu/10.1038/nature09060</w:t>
      </w:r>
    </w:p>
    <w:p w14:paraId="33C79C27" w14:textId="77777777" w:rsidR="00983667" w:rsidRPr="00983667" w:rsidRDefault="00983667" w:rsidP="00983667">
      <w:pPr>
        <w:pStyle w:val="Bibliography"/>
        <w:rPr>
          <w:rFonts w:ascii="Garamond" w:hAnsi="Garamond"/>
        </w:rPr>
      </w:pPr>
      <w:r>
        <w:rPr>
          <w:rFonts w:ascii="Garamond" w:hAnsi="Garamond"/>
        </w:rPr>
        <w:lastRenderedPageBreak/>
        <w:t xml:space="preserve">Smith, N. J., &amp; Liller, Z. W. (2017a). </w:t>
      </w:r>
      <w:r>
        <w:rPr>
          <w:rFonts w:ascii="Garamond" w:hAnsi="Garamond"/>
          <w:i/>
          <w:iCs/>
        </w:rPr>
        <w:t>Inriver abundance and migration characteristics of Kuskokwim River Chinook salmon, 2015.</w:t>
      </w:r>
      <w:r>
        <w:rPr>
          <w:rFonts w:ascii="Garamond" w:hAnsi="Garamond"/>
        </w:rPr>
        <w:t xml:space="preserve"> (Alaska Department of Fish and Game, Fishery Data Series No. 17-22, Anchorage.).</w:t>
      </w:r>
    </w:p>
    <w:p w14:paraId="0BBE48CE" w14:textId="77777777" w:rsidR="00983667" w:rsidRPr="00983667" w:rsidRDefault="00983667" w:rsidP="00983667">
      <w:pPr>
        <w:pStyle w:val="Bibliography"/>
        <w:rPr>
          <w:rFonts w:ascii="Garamond" w:hAnsi="Garamond"/>
        </w:rPr>
      </w:pPr>
      <w:r>
        <w:rPr>
          <w:rFonts w:ascii="Garamond" w:hAnsi="Garamond"/>
        </w:rPr>
        <w:t xml:space="preserve">Smith, N. J., &amp; Liller, Z. W. (2017b). </w:t>
      </w:r>
      <w:r>
        <w:rPr>
          <w:rFonts w:ascii="Garamond" w:hAnsi="Garamond"/>
          <w:i/>
          <w:iCs/>
        </w:rPr>
        <w:t>Inriver abundance and migration characteristics of Kuskokwim River Chinook salmon, 2016.</w:t>
      </w:r>
      <w:r>
        <w:rPr>
          <w:rFonts w:ascii="Garamond" w:hAnsi="Garamond"/>
        </w:rPr>
        <w:t xml:space="preserve"> </w:t>
      </w:r>
      <w:r>
        <w:rPr>
          <w:rFonts w:ascii="Garamond" w:hAnsi="Garamond"/>
          <w:i/>
          <w:iCs/>
        </w:rPr>
        <w:t>Alaska Department of Fish and Game, Fishery Data Series No. 17-47, Anchorage.</w:t>
      </w:r>
    </w:p>
    <w:p w14:paraId="1DFBC900" w14:textId="77777777" w:rsidR="00983667" w:rsidRPr="00983667" w:rsidRDefault="00983667" w:rsidP="00983667">
      <w:pPr>
        <w:pStyle w:val="Bibliography"/>
        <w:rPr>
          <w:rFonts w:ascii="Garamond" w:hAnsi="Garamond"/>
        </w:rPr>
      </w:pPr>
      <w:r>
        <w:rPr>
          <w:rFonts w:ascii="Garamond" w:hAnsi="Garamond"/>
        </w:rPr>
        <w:t xml:space="preserve">Staton, B. A., Catalano, M. J., Farmer, T. M., Abebe, A., &amp; Dobson, F. S. (2017). Development and evaluation of a migration timing forecast model for Kuskokwim River Chinook salmon. </w:t>
      </w:r>
      <w:r>
        <w:rPr>
          <w:rFonts w:ascii="Garamond" w:hAnsi="Garamond"/>
          <w:i/>
          <w:iCs/>
        </w:rPr>
        <w:t>Fisheries Research</w:t>
      </w:r>
      <w:r>
        <w:rPr>
          <w:rFonts w:ascii="Garamond" w:hAnsi="Garamond"/>
        </w:rPr>
        <w:t xml:space="preserve">, </w:t>
      </w:r>
      <w:r>
        <w:rPr>
          <w:rFonts w:ascii="Garamond" w:hAnsi="Garamond"/>
          <w:i/>
          <w:iCs/>
        </w:rPr>
        <w:t>194</w:t>
      </w:r>
      <w:r>
        <w:rPr>
          <w:rFonts w:ascii="Garamond" w:hAnsi="Garamond"/>
        </w:rPr>
        <w:t>, 9–21. https://doi.org/10.1016/j.fishres.2017.05.003</w:t>
      </w:r>
    </w:p>
    <w:p w14:paraId="5F5AC763" w14:textId="77777777" w:rsidR="00983667" w:rsidRPr="00983667" w:rsidRDefault="00983667" w:rsidP="00983667">
      <w:pPr>
        <w:pStyle w:val="Bibliography"/>
        <w:rPr>
          <w:rFonts w:ascii="Garamond" w:hAnsi="Garamond"/>
        </w:rPr>
      </w:pPr>
      <w:r>
        <w:rPr>
          <w:rFonts w:ascii="Garamond" w:hAnsi="Garamond"/>
        </w:rPr>
        <w:t xml:space="preserve">Tilman, D., Polasky, S., &amp; Lehman, C. (2005). Diversity, productivity and temporal stability in the economies of humans and nature. </w:t>
      </w:r>
      <w:r>
        <w:rPr>
          <w:rFonts w:ascii="Garamond" w:hAnsi="Garamond"/>
          <w:i/>
          <w:iCs/>
        </w:rPr>
        <w:t>Journal of Environmental Economics and Management</w:t>
      </w:r>
      <w:r>
        <w:rPr>
          <w:rFonts w:ascii="Garamond" w:hAnsi="Garamond"/>
        </w:rPr>
        <w:t xml:space="preserve">, </w:t>
      </w:r>
      <w:r>
        <w:rPr>
          <w:rFonts w:ascii="Garamond" w:hAnsi="Garamond"/>
          <w:i/>
          <w:iCs/>
        </w:rPr>
        <w:t>49</w:t>
      </w:r>
      <w:r>
        <w:rPr>
          <w:rFonts w:ascii="Garamond" w:hAnsi="Garamond"/>
        </w:rPr>
        <w:t>(3), 405–426. https://doi.org/10.1016/j.jeem.2004.03.008</w:t>
      </w:r>
    </w:p>
    <w:p w14:paraId="389FF842" w14:textId="77777777" w:rsidR="00983667" w:rsidRPr="00983667" w:rsidRDefault="00983667" w:rsidP="00983667">
      <w:pPr>
        <w:pStyle w:val="Bibliography"/>
        <w:rPr>
          <w:rFonts w:ascii="Garamond" w:hAnsi="Garamond"/>
        </w:rPr>
      </w:pPr>
      <w:r>
        <w:rPr>
          <w:rFonts w:ascii="Garamond" w:hAnsi="Garamond"/>
        </w:rPr>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Pr>
          <w:rFonts w:ascii="Garamond" w:hAnsi="Garamond"/>
          <w:i/>
          <w:iCs/>
        </w:rPr>
        <w:t>Ecological Applications</w:t>
      </w:r>
      <w:r>
        <w:rPr>
          <w:rFonts w:ascii="Garamond" w:hAnsi="Garamond"/>
        </w:rPr>
        <w:t xml:space="preserve">, </w:t>
      </w:r>
      <w:r>
        <w:rPr>
          <w:rFonts w:ascii="Garamond" w:hAnsi="Garamond"/>
          <w:i/>
          <w:iCs/>
        </w:rPr>
        <w:t>25</w:t>
      </w:r>
      <w:r>
        <w:rPr>
          <w:rFonts w:ascii="Garamond" w:hAnsi="Garamond"/>
        </w:rPr>
        <w:t>(2), 320–335. https://doi.org/10.1890/14-0581.1</w:t>
      </w:r>
    </w:p>
    <w:p w14:paraId="6C03C6E7" w14:textId="77777777" w:rsidR="00983667" w:rsidRPr="00983667" w:rsidRDefault="00983667" w:rsidP="00983667">
      <w:pPr>
        <w:pStyle w:val="Bibliography"/>
        <w:rPr>
          <w:rFonts w:ascii="Garamond" w:hAnsi="Garamond"/>
        </w:rPr>
      </w:pPr>
      <w:r>
        <w:rPr>
          <w:rFonts w:ascii="Garamond" w:hAnsi="Garamond"/>
        </w:rPr>
        <w:t xml:space="preserve">Ver Hoef, J. M., &amp; Peterson, E. E. (2010). A Moving Average Approach for Spatial Statistical Models of Stream Networks. </w:t>
      </w:r>
      <w:r>
        <w:rPr>
          <w:rFonts w:ascii="Garamond" w:hAnsi="Garamond"/>
          <w:i/>
          <w:iCs/>
        </w:rPr>
        <w:t>Journal of the American Statistical Association</w:t>
      </w:r>
      <w:r>
        <w:rPr>
          <w:rFonts w:ascii="Garamond" w:hAnsi="Garamond"/>
        </w:rPr>
        <w:t xml:space="preserve">, </w:t>
      </w:r>
      <w:r>
        <w:rPr>
          <w:rFonts w:ascii="Garamond" w:hAnsi="Garamond"/>
          <w:i/>
          <w:iCs/>
        </w:rPr>
        <w:t>105</w:t>
      </w:r>
      <w:r>
        <w:rPr>
          <w:rFonts w:ascii="Garamond" w:hAnsi="Garamond"/>
        </w:rPr>
        <w:t>(489), 6–18. https://doi.org/10.1198/jasa.2009.ap08248</w:t>
      </w:r>
    </w:p>
    <w:p w14:paraId="67F27E55" w14:textId="77777777" w:rsidR="00983667" w:rsidRPr="00983667" w:rsidRDefault="00983667" w:rsidP="00983667">
      <w:pPr>
        <w:pStyle w:val="Bibliography"/>
        <w:rPr>
          <w:rFonts w:ascii="Garamond" w:hAnsi="Garamond"/>
        </w:rPr>
      </w:pPr>
      <w:r>
        <w:rPr>
          <w:rFonts w:ascii="Garamond" w:hAnsi="Garamond"/>
        </w:rPr>
        <w:t xml:space="preserve">Wunder, M. B. (2010). Using Isoscapes to Model Probability Surfaces for Determining Geographic Origins. In J. B. West, G. J. Bowen, T. E. Dawson, &amp; K. P. Tu (Eds.), </w:t>
      </w:r>
      <w:r>
        <w:rPr>
          <w:rFonts w:ascii="Garamond" w:hAnsi="Garamond"/>
          <w:i/>
          <w:iCs/>
        </w:rPr>
        <w:t>Isoscapes</w:t>
      </w:r>
      <w:r>
        <w:rPr>
          <w:rFonts w:ascii="Garamond" w:hAnsi="Garamond"/>
        </w:rPr>
        <w:t xml:space="preserve"> (pp. 251–270). Springer Netherlands. https://doi.org/10.1007/978-90-481-3354-3_12</w:t>
      </w:r>
    </w:p>
    <w:p w14:paraId="5CE56ACE" w14:textId="77777777" w:rsidR="00983667" w:rsidRPr="00983667" w:rsidRDefault="00983667" w:rsidP="00983667">
      <w:pPr>
        <w:pStyle w:val="Bibliography"/>
        <w:rPr>
          <w:rFonts w:ascii="Garamond" w:hAnsi="Garamond"/>
        </w:rPr>
      </w:pPr>
      <w:r>
        <w:rPr>
          <w:rFonts w:ascii="Garamond" w:hAnsi="Garamond"/>
        </w:rPr>
        <w:lastRenderedPageBreak/>
        <w:t xml:space="preserve">Zimmerman, C. E., &amp; Reeves, G. H. (2002). Identification of Steelhead and Resident Rainbow Trout Progeny in the Deschutes River, Oregon, Revealed with Otolith Microchemistry. </w:t>
      </w:r>
      <w:r>
        <w:rPr>
          <w:rFonts w:ascii="Garamond" w:hAnsi="Garamond"/>
          <w:i/>
          <w:iCs/>
        </w:rPr>
        <w:t>Transactions of the American Fisheries Society</w:t>
      </w:r>
      <w:r>
        <w:rPr>
          <w:rFonts w:ascii="Garamond" w:hAnsi="Garamond"/>
        </w:rPr>
        <w:t xml:space="preserve">, </w:t>
      </w:r>
      <w:r>
        <w:rPr>
          <w:rFonts w:ascii="Garamond" w:hAnsi="Garamond"/>
          <w:i/>
          <w:iCs/>
        </w:rPr>
        <w:t>131</w:t>
      </w:r>
      <w:r>
        <w:rPr>
          <w:rFonts w:ascii="Garamond" w:hAnsi="Garamond"/>
        </w:rPr>
        <w:t>(5), 986–993. https://doi.org/10.1577/1548-8659(2002)131%253C0986:IOSARR%253E2.0.CO;2</w:t>
      </w:r>
    </w:p>
    <w:p w14:paraId="3EBAB241" w14:textId="013C2159" w:rsidR="00BF42AB" w:rsidRPr="00821884" w:rsidRDefault="00836381" w:rsidP="00821884">
      <w:pPr>
        <w:pStyle w:val="Bibliography"/>
        <w:ind w:left="0" w:firstLine="0"/>
        <w:rPr>
          <w:rFonts w:ascii="Garamond" w:hAnsi="Garamond"/>
        </w:rPr>
      </w:pPr>
      <w:r>
        <w:rPr>
          <w:rFonts w:ascii="Garamond" w:hAnsi="Garamond"/>
        </w:rPr>
        <w:fldChar w:fldCharType="end"/>
      </w:r>
    </w:p>
    <w:sectPr w:rsidR="00BF42AB" w:rsidRPr="00821884" w:rsidSect="004712C9">
      <w:headerReference w:type="default" r:id="rId9"/>
      <w:footerReference w:type="even" r:id="rId10"/>
      <w:foot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9115C" w14:textId="77777777" w:rsidR="00E6389A" w:rsidRDefault="00E6389A">
      <w:pPr>
        <w:spacing w:after="0" w:line="240" w:lineRule="auto"/>
      </w:pPr>
      <w:r>
        <w:separator/>
      </w:r>
    </w:p>
  </w:endnote>
  <w:endnote w:type="continuationSeparator" w:id="0">
    <w:p w14:paraId="51594487" w14:textId="77777777" w:rsidR="00E6389A" w:rsidRDefault="00E63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C1963" w14:textId="77777777" w:rsidR="00E6389A" w:rsidRDefault="00E6389A">
      <w:pPr>
        <w:spacing w:after="0" w:line="240" w:lineRule="auto"/>
      </w:pPr>
      <w:r>
        <w:separator/>
      </w:r>
    </w:p>
  </w:footnote>
  <w:footnote w:type="continuationSeparator" w:id="0">
    <w:p w14:paraId="3C831A5D" w14:textId="77777777" w:rsidR="00E6389A" w:rsidRDefault="00E63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10B8A"/>
    <w:multiLevelType w:val="hybridMultilevel"/>
    <w:tmpl w:val="BC84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1"/>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10"/>
  </w:num>
  <w:num w:numId="10" w16cid:durableId="1345399423">
    <w:abstractNumId w:val="8"/>
  </w:num>
  <w:num w:numId="11" w16cid:durableId="687874528">
    <w:abstractNumId w:val="1"/>
  </w:num>
  <w:num w:numId="12" w16cid:durableId="1595938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72056"/>
    <w:rsid w:val="00083A7A"/>
    <w:rsid w:val="00085380"/>
    <w:rsid w:val="000854BE"/>
    <w:rsid w:val="00093841"/>
    <w:rsid w:val="000941AF"/>
    <w:rsid w:val="000979CB"/>
    <w:rsid w:val="000A55A6"/>
    <w:rsid w:val="000B5639"/>
    <w:rsid w:val="000B7514"/>
    <w:rsid w:val="000C0406"/>
    <w:rsid w:val="000C2C96"/>
    <w:rsid w:val="000C384D"/>
    <w:rsid w:val="000C429D"/>
    <w:rsid w:val="000C6898"/>
    <w:rsid w:val="000D511B"/>
    <w:rsid w:val="000D6E8E"/>
    <w:rsid w:val="000E1B66"/>
    <w:rsid w:val="000E5E9C"/>
    <w:rsid w:val="000F083A"/>
    <w:rsid w:val="000F3B6C"/>
    <w:rsid w:val="001000CB"/>
    <w:rsid w:val="001008AF"/>
    <w:rsid w:val="001018D7"/>
    <w:rsid w:val="001025C9"/>
    <w:rsid w:val="001028F4"/>
    <w:rsid w:val="00103582"/>
    <w:rsid w:val="001058B8"/>
    <w:rsid w:val="00112ED8"/>
    <w:rsid w:val="00114DA5"/>
    <w:rsid w:val="00116F1B"/>
    <w:rsid w:val="00120202"/>
    <w:rsid w:val="00121BC7"/>
    <w:rsid w:val="00121EA9"/>
    <w:rsid w:val="0012203D"/>
    <w:rsid w:val="00123AD2"/>
    <w:rsid w:val="001255D3"/>
    <w:rsid w:val="001269D4"/>
    <w:rsid w:val="00127F9A"/>
    <w:rsid w:val="00130CEE"/>
    <w:rsid w:val="00131432"/>
    <w:rsid w:val="0013324E"/>
    <w:rsid w:val="00134D4C"/>
    <w:rsid w:val="00136FC3"/>
    <w:rsid w:val="001419E1"/>
    <w:rsid w:val="001430A9"/>
    <w:rsid w:val="00143768"/>
    <w:rsid w:val="00151C49"/>
    <w:rsid w:val="00152000"/>
    <w:rsid w:val="001538CD"/>
    <w:rsid w:val="0015783A"/>
    <w:rsid w:val="00162958"/>
    <w:rsid w:val="0016395C"/>
    <w:rsid w:val="00163D3A"/>
    <w:rsid w:val="001679D4"/>
    <w:rsid w:val="00171632"/>
    <w:rsid w:val="0017389D"/>
    <w:rsid w:val="001740E9"/>
    <w:rsid w:val="00176511"/>
    <w:rsid w:val="001844EB"/>
    <w:rsid w:val="00190B2C"/>
    <w:rsid w:val="0019169F"/>
    <w:rsid w:val="00197965"/>
    <w:rsid w:val="001A07DD"/>
    <w:rsid w:val="001B0AC6"/>
    <w:rsid w:val="001C3B8F"/>
    <w:rsid w:val="001C6B33"/>
    <w:rsid w:val="001D3E40"/>
    <w:rsid w:val="001D6D0B"/>
    <w:rsid w:val="001D71C8"/>
    <w:rsid w:val="001E0D88"/>
    <w:rsid w:val="001F2097"/>
    <w:rsid w:val="0020053D"/>
    <w:rsid w:val="002006A2"/>
    <w:rsid w:val="0020187E"/>
    <w:rsid w:val="00206F6C"/>
    <w:rsid w:val="00210C30"/>
    <w:rsid w:val="00213C2D"/>
    <w:rsid w:val="00216D27"/>
    <w:rsid w:val="002175BB"/>
    <w:rsid w:val="002256A0"/>
    <w:rsid w:val="002323C1"/>
    <w:rsid w:val="00233DAB"/>
    <w:rsid w:val="0023404E"/>
    <w:rsid w:val="00234875"/>
    <w:rsid w:val="00235BCC"/>
    <w:rsid w:val="0023706B"/>
    <w:rsid w:val="0024031C"/>
    <w:rsid w:val="00240367"/>
    <w:rsid w:val="00240DD3"/>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3375"/>
    <w:rsid w:val="002C6F1E"/>
    <w:rsid w:val="002D12FE"/>
    <w:rsid w:val="002D2CBF"/>
    <w:rsid w:val="002E45E7"/>
    <w:rsid w:val="002E5716"/>
    <w:rsid w:val="002F0A2B"/>
    <w:rsid w:val="003031E8"/>
    <w:rsid w:val="00304260"/>
    <w:rsid w:val="00306D21"/>
    <w:rsid w:val="003071D2"/>
    <w:rsid w:val="00310A9F"/>
    <w:rsid w:val="00312FC9"/>
    <w:rsid w:val="00313CB8"/>
    <w:rsid w:val="003157C4"/>
    <w:rsid w:val="00320DDA"/>
    <w:rsid w:val="0033106A"/>
    <w:rsid w:val="0033540B"/>
    <w:rsid w:val="00343C0B"/>
    <w:rsid w:val="003442B4"/>
    <w:rsid w:val="003474F0"/>
    <w:rsid w:val="003505B6"/>
    <w:rsid w:val="003508BF"/>
    <w:rsid w:val="003525FA"/>
    <w:rsid w:val="00354EC0"/>
    <w:rsid w:val="00356F8B"/>
    <w:rsid w:val="0036019D"/>
    <w:rsid w:val="003610A6"/>
    <w:rsid w:val="00362078"/>
    <w:rsid w:val="003642FE"/>
    <w:rsid w:val="00367B6D"/>
    <w:rsid w:val="003717DB"/>
    <w:rsid w:val="00371AC6"/>
    <w:rsid w:val="00372BCA"/>
    <w:rsid w:val="00374558"/>
    <w:rsid w:val="003760FD"/>
    <w:rsid w:val="00383B9A"/>
    <w:rsid w:val="00385F28"/>
    <w:rsid w:val="0038700D"/>
    <w:rsid w:val="0039598A"/>
    <w:rsid w:val="0039711B"/>
    <w:rsid w:val="00397AF1"/>
    <w:rsid w:val="00397FF6"/>
    <w:rsid w:val="003A1EB0"/>
    <w:rsid w:val="003A53E2"/>
    <w:rsid w:val="003A58F7"/>
    <w:rsid w:val="003B0A46"/>
    <w:rsid w:val="003B38AA"/>
    <w:rsid w:val="003C2A7E"/>
    <w:rsid w:val="003C6E87"/>
    <w:rsid w:val="003D0402"/>
    <w:rsid w:val="003D30C7"/>
    <w:rsid w:val="003D7E04"/>
    <w:rsid w:val="003F0E0F"/>
    <w:rsid w:val="003F1234"/>
    <w:rsid w:val="003F6161"/>
    <w:rsid w:val="00400339"/>
    <w:rsid w:val="00400CBB"/>
    <w:rsid w:val="00401EE2"/>
    <w:rsid w:val="004025DD"/>
    <w:rsid w:val="004025ED"/>
    <w:rsid w:val="0040355B"/>
    <w:rsid w:val="00403B68"/>
    <w:rsid w:val="00416B2E"/>
    <w:rsid w:val="00417AE1"/>
    <w:rsid w:val="00424DB6"/>
    <w:rsid w:val="004261EE"/>
    <w:rsid w:val="00431422"/>
    <w:rsid w:val="00433B90"/>
    <w:rsid w:val="00437729"/>
    <w:rsid w:val="00441FFD"/>
    <w:rsid w:val="00442120"/>
    <w:rsid w:val="004504D1"/>
    <w:rsid w:val="00450591"/>
    <w:rsid w:val="00450ED3"/>
    <w:rsid w:val="00454FB2"/>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19B1"/>
    <w:rsid w:val="004B5E0E"/>
    <w:rsid w:val="004B7BC4"/>
    <w:rsid w:val="004C2230"/>
    <w:rsid w:val="004C3939"/>
    <w:rsid w:val="004C58FF"/>
    <w:rsid w:val="004C5CB5"/>
    <w:rsid w:val="004C6CE6"/>
    <w:rsid w:val="004D0AA2"/>
    <w:rsid w:val="004D6874"/>
    <w:rsid w:val="004D6C38"/>
    <w:rsid w:val="004E3592"/>
    <w:rsid w:val="004E7138"/>
    <w:rsid w:val="004E7B3B"/>
    <w:rsid w:val="004F0045"/>
    <w:rsid w:val="004F04C2"/>
    <w:rsid w:val="004F0E72"/>
    <w:rsid w:val="004F1ACA"/>
    <w:rsid w:val="004F324B"/>
    <w:rsid w:val="004F3972"/>
    <w:rsid w:val="004F4EF3"/>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23CA"/>
    <w:rsid w:val="00533C59"/>
    <w:rsid w:val="00536536"/>
    <w:rsid w:val="00537343"/>
    <w:rsid w:val="005416E6"/>
    <w:rsid w:val="005463B2"/>
    <w:rsid w:val="00551911"/>
    <w:rsid w:val="005554D7"/>
    <w:rsid w:val="00557194"/>
    <w:rsid w:val="00571049"/>
    <w:rsid w:val="00572EF0"/>
    <w:rsid w:val="0057720D"/>
    <w:rsid w:val="005805EB"/>
    <w:rsid w:val="005858F1"/>
    <w:rsid w:val="0058744A"/>
    <w:rsid w:val="0059082A"/>
    <w:rsid w:val="005956BD"/>
    <w:rsid w:val="005A052B"/>
    <w:rsid w:val="005A36C3"/>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2B95"/>
    <w:rsid w:val="00617B67"/>
    <w:rsid w:val="00625357"/>
    <w:rsid w:val="006314EE"/>
    <w:rsid w:val="00631AAA"/>
    <w:rsid w:val="006357BB"/>
    <w:rsid w:val="0063598A"/>
    <w:rsid w:val="0063694A"/>
    <w:rsid w:val="00636B84"/>
    <w:rsid w:val="00636C9F"/>
    <w:rsid w:val="00642B65"/>
    <w:rsid w:val="00643AC4"/>
    <w:rsid w:val="00645EF1"/>
    <w:rsid w:val="00651133"/>
    <w:rsid w:val="00653AE8"/>
    <w:rsid w:val="00653AF7"/>
    <w:rsid w:val="006540BC"/>
    <w:rsid w:val="0065535A"/>
    <w:rsid w:val="00655F63"/>
    <w:rsid w:val="00656B48"/>
    <w:rsid w:val="006617C0"/>
    <w:rsid w:val="0066241A"/>
    <w:rsid w:val="00663FC6"/>
    <w:rsid w:val="00665BC1"/>
    <w:rsid w:val="00673B3C"/>
    <w:rsid w:val="006762C3"/>
    <w:rsid w:val="00676513"/>
    <w:rsid w:val="00682611"/>
    <w:rsid w:val="00687F38"/>
    <w:rsid w:val="00691BBC"/>
    <w:rsid w:val="00691F38"/>
    <w:rsid w:val="00693A39"/>
    <w:rsid w:val="006A2A72"/>
    <w:rsid w:val="006A4011"/>
    <w:rsid w:val="006A798F"/>
    <w:rsid w:val="006B1D97"/>
    <w:rsid w:val="006B418B"/>
    <w:rsid w:val="006B5AB0"/>
    <w:rsid w:val="006C531D"/>
    <w:rsid w:val="006C663B"/>
    <w:rsid w:val="006C6CB7"/>
    <w:rsid w:val="006D11D3"/>
    <w:rsid w:val="006D6AEE"/>
    <w:rsid w:val="006E1BBC"/>
    <w:rsid w:val="006E5473"/>
    <w:rsid w:val="0070135F"/>
    <w:rsid w:val="0070647C"/>
    <w:rsid w:val="007072E7"/>
    <w:rsid w:val="00711069"/>
    <w:rsid w:val="0071220D"/>
    <w:rsid w:val="0071320D"/>
    <w:rsid w:val="00715F4A"/>
    <w:rsid w:val="00717761"/>
    <w:rsid w:val="00717B12"/>
    <w:rsid w:val="0072380C"/>
    <w:rsid w:val="00724D0B"/>
    <w:rsid w:val="007266BC"/>
    <w:rsid w:val="00730A88"/>
    <w:rsid w:val="00731FB9"/>
    <w:rsid w:val="00746351"/>
    <w:rsid w:val="00747075"/>
    <w:rsid w:val="007555A4"/>
    <w:rsid w:val="007561E4"/>
    <w:rsid w:val="0076034D"/>
    <w:rsid w:val="007603D4"/>
    <w:rsid w:val="007708F4"/>
    <w:rsid w:val="00772AC1"/>
    <w:rsid w:val="00780305"/>
    <w:rsid w:val="007878C0"/>
    <w:rsid w:val="00793B30"/>
    <w:rsid w:val="007A07BC"/>
    <w:rsid w:val="007A1D0A"/>
    <w:rsid w:val="007B1069"/>
    <w:rsid w:val="007B17D6"/>
    <w:rsid w:val="007B71BB"/>
    <w:rsid w:val="007C0A61"/>
    <w:rsid w:val="007C1050"/>
    <w:rsid w:val="007C2267"/>
    <w:rsid w:val="007C2373"/>
    <w:rsid w:val="007C6331"/>
    <w:rsid w:val="007C6D95"/>
    <w:rsid w:val="007D1726"/>
    <w:rsid w:val="007D2894"/>
    <w:rsid w:val="007D630A"/>
    <w:rsid w:val="007D7981"/>
    <w:rsid w:val="007E1736"/>
    <w:rsid w:val="007E3A31"/>
    <w:rsid w:val="007F098D"/>
    <w:rsid w:val="007F32DE"/>
    <w:rsid w:val="007F35F9"/>
    <w:rsid w:val="007F37AE"/>
    <w:rsid w:val="007F4A77"/>
    <w:rsid w:val="007F66C5"/>
    <w:rsid w:val="007F7231"/>
    <w:rsid w:val="007F747D"/>
    <w:rsid w:val="007F75D5"/>
    <w:rsid w:val="00800CBA"/>
    <w:rsid w:val="008050C3"/>
    <w:rsid w:val="00807290"/>
    <w:rsid w:val="00811477"/>
    <w:rsid w:val="00811B88"/>
    <w:rsid w:val="00814EE7"/>
    <w:rsid w:val="00816626"/>
    <w:rsid w:val="00820E08"/>
    <w:rsid w:val="00821884"/>
    <w:rsid w:val="0082206F"/>
    <w:rsid w:val="008277E3"/>
    <w:rsid w:val="00832815"/>
    <w:rsid w:val="00836381"/>
    <w:rsid w:val="00841435"/>
    <w:rsid w:val="00843258"/>
    <w:rsid w:val="0084410D"/>
    <w:rsid w:val="00845E76"/>
    <w:rsid w:val="00856168"/>
    <w:rsid w:val="008605CB"/>
    <w:rsid w:val="00863C27"/>
    <w:rsid w:val="008730BC"/>
    <w:rsid w:val="0087708A"/>
    <w:rsid w:val="00881286"/>
    <w:rsid w:val="0088327B"/>
    <w:rsid w:val="0088451D"/>
    <w:rsid w:val="00885296"/>
    <w:rsid w:val="0088664E"/>
    <w:rsid w:val="008872F5"/>
    <w:rsid w:val="00891B6F"/>
    <w:rsid w:val="00893125"/>
    <w:rsid w:val="008948AB"/>
    <w:rsid w:val="00895ED8"/>
    <w:rsid w:val="00895FC7"/>
    <w:rsid w:val="008970CF"/>
    <w:rsid w:val="008A7376"/>
    <w:rsid w:val="008B0A5A"/>
    <w:rsid w:val="008B3EA1"/>
    <w:rsid w:val="008B64EE"/>
    <w:rsid w:val="008B6684"/>
    <w:rsid w:val="008C03AF"/>
    <w:rsid w:val="008C378F"/>
    <w:rsid w:val="008C65D7"/>
    <w:rsid w:val="008D1422"/>
    <w:rsid w:val="008D1B8A"/>
    <w:rsid w:val="008E3428"/>
    <w:rsid w:val="008E4C82"/>
    <w:rsid w:val="008F2118"/>
    <w:rsid w:val="008F26BA"/>
    <w:rsid w:val="00900DF4"/>
    <w:rsid w:val="0090107F"/>
    <w:rsid w:val="00901ACE"/>
    <w:rsid w:val="00907410"/>
    <w:rsid w:val="009076B8"/>
    <w:rsid w:val="009110AF"/>
    <w:rsid w:val="0091492C"/>
    <w:rsid w:val="00915EEE"/>
    <w:rsid w:val="00916EE1"/>
    <w:rsid w:val="00917026"/>
    <w:rsid w:val="00922435"/>
    <w:rsid w:val="00925A21"/>
    <w:rsid w:val="009263B7"/>
    <w:rsid w:val="00932FBC"/>
    <w:rsid w:val="00933D52"/>
    <w:rsid w:val="009423AC"/>
    <w:rsid w:val="00944E55"/>
    <w:rsid w:val="00946A92"/>
    <w:rsid w:val="00951507"/>
    <w:rsid w:val="00955A42"/>
    <w:rsid w:val="00956F44"/>
    <w:rsid w:val="00961F08"/>
    <w:rsid w:val="00966E61"/>
    <w:rsid w:val="00967DC4"/>
    <w:rsid w:val="00971164"/>
    <w:rsid w:val="0097261B"/>
    <w:rsid w:val="00973C7E"/>
    <w:rsid w:val="0097448D"/>
    <w:rsid w:val="009833DB"/>
    <w:rsid w:val="00983667"/>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0427"/>
    <w:rsid w:val="009D3148"/>
    <w:rsid w:val="009D66DA"/>
    <w:rsid w:val="009E68C7"/>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2AAB"/>
    <w:rsid w:val="00A234BB"/>
    <w:rsid w:val="00A25870"/>
    <w:rsid w:val="00A26A50"/>
    <w:rsid w:val="00A3396F"/>
    <w:rsid w:val="00A3550B"/>
    <w:rsid w:val="00A36D27"/>
    <w:rsid w:val="00A44879"/>
    <w:rsid w:val="00A4712A"/>
    <w:rsid w:val="00A52BD6"/>
    <w:rsid w:val="00A54B4A"/>
    <w:rsid w:val="00A72EBD"/>
    <w:rsid w:val="00A76A53"/>
    <w:rsid w:val="00A805B8"/>
    <w:rsid w:val="00A8429C"/>
    <w:rsid w:val="00A844A4"/>
    <w:rsid w:val="00A849F0"/>
    <w:rsid w:val="00A84E4B"/>
    <w:rsid w:val="00A94BC2"/>
    <w:rsid w:val="00AA1798"/>
    <w:rsid w:val="00AA26A1"/>
    <w:rsid w:val="00AA6EC2"/>
    <w:rsid w:val="00AB074C"/>
    <w:rsid w:val="00AB2317"/>
    <w:rsid w:val="00AB3DBB"/>
    <w:rsid w:val="00AB779D"/>
    <w:rsid w:val="00AC7C2D"/>
    <w:rsid w:val="00AD1910"/>
    <w:rsid w:val="00AD484F"/>
    <w:rsid w:val="00AD4BE1"/>
    <w:rsid w:val="00AD7B82"/>
    <w:rsid w:val="00AF0D4C"/>
    <w:rsid w:val="00AF7B74"/>
    <w:rsid w:val="00B00C18"/>
    <w:rsid w:val="00B01FE3"/>
    <w:rsid w:val="00B02A4D"/>
    <w:rsid w:val="00B07AE4"/>
    <w:rsid w:val="00B13E93"/>
    <w:rsid w:val="00B155C4"/>
    <w:rsid w:val="00B212BB"/>
    <w:rsid w:val="00B23B58"/>
    <w:rsid w:val="00B24171"/>
    <w:rsid w:val="00B26B57"/>
    <w:rsid w:val="00B27EC5"/>
    <w:rsid w:val="00B30111"/>
    <w:rsid w:val="00B35E5D"/>
    <w:rsid w:val="00B40601"/>
    <w:rsid w:val="00B429B6"/>
    <w:rsid w:val="00B4720E"/>
    <w:rsid w:val="00B50583"/>
    <w:rsid w:val="00B50CA4"/>
    <w:rsid w:val="00B53530"/>
    <w:rsid w:val="00B606F9"/>
    <w:rsid w:val="00B60D7F"/>
    <w:rsid w:val="00B62128"/>
    <w:rsid w:val="00B65D13"/>
    <w:rsid w:val="00B74D8D"/>
    <w:rsid w:val="00B74F35"/>
    <w:rsid w:val="00B76340"/>
    <w:rsid w:val="00B8483E"/>
    <w:rsid w:val="00B857E3"/>
    <w:rsid w:val="00B923D2"/>
    <w:rsid w:val="00B95589"/>
    <w:rsid w:val="00B97434"/>
    <w:rsid w:val="00BA0245"/>
    <w:rsid w:val="00BA369C"/>
    <w:rsid w:val="00BA542C"/>
    <w:rsid w:val="00BB27C2"/>
    <w:rsid w:val="00BB381E"/>
    <w:rsid w:val="00BB5897"/>
    <w:rsid w:val="00BC7C48"/>
    <w:rsid w:val="00BD0803"/>
    <w:rsid w:val="00BD2F8F"/>
    <w:rsid w:val="00BF0C62"/>
    <w:rsid w:val="00BF307A"/>
    <w:rsid w:val="00BF42AB"/>
    <w:rsid w:val="00C013DD"/>
    <w:rsid w:val="00C107EA"/>
    <w:rsid w:val="00C10AF2"/>
    <w:rsid w:val="00C162F5"/>
    <w:rsid w:val="00C1704A"/>
    <w:rsid w:val="00C26378"/>
    <w:rsid w:val="00C2778F"/>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83BD0"/>
    <w:rsid w:val="00C83BF2"/>
    <w:rsid w:val="00C92AB0"/>
    <w:rsid w:val="00C93DD5"/>
    <w:rsid w:val="00C95028"/>
    <w:rsid w:val="00C9741A"/>
    <w:rsid w:val="00C97C2C"/>
    <w:rsid w:val="00CA262D"/>
    <w:rsid w:val="00CA6AF1"/>
    <w:rsid w:val="00CA7EEC"/>
    <w:rsid w:val="00CB2EEB"/>
    <w:rsid w:val="00CB3C24"/>
    <w:rsid w:val="00CB4B76"/>
    <w:rsid w:val="00CC053E"/>
    <w:rsid w:val="00CC09EC"/>
    <w:rsid w:val="00CC472B"/>
    <w:rsid w:val="00CC7CEE"/>
    <w:rsid w:val="00CD3038"/>
    <w:rsid w:val="00CE02D5"/>
    <w:rsid w:val="00CE2EB6"/>
    <w:rsid w:val="00CE70A0"/>
    <w:rsid w:val="00CE7CAA"/>
    <w:rsid w:val="00CF00B2"/>
    <w:rsid w:val="00CF03CC"/>
    <w:rsid w:val="00CF21C5"/>
    <w:rsid w:val="00CF2DB5"/>
    <w:rsid w:val="00CF45A1"/>
    <w:rsid w:val="00CF474A"/>
    <w:rsid w:val="00CF6CDB"/>
    <w:rsid w:val="00D0176E"/>
    <w:rsid w:val="00D04B7C"/>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25F2"/>
    <w:rsid w:val="00D71360"/>
    <w:rsid w:val="00D80B0D"/>
    <w:rsid w:val="00D86CD4"/>
    <w:rsid w:val="00D90980"/>
    <w:rsid w:val="00D91D5D"/>
    <w:rsid w:val="00D96066"/>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6D9D"/>
    <w:rsid w:val="00E347D9"/>
    <w:rsid w:val="00E35059"/>
    <w:rsid w:val="00E352BB"/>
    <w:rsid w:val="00E3555B"/>
    <w:rsid w:val="00E355B2"/>
    <w:rsid w:val="00E35FA9"/>
    <w:rsid w:val="00E454BB"/>
    <w:rsid w:val="00E45959"/>
    <w:rsid w:val="00E45D57"/>
    <w:rsid w:val="00E46D9E"/>
    <w:rsid w:val="00E46ECD"/>
    <w:rsid w:val="00E471DA"/>
    <w:rsid w:val="00E61436"/>
    <w:rsid w:val="00E6389A"/>
    <w:rsid w:val="00E66931"/>
    <w:rsid w:val="00E671EF"/>
    <w:rsid w:val="00E67672"/>
    <w:rsid w:val="00E71272"/>
    <w:rsid w:val="00E719E1"/>
    <w:rsid w:val="00E8171A"/>
    <w:rsid w:val="00E82540"/>
    <w:rsid w:val="00E82AC1"/>
    <w:rsid w:val="00E84029"/>
    <w:rsid w:val="00E85535"/>
    <w:rsid w:val="00E86789"/>
    <w:rsid w:val="00E90573"/>
    <w:rsid w:val="00E92DA4"/>
    <w:rsid w:val="00E94ABC"/>
    <w:rsid w:val="00E95A9F"/>
    <w:rsid w:val="00EA0134"/>
    <w:rsid w:val="00EA4FC4"/>
    <w:rsid w:val="00EB2149"/>
    <w:rsid w:val="00EB21A5"/>
    <w:rsid w:val="00EB2EDF"/>
    <w:rsid w:val="00EB713C"/>
    <w:rsid w:val="00EB7C81"/>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15A1"/>
    <w:rsid w:val="00F31BF9"/>
    <w:rsid w:val="00F335F2"/>
    <w:rsid w:val="00F3538C"/>
    <w:rsid w:val="00F36BD9"/>
    <w:rsid w:val="00F3736F"/>
    <w:rsid w:val="00F40CAD"/>
    <w:rsid w:val="00F41CBE"/>
    <w:rsid w:val="00F41FAF"/>
    <w:rsid w:val="00F432BD"/>
    <w:rsid w:val="00F44448"/>
    <w:rsid w:val="00F51DB9"/>
    <w:rsid w:val="00F552CD"/>
    <w:rsid w:val="00F55974"/>
    <w:rsid w:val="00F71234"/>
    <w:rsid w:val="00F73FEE"/>
    <w:rsid w:val="00F7515F"/>
    <w:rsid w:val="00F770FF"/>
    <w:rsid w:val="00F82735"/>
    <w:rsid w:val="00F83731"/>
    <w:rsid w:val="00F95B20"/>
    <w:rsid w:val="00FA2074"/>
    <w:rsid w:val="00FA31FC"/>
    <w:rsid w:val="00FA379B"/>
    <w:rsid w:val="00FA738D"/>
    <w:rsid w:val="00FA76AC"/>
    <w:rsid w:val="00FA7C12"/>
    <w:rsid w:val="00FB261B"/>
    <w:rsid w:val="00FB33D7"/>
    <w:rsid w:val="00FB3E37"/>
    <w:rsid w:val="00FC02BD"/>
    <w:rsid w:val="00FC42A0"/>
    <w:rsid w:val="00FC630E"/>
    <w:rsid w:val="00FD1F7F"/>
    <w:rsid w:val="00FD557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 w:type="paragraph" w:customStyle="1" w:styleId="font-claude-response-body">
    <w:name w:val="font-claude-response-body"/>
    <w:basedOn w:val="Normal"/>
    <w:rsid w:val="00653A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mak29@uw.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24</Pages>
  <Words>22879</Words>
  <Characters>135678</Characters>
  <Application>Microsoft Office Word</Application>
  <DocSecurity>0</DocSecurity>
  <Lines>5653</Lines>
  <Paragraphs>2991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12</cp:revision>
  <cp:lastPrinted>2026-03-10T22:36:00Z</cp:lastPrinted>
  <dcterms:created xsi:type="dcterms:W3CDTF">2026-03-10T22:36:00Z</dcterms:created>
  <dcterms:modified xsi:type="dcterms:W3CDTF">2026-03-19T16:22:00Z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id="25Y35S3t"/&gt;&lt;style id="http://www.zotero.org/styles/journal-of-applied-ecology" hasBibliography="1" bibliographyStyleHasBeenSet="1"/&gt;&lt;prefs&gt;&lt;pref name="fieldType" value="Field"/&gt;&lt;/prefs&gt;&lt;/data&gt;</vt:lpwstr>
  </property>
</Properties>
</file>