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A77CD" w14:textId="1D14CB48" w:rsidR="00DA6BB6" w:rsidRDefault="00DA6BB6" w:rsidP="00DA6BB6">
      <w:r>
        <w:rPr>
          <w:noProof/>
        </w:rPr>
        <w:drawing>
          <wp:inline distT="0" distB="0" distL="0" distR="0" wp14:anchorId="660650FD" wp14:editId="1B5DDD91">
            <wp:extent cx="5943600" cy="4592955"/>
            <wp:effectExtent l="0" t="0" r="0" b="0"/>
            <wp:docPr id="2037056873" name="Picture 4" descr="A map of the world with different colors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56873" name="Picture 4" descr="A map of the world with different colors  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B569" w14:textId="77777777" w:rsidR="00DA6BB6" w:rsidRPr="00185395" w:rsidRDefault="00DA6BB6" w:rsidP="00DA6BB6">
      <w:pPr>
        <w:rPr>
          <w:rFonts w:ascii="Garamond" w:hAnsi="Garamond"/>
        </w:rPr>
      </w:pPr>
      <w:r>
        <w:rPr>
          <w:rFonts w:ascii="Garamond" w:hAnsi="Garamond"/>
          <w:b/>
          <w:bCs/>
        </w:rPr>
        <w:t>Figure 1:</w:t>
      </w:r>
      <w:r>
        <w:rPr>
          <w:rFonts w:ascii="Garamond" w:hAnsi="Garamond"/>
        </w:rPr>
        <w:t xml:space="preserve"> Strontium isoscape of the Kuskokwim River Basin (French et al., 2020) displaying the spatial variation in </w:t>
      </w:r>
      <w:r>
        <w:rPr>
          <w:rFonts w:ascii="Garamond" w:eastAsia="Times New Roman" w:hAnsi="Garamond" w:cs="Times New Roman"/>
          <w:kern w:val="0"/>
          <w14:ligatures w14:val="none"/>
        </w:rPr>
        <w:t>Sr</w:t>
      </w:r>
      <w:r>
        <w:rPr>
          <w:rFonts w:ascii="Garamond" w:eastAsia="Times New Roman" w:hAnsi="Garamond" w:cs="Times New Roman"/>
          <w:kern w:val="0"/>
          <w:vertAlign w:val="superscript"/>
          <w14:ligatures w14:val="none"/>
        </w:rPr>
        <w:t>87</w:t>
      </w:r>
      <w:r>
        <w:rPr>
          <w:rFonts w:ascii="Garamond" w:eastAsia="Times New Roman" w:hAnsi="Garamond" w:cs="Times New Roman"/>
          <w:kern w:val="0"/>
          <w14:ligatures w14:val="none"/>
        </w:rPr>
        <w:t>/Sr</w:t>
      </w:r>
      <w:r>
        <w:rPr>
          <w:rFonts w:ascii="Garamond" w:eastAsia="Times New Roman" w:hAnsi="Garamond" w:cs="Times New Roman"/>
          <w:kern w:val="0"/>
          <w:vertAlign w:val="superscript"/>
          <w14:ligatures w14:val="none"/>
        </w:rPr>
        <w:t>86</w:t>
      </w:r>
      <w:r>
        <w:rPr>
          <w:rFonts w:ascii="Garamond" w:eastAsia="Times New Roman" w:hAnsi="Garamond" w:cs="Times New Roman"/>
          <w:kern w:val="0"/>
          <w14:ligatures w14:val="none"/>
        </w:rPr>
        <w:t xml:space="preserve"> </w:t>
      </w:r>
      <w:r>
        <w:rPr>
          <w:rFonts w:ascii="Garamond" w:hAnsi="Garamond"/>
        </w:rPr>
        <w:t>ratios. Darker colors indicate lower relative isotope ratios, whereas lighter colors indicate higher values. Isotope ratios across the basin range from 0.7042 to 0.7107, with a general trend toward higher values at the top of the watershed.</w:t>
      </w:r>
    </w:p>
    <w:p w14:paraId="1BF4D40F" w14:textId="7628FA3C" w:rsidR="00907410" w:rsidRDefault="00907410"/>
    <w:sectPr w:rsidR="00907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844EB"/>
    <w:rsid w:val="003642FE"/>
    <w:rsid w:val="003B0A46"/>
    <w:rsid w:val="00464971"/>
    <w:rsid w:val="005956A8"/>
    <w:rsid w:val="00673B3C"/>
    <w:rsid w:val="00674E90"/>
    <w:rsid w:val="00780305"/>
    <w:rsid w:val="00907410"/>
    <w:rsid w:val="00A4712A"/>
    <w:rsid w:val="00C9741A"/>
    <w:rsid w:val="00DA6BB6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BB6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312</Characters>
  <Application>Microsoft Office Word</Application>
  <DocSecurity>0</DocSecurity>
  <Lines>13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3</cp:revision>
  <dcterms:created xsi:type="dcterms:W3CDTF">2026-03-09T23:07:00Z</dcterms:created>
  <dcterms:modified xsi:type="dcterms:W3CDTF">2026-03-09T23:11:00Z</dcterms:modified>
</cp:coreProperties>
</file>